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462F845">
      <w:pPr>
        <w:adjustRightInd w:val="0"/>
        <w:snapToGrid w:val="0"/>
        <w:spacing w:line="288" w:lineRule="auto"/>
        <w:jc w:val="both"/>
        <w:rPr>
          <w:rFonts w:hint="eastAsia" w:ascii="华文楷体" w:hAnsi="华文楷体" w:eastAsia="华文楷体"/>
          <w:color w:val="000000" w:themeColor="text1"/>
          <w:sz w:val="36"/>
          <w:szCs w:val="36"/>
          <w:lang w:eastAsia="zh-CN"/>
          <w14:textFill>
            <w14:solidFill>
              <w14:schemeClr w14:val="tx1"/>
            </w14:solidFill>
          </w14:textFill>
        </w:rPr>
      </w:pPr>
      <w:r>
        <w:rPr>
          <w:rFonts w:hint="eastAsia" w:ascii="华文楷体" w:hAnsi="华文楷体" w:eastAsia="华文楷体"/>
          <w:color w:val="000000" w:themeColor="text1"/>
          <w:sz w:val="36"/>
          <w:szCs w:val="36"/>
          <w:lang w:eastAsia="zh-CN"/>
          <w14:textFill>
            <w14:solidFill>
              <w14:schemeClr w14:val="tx1"/>
            </w14:solidFill>
          </w14:textFill>
        </w:rPr>
        <w:drawing>
          <wp:inline distT="0" distB="0" distL="114300" distR="114300">
            <wp:extent cx="5608955" cy="7924800"/>
            <wp:effectExtent l="0" t="0" r="10795" b="0"/>
            <wp:docPr id="279" name="图片 279" descr="1 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1 首页"/>
                    <pic:cNvPicPr>
                      <a:picLocks noChangeAspect="1"/>
                    </pic:cNvPicPr>
                  </pic:nvPicPr>
                  <pic:blipFill>
                    <a:blip r:embed="rId20"/>
                    <a:stretch>
                      <a:fillRect/>
                    </a:stretch>
                  </pic:blipFill>
                  <pic:spPr>
                    <a:xfrm>
                      <a:off x="0" y="0"/>
                      <a:ext cx="5608955" cy="7924800"/>
                    </a:xfrm>
                    <a:prstGeom prst="rect">
                      <a:avLst/>
                    </a:prstGeom>
                  </pic:spPr>
                </pic:pic>
              </a:graphicData>
            </a:graphic>
          </wp:inline>
        </w:drawing>
      </w:r>
    </w:p>
    <w:p w14:paraId="23F9471A">
      <w:pPr>
        <w:pStyle w:val="2"/>
        <w:rPr>
          <w:rFonts w:ascii="华文楷体" w:hAnsi="华文楷体" w:eastAsia="华文楷体"/>
          <w:color w:val="000000" w:themeColor="text1"/>
          <w:sz w:val="36"/>
          <w:szCs w:val="36"/>
          <w14:textFill>
            <w14:solidFill>
              <w14:schemeClr w14:val="tx1"/>
            </w14:solidFill>
          </w14:textFill>
        </w:rPr>
      </w:pPr>
    </w:p>
    <w:p w14:paraId="3A5B5974">
      <w:pPr>
        <w:pStyle w:val="4"/>
        <w:sectPr>
          <w:headerReference r:id="rId5" w:type="first"/>
          <w:footerReference r:id="rId8" w:type="first"/>
          <w:headerReference r:id="rId3" w:type="default"/>
          <w:footerReference r:id="rId6" w:type="default"/>
          <w:headerReference r:id="rId4" w:type="even"/>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titlePg/>
          <w:docGrid w:linePitch="312" w:charSpace="0"/>
        </w:sectPr>
      </w:pPr>
    </w:p>
    <w:p w14:paraId="73BA90D6">
      <w:pPr>
        <w:tabs>
          <w:tab w:val="right" w:leader="dot" w:pos="8844"/>
        </w:tabs>
        <w:adjustRightInd w:val="0"/>
        <w:snapToGrid w:val="0"/>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宋体" w:hAnsi="宋体" w:eastAsia="宋体"/>
          <w:b/>
          <w:bCs/>
          <w:color w:val="000000" w:themeColor="text1"/>
          <w:sz w:val="28"/>
          <w:szCs w:val="28"/>
          <w:highlight w:val="none"/>
          <w14:textFill>
            <w14:solidFill>
              <w14:schemeClr w14:val="tx1"/>
            </w14:solidFill>
          </w14:textFill>
        </w:rPr>
        <w:t>目</w:t>
      </w:r>
      <w:r>
        <w:rPr>
          <w:rFonts w:hint="eastAsia" w:ascii="宋体" w:hAnsi="宋体" w:eastAsia="宋体"/>
          <w:b/>
          <w:bCs/>
          <w:color w:val="000000" w:themeColor="text1"/>
          <w:sz w:val="28"/>
          <w:szCs w:val="28"/>
          <w:highlight w:val="none"/>
          <w:lang w:val="en-US" w:eastAsia="zh-CN"/>
          <w14:textFill>
            <w14:solidFill>
              <w14:schemeClr w14:val="tx1"/>
            </w14:solidFill>
          </w14:textFill>
        </w:rPr>
        <w:t xml:space="preserve"> </w:t>
      </w:r>
      <w:r>
        <w:rPr>
          <w:rFonts w:ascii="宋体" w:hAnsi="宋体" w:eastAsia="宋体"/>
          <w:b/>
          <w:bCs/>
          <w:color w:val="000000" w:themeColor="text1"/>
          <w:sz w:val="28"/>
          <w:szCs w:val="28"/>
          <w:highlight w:val="none"/>
          <w14:textFill>
            <w14:solidFill>
              <w14:schemeClr w14:val="tx1"/>
            </w14:solidFill>
          </w14:textFill>
        </w:rPr>
        <w:t>录</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TOC \o "1-1" \h \u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p>
    <w:p w14:paraId="7F82E99F">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_Toc17943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一、建设项目基本情况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_Toc17943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8BBD05F">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_Toc14981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二、建设项目工程分析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_Toc14981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A44DEE9">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_Toc13496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三、区域环境质量现状、环境保护目标及评价标准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_Toc13496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13C9D9D">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_Toc31582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四、主要环境影响和保护措施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_Toc31582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924B6C7">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_Toc5281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五、环境保护措施监督检查清单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_Toc5281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558712F">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_Toc6762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六、结论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_Toc6762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339B3B0">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_Toc2248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cs="Times New Roman"/>
          <w:snapToGrid w:val="0"/>
          <w:color w:val="000000" w:themeColor="text1"/>
          <w:kern w:val="0"/>
          <w:szCs w:val="32"/>
          <w:highlight w:val="none"/>
          <w:lang w:val="en-US" w:eastAsia="zh-CN" w:bidi="ar-SA"/>
          <w14:textFill>
            <w14:solidFill>
              <w14:schemeClr w14:val="tx1"/>
            </w14:solidFill>
          </w14:textFill>
        </w:rPr>
        <w:t>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_Toc2248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803F27E">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_Toc8498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0"/>
          <w:szCs w:val="24"/>
          <w:highlight w:val="none"/>
          <w:lang w:val="en-US" w:eastAsia="zh-CN" w:bidi="ar-SA"/>
          <w14:textFill>
            <w14:solidFill>
              <w14:schemeClr w14:val="tx1"/>
            </w14:solidFill>
          </w14:textFill>
        </w:rPr>
        <w:t>附图1 项目地理位置图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_Toc8498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8F9512F">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_Toc17747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0"/>
          <w:szCs w:val="20"/>
          <w:highlight w:val="none"/>
          <w:lang w:val="en-US" w:eastAsia="zh-CN" w:bidi="ar-SA"/>
          <w14:textFill>
            <w14:solidFill>
              <w14:schemeClr w14:val="tx1"/>
            </w14:solidFill>
          </w14:textFill>
        </w:rPr>
        <w:t>附图2 项目卫星四至及实景图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_Toc17747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AB4962D">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_Toc2303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1"/>
          <w:highlight w:val="none"/>
          <w14:textFill>
            <w14:solidFill>
              <w14:schemeClr w14:val="tx1"/>
            </w14:solidFill>
          </w14:textFill>
        </w:rPr>
        <w:t>附图</w:t>
      </w:r>
      <w:r>
        <w:rPr>
          <w:rFonts w:hint="eastAsia" w:ascii="Times New Roman" w:eastAsia="宋体"/>
          <w:bCs/>
          <w:color w:val="000000" w:themeColor="text1"/>
          <w:szCs w:val="21"/>
          <w:highlight w:val="none"/>
          <w:lang w:val="en-US" w:eastAsia="zh-CN"/>
          <w14:textFill>
            <w14:solidFill>
              <w14:schemeClr w14:val="tx1"/>
            </w14:solidFill>
          </w14:textFill>
        </w:rPr>
        <w:t>3</w:t>
      </w:r>
      <w:r>
        <w:rPr>
          <w:bCs/>
          <w:color w:val="000000" w:themeColor="text1"/>
          <w:szCs w:val="21"/>
          <w:highlight w:val="none"/>
          <w14:textFill>
            <w14:solidFill>
              <w14:schemeClr w14:val="tx1"/>
            </w14:solidFill>
          </w14:textFill>
        </w:rPr>
        <w:t xml:space="preserve"> </w:t>
      </w:r>
      <w:r>
        <w:rPr>
          <w:rFonts w:hint="eastAsia" w:ascii="Times New Roman" w:eastAsia="宋体"/>
          <w:bCs/>
          <w:color w:val="000000" w:themeColor="text1"/>
          <w:szCs w:val="21"/>
          <w:highlight w:val="none"/>
          <w:lang w:val="en-US" w:eastAsia="zh-CN"/>
          <w14:textFill>
            <w14:solidFill>
              <w14:schemeClr w14:val="tx1"/>
            </w14:solidFill>
          </w14:textFill>
        </w:rPr>
        <w:t>项目</w:t>
      </w:r>
      <w:r>
        <w:rPr>
          <w:bCs/>
          <w:color w:val="000000" w:themeColor="text1"/>
          <w:szCs w:val="21"/>
          <w:highlight w:val="none"/>
          <w14:textFill>
            <w14:solidFill>
              <w14:schemeClr w14:val="tx1"/>
            </w14:solidFill>
          </w14:textFill>
        </w:rPr>
        <w:t>周边现状</w:t>
      </w:r>
      <w:r>
        <w:rPr>
          <w:rFonts w:hint="eastAsia"/>
          <w:bCs/>
          <w:color w:val="000000" w:themeColor="text1"/>
          <w:szCs w:val="2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0603ACD">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附图</w:t>
      </w:r>
      <w:r>
        <w:rPr>
          <w:rFonts w:hint="eastAsia"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4</w:t>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 xml:space="preserve"> 项目</w:t>
      </w:r>
      <w:r>
        <w:rPr>
          <w:rFonts w:hint="eastAsia"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总</w:t>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0661F71">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_Toc29800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5-1</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5#厂房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_Toc29800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3D460E0">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_Toc3620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附图</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5-2</w:t>
      </w:r>
      <w:r>
        <w:rPr>
          <w:rFonts w:hint="default" w:ascii="Times New Roman" w:hAnsi="Times New Roman" w:eastAsia="宋体" w:cs="Times New Roman"/>
          <w:bCs/>
          <w:color w:val="000000" w:themeColor="text1"/>
          <w:highlight w:val="none"/>
          <w14:textFill>
            <w14:solidFill>
              <w14:schemeClr w14:val="tx1"/>
            </w14:solidFill>
          </w14:textFill>
        </w:rPr>
        <w:t xml:space="preserve"> 项目</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4#厂房</w:t>
      </w:r>
      <w:r>
        <w:rPr>
          <w:rFonts w:hint="default" w:ascii="Times New Roman" w:hAnsi="Times New Roman" w:eastAsia="宋体" w:cs="Times New Roman"/>
          <w:bCs/>
          <w:color w:val="000000" w:themeColor="text1"/>
          <w:highlight w:val="none"/>
          <w14:textFill>
            <w14:solidFill>
              <w14:schemeClr w14:val="tx1"/>
            </w14:solidFill>
          </w14:textFill>
        </w:rPr>
        <w:t>平面</w:t>
      </w:r>
      <w:r>
        <w:rPr>
          <w:rFonts w:hint="default" w:ascii="Times New Roman" w:hAnsi="Times New Roman" w:cs="Times New Roman"/>
          <w:bCs/>
          <w:color w:val="000000" w:themeColor="text1"/>
          <w:highlight w:val="none"/>
          <w14:textFill>
            <w14:solidFill>
              <w14:schemeClr w14:val="tx1"/>
            </w14:solidFill>
          </w14:textFill>
        </w:rPr>
        <w:t>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_Toc3620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CA12F7C">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_Toc4729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5-3</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3#厂房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_Toc4729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7607E54">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_Toc15186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5-4</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2#厂房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_Toc15186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591D33B">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_Toc24556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5-5</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1#厂房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_Toc24556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0757C21">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_Toc4763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6</w:t>
      </w:r>
      <w:r>
        <w:rPr>
          <w:rFonts w:hint="default" w:ascii="Times New Roman" w:hAnsi="Times New Roman" w:cs="Times New Roman"/>
          <w:bCs/>
          <w:color w:val="000000" w:themeColor="text1"/>
          <w:highlight w:val="none"/>
          <w14:textFill>
            <w14:solidFill>
              <w14:schemeClr w14:val="tx1"/>
            </w14:solidFill>
          </w14:textFill>
        </w:rPr>
        <w:t xml:space="preserve"> </w:t>
      </w:r>
      <w:r>
        <w:rPr>
          <w:rFonts w:hint="eastAsia" w:cs="Times New Roman"/>
          <w:bCs/>
          <w:color w:val="000000" w:themeColor="text1"/>
          <w:highlight w:val="none"/>
          <w:lang w:val="en-US" w:eastAsia="zh-CN"/>
          <w14:textFill>
            <w14:solidFill>
              <w14:schemeClr w14:val="tx1"/>
            </w14:solidFill>
          </w14:textFill>
        </w:rPr>
        <w:t>项目所在区域大气</w:t>
      </w:r>
      <w:r>
        <w:rPr>
          <w:rFonts w:hint="eastAsia" w:ascii="Times New Roman" w:hAnsi="Times New Roman" w:cs="Times New Roman"/>
          <w:bCs/>
          <w:color w:val="000000" w:themeColor="text1"/>
          <w:highlight w:val="none"/>
          <w:lang w:val="en-US" w:eastAsia="zh-CN"/>
          <w14:textFill>
            <w14:solidFill>
              <w14:schemeClr w14:val="tx1"/>
            </w14:solidFill>
          </w14:textFill>
        </w:rPr>
        <w:t>环境</w:t>
      </w:r>
      <w:r>
        <w:rPr>
          <w:rFonts w:hint="default" w:ascii="Times New Roman" w:hAnsi="Times New Roman" w:cs="Times New Roman"/>
          <w:bCs/>
          <w:color w:val="000000" w:themeColor="text1"/>
          <w:highlight w:val="none"/>
          <w14:textFill>
            <w14:solidFill>
              <w14:schemeClr w14:val="tx1"/>
            </w14:solidFill>
          </w14:textFill>
        </w:rPr>
        <w:t>功能区划图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_Toc4763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F65021C">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_Toc24394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7</w:t>
      </w:r>
      <w:r>
        <w:rPr>
          <w:rFonts w:hint="default" w:ascii="Times New Roman" w:hAnsi="Times New Roman" w:cs="Times New Roman"/>
          <w:bCs/>
          <w:color w:val="000000" w:themeColor="text1"/>
          <w:highlight w:val="none"/>
          <w14:textFill>
            <w14:solidFill>
              <w14:schemeClr w14:val="tx1"/>
            </w14:solidFill>
          </w14:textFill>
        </w:rPr>
        <w:t xml:space="preserve"> 环境空气质量现状</w:t>
      </w:r>
      <w:r>
        <w:rPr>
          <w:rFonts w:hint="eastAsia" w:ascii="Times New Roman" w:hAnsi="Times New Roman" w:cs="Times New Roman"/>
          <w:bCs/>
          <w:color w:val="000000" w:themeColor="text1"/>
          <w:highlight w:val="none"/>
          <w:lang w:val="en-US" w:eastAsia="zh-CN"/>
          <w14:textFill>
            <w14:solidFill>
              <w14:schemeClr w14:val="tx1"/>
            </w14:solidFill>
          </w14:textFill>
        </w:rPr>
        <w:t>引用</w:t>
      </w:r>
      <w:r>
        <w:rPr>
          <w:rFonts w:hint="default" w:ascii="Times New Roman" w:hAnsi="Times New Roman" w:cs="Times New Roman"/>
          <w:bCs/>
          <w:color w:val="000000" w:themeColor="text1"/>
          <w:highlight w:val="none"/>
          <w14:textFill>
            <w14:solidFill>
              <w14:schemeClr w14:val="tx1"/>
            </w14:solidFill>
          </w14:textFill>
        </w:rPr>
        <w:t>监测布点示意图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_Toc24394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0246C8C9">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_Toc14457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8</w:t>
      </w:r>
      <w:r>
        <w:rPr>
          <w:rFonts w:hint="default" w:ascii="Times New Roman" w:hAnsi="Times New Roman" w:cs="Times New Roman"/>
          <w:bCs/>
          <w:color w:val="000000" w:themeColor="text1"/>
          <w:highlight w:val="none"/>
          <w14:textFill>
            <w14:solidFill>
              <w14:schemeClr w14:val="tx1"/>
            </w14:solidFill>
          </w14:textFill>
        </w:rPr>
        <w:t xml:space="preserve"> </w:t>
      </w:r>
      <w:r>
        <w:rPr>
          <w:rFonts w:hint="eastAsia" w:cs="Times New Roman"/>
          <w:bCs/>
          <w:color w:val="000000" w:themeColor="text1"/>
          <w:highlight w:val="none"/>
          <w:lang w:val="en-US" w:eastAsia="zh-CN"/>
          <w14:textFill>
            <w14:solidFill>
              <w14:schemeClr w14:val="tx1"/>
            </w14:solidFill>
          </w14:textFill>
        </w:rPr>
        <w:t>项目周边水系</w:t>
      </w:r>
      <w:r>
        <w:rPr>
          <w:rFonts w:hint="default" w:ascii="Times New Roman" w:hAnsi="Times New Roman" w:cs="Times New Roman"/>
          <w:bCs/>
          <w:color w:val="000000" w:themeColor="text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_Toc14457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D1EEF9F">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_Toc26349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附图</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9</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项目所在区域声环境</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功能区</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区</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_Toc26349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C074183">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_Toc1661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附图10 韶关乐昌经济开发区周边主要饮用水源保护区分布图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3D1F9A8">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_Toc23610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图</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11</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项目周边</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环境</w:t>
      </w:r>
      <w:r>
        <w:rPr>
          <w:rFonts w:hint="default" w:ascii="Times New Roman" w:hAnsi="Times New Roman" w:eastAsia="宋体" w:cs="Times New Roman"/>
          <w:bCs/>
          <w:color w:val="000000" w:themeColor="text1"/>
          <w:highlight w:val="none"/>
          <w:lang w:val="en-US" w:eastAsia="zh-CN"/>
          <w14:textFill>
            <w14:solidFill>
              <w14:schemeClr w14:val="tx1"/>
            </w14:solidFill>
          </w14:textFill>
        </w:rPr>
        <w:t>保护目标分布</w:t>
      </w:r>
      <w:r>
        <w:rPr>
          <w:rFonts w:hint="default" w:ascii="Times New Roman" w:hAnsi="Times New Roman" w:eastAsia="宋体" w:cs="Times New Roman"/>
          <w:bCs/>
          <w:color w:val="000000" w:themeColor="text1"/>
          <w:highlight w:val="none"/>
          <w14:textFill>
            <w14:solidFill>
              <w14:schemeClr w14:val="tx1"/>
            </w14:solidFill>
          </w14:textFill>
        </w:rPr>
        <w:t>示意图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_Toc23610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431127F">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_Toc24107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附图</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12</w:t>
      </w:r>
      <w:r>
        <w:rPr>
          <w:rFonts w:hint="default" w:ascii="Times New Roman" w:hAnsi="Times New Roman" w:eastAsia="宋体" w:cs="Times New Roman"/>
          <w:bCs/>
          <w:color w:val="000000" w:themeColor="text1"/>
          <w:highlight w:val="none"/>
          <w14:textFill>
            <w14:solidFill>
              <w14:schemeClr w14:val="tx1"/>
            </w14:solidFill>
          </w14:textFill>
        </w:rPr>
        <w:t xml:space="preserve"> </w:t>
      </w:r>
      <w:r>
        <w:rPr>
          <w:rFonts w:hint="eastAsia" w:ascii="Times New Roman" w:hAnsi="Times New Roman" w:cs="Times New Roman"/>
          <w:bCs/>
          <w:color w:val="000000" w:themeColor="text1"/>
          <w:highlight w:val="none"/>
          <w:lang w:val="en-US" w:eastAsia="zh-CN"/>
          <w14:textFill>
            <w14:solidFill>
              <w14:schemeClr w14:val="tx1"/>
            </w14:solidFill>
          </w14:textFill>
        </w:rPr>
        <w:t>韶关乐</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昌经济开发区</w:t>
      </w:r>
      <w:r>
        <w:rPr>
          <w:rFonts w:hint="default" w:ascii="Times New Roman" w:hAnsi="Times New Roman" w:eastAsia="宋体" w:cs="Times New Roman"/>
          <w:bCs/>
          <w:color w:val="000000" w:themeColor="text1"/>
          <w:highlight w:val="none"/>
          <w:lang w:val="en-US" w:eastAsia="zh-CN"/>
          <w14:textFill>
            <w14:solidFill>
              <w14:schemeClr w14:val="tx1"/>
            </w14:solidFill>
          </w14:textFill>
        </w:rPr>
        <w:t>城东片区控制性详细规划</w:t>
      </w:r>
      <w:r>
        <w:rPr>
          <w:rFonts w:hint="eastAsia" w:ascii="Times New Roman" w:hAnsi="Times New Roman" w:eastAsia="宋体" w:cs="Times New Roman"/>
          <w:bCs/>
          <w:color w:val="000000" w:themeColor="text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_Toc24107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4474529">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_Toc11664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附图13 项目与广东省“三区三线”的位置关系</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_Toc11664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D18C77D">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_Toc25512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附图14-3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管控</w:t>
      </w:r>
      <w:r>
        <w:rPr>
          <w:rFonts w:hint="eastAsia" w:eastAsia="宋体....." w:cs="Times New Roman"/>
          <w:bCs/>
          <w:color w:val="000000" w:themeColor="text1"/>
          <w:kern w:val="2"/>
          <w:szCs w:val="24"/>
          <w:highlight w:val="none"/>
          <w:lang w:val="en-US" w:eastAsia="zh-CN" w:bidi="ar-SA"/>
          <w14:textFill>
            <w14:solidFill>
              <w14:schemeClr w14:val="tx1"/>
            </w14:solidFill>
          </w14:textFill>
        </w:rPr>
        <w:t>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水环境管控分区截图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_Toc25512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B0306F0">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_Toc10425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附图14-4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生态环境分区管控信息平台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大气环境管控分区截图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_Toc10425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38FFB4C">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_Toc26344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附图14-5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生态环境分区管控信息平台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高污染燃料禁燃区截图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_Toc26344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AE437AD">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_Toc31205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5</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韶关乐</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昌经济开发区</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管网分布图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_Toc31205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C85FB9A">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_Toc14143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附图16  项目所在区域</w:t>
      </w:r>
      <w:r>
        <w:rPr>
          <w:rFonts w:hint="default" w:ascii="Times New Roman" w:hAnsi="Times New Roman" w:eastAsia="宋体....." w:cs="Times New Roman"/>
          <w:bCs/>
          <w:color w:val="000000" w:themeColor="text1"/>
          <w:kern w:val="2"/>
          <w:szCs w:val="24"/>
          <w:highlight w:val="none"/>
          <w:lang w:val="en-US" w:eastAsia="en-US" w:bidi="ar-SA"/>
          <w14:textFill>
            <w14:solidFill>
              <w14:schemeClr w14:val="tx1"/>
            </w14:solidFill>
          </w14:textFill>
        </w:rPr>
        <w:t>土地利用规划图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_Toc14143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82756B0">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_Toc16243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附图17  项目所在区域生态红线分布图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_Toc16243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92C265C">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_Toc15485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附图18  项目周边永久农田、耕地、园地分布图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_Toc15485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5207496">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_Toc16666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附件</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营业执照</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_Toc16666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6EE44F7">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_Toc18951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附件</w:t>
      </w:r>
      <w:r>
        <w:rPr>
          <w:rFonts w:hint="eastAsia" w:ascii="Times New Roman" w:hAnsi="Times New Roman" w:cs="Times New Roman"/>
          <w:bCs/>
          <w:color w:val="000000" w:themeColor="text1"/>
          <w:highlight w:val="none"/>
          <w:lang w:val="en-US" w:eastAsia="zh-CN"/>
          <w14:textFill>
            <w14:solidFill>
              <w14:schemeClr w14:val="tx1"/>
            </w14:solidFill>
          </w14:textFill>
        </w:rPr>
        <w:t>2</w:t>
      </w:r>
      <w:r>
        <w:rPr>
          <w:rFonts w:hint="default" w:ascii="Times New Roman" w:hAnsi="Times New Roman" w:cs="Times New Roman"/>
          <w:bCs/>
          <w:color w:val="000000" w:themeColor="text1"/>
          <w:highlight w:val="none"/>
          <w14:textFill>
            <w14:solidFill>
              <w14:schemeClr w14:val="tx1"/>
            </w14:solidFill>
          </w14:textFill>
        </w:rPr>
        <w:t>：法人身份证复印件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_Toc18951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BCF0724">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_Toc3366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附件3：不动产权证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_Toc3366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056E2F8">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_Toc900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附件</w:t>
      </w:r>
      <w:r>
        <w:rPr>
          <w:rFonts w:hint="eastAsia" w:ascii="Times New Roman" w:hAnsi="Times New Roman" w:cs="Times New Roman"/>
          <w:bCs/>
          <w:color w:val="000000" w:themeColor="text1"/>
          <w:highlight w:val="none"/>
          <w:lang w:val="en-US" w:eastAsia="zh-CN"/>
          <w14:textFill>
            <w14:solidFill>
              <w14:schemeClr w14:val="tx1"/>
            </w14:solidFill>
          </w14:textFill>
        </w:rPr>
        <w:t>4</w:t>
      </w:r>
      <w:r>
        <w:rPr>
          <w:rFonts w:hint="default" w:ascii="Times New Roman" w:hAnsi="Times New Roman" w:cs="Times New Roman"/>
          <w:bCs/>
          <w:color w:val="000000" w:themeColor="text1"/>
          <w:highlight w:val="none"/>
          <w14:textFill>
            <w14:solidFill>
              <w14:schemeClr w14:val="tx1"/>
            </w14:solidFill>
          </w14:textFill>
        </w:rPr>
        <w:t>：</w:t>
      </w:r>
      <w:r>
        <w:rPr>
          <w:rFonts w:hint="default" w:ascii="Times New Roman" w:hAnsi="Times New Roman" w:cs="Times New Roman"/>
          <w:bCs/>
          <w:color w:val="000000" w:themeColor="text1"/>
          <w:highlight w:val="none"/>
          <w:lang w:val="en-US" w:eastAsia="zh-CN"/>
          <w14:textFill>
            <w14:solidFill>
              <w14:schemeClr w14:val="tx1"/>
            </w14:solidFill>
          </w14:textFill>
        </w:rPr>
        <w:t>备案证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6EF8039">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_Toc5358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5-1</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14:textFill>
            <w14:solidFill>
              <w14:schemeClr w14:val="tx1"/>
            </w14:solidFill>
          </w14:textFill>
        </w:rPr>
        <w:t>除油剂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_Toc5358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9D2B352">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_Toc10257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5-2</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14:textFill>
            <w14:solidFill>
              <w14:schemeClr w14:val="tx1"/>
            </w14:solidFill>
          </w14:textFill>
        </w:rPr>
        <w:t>无铬钝化剂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_Toc10257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A34AAC9">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_Toc27056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5-3</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底漆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_Toc27056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7DA276C">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5-4</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面漆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95BB9FB">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_Toc1385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5-5</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清漆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DAB76BA">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_Toc19354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5-6</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稀释剂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_Toc19354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299AAA3">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_Toc10093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5-7</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粉末涂料</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_Toc10093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5C11EC1">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_Toc14389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w:t>
      </w:r>
      <w:r>
        <w:rPr>
          <w:rFonts w:hint="eastAsia"/>
          <w:bCs/>
          <w:color w:val="000000" w:themeColor="text1"/>
          <w:szCs w:val="24"/>
          <w:highlight w:val="none"/>
          <w:lang w:val="en-US" w:eastAsia="zh-CN" w:bidi="ar"/>
          <w14:textFill>
            <w14:solidFill>
              <w14:schemeClr w14:val="tx1"/>
            </w14:solidFill>
          </w14:textFill>
        </w:rPr>
        <w:t>8</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lang w:val="en-US" w:eastAsia="zh-CN"/>
          <w14:textFill>
            <w14:solidFill>
              <w14:schemeClr w14:val="tx1"/>
            </w14:solidFill>
          </w14:textFill>
        </w:rPr>
        <w:t>清洗剂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_Toc14389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4FBCDA9">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_Toc19146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w:t>
      </w:r>
      <w:r>
        <w:rPr>
          <w:rFonts w:hint="eastAsia"/>
          <w:bCs/>
          <w:color w:val="000000" w:themeColor="text1"/>
          <w:szCs w:val="24"/>
          <w:highlight w:val="none"/>
          <w:lang w:val="en-US" w:eastAsia="zh-CN" w:bidi="ar"/>
          <w14:textFill>
            <w14:solidFill>
              <w14:schemeClr w14:val="tx1"/>
            </w14:solidFill>
          </w14:textFill>
        </w:rPr>
        <w:t>9</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24"/>
          <w:highlight w:val="none"/>
          <w:lang w:val="en-US" w:eastAsia="zh-CN"/>
          <w14:textFill>
            <w14:solidFill>
              <w14:schemeClr w14:val="tx1"/>
            </w14:solidFill>
          </w14:textFill>
        </w:rPr>
        <w:t>油漆和粉末涂料VOCs含量检测</w:t>
      </w:r>
      <w:r>
        <w:rPr>
          <w:bCs/>
          <w:color w:val="000000" w:themeColor="text1"/>
          <w:szCs w:val="24"/>
          <w:highlight w:val="none"/>
          <w:lang w:bidi="ar"/>
          <w14:textFill>
            <w14:solidFill>
              <w14:schemeClr w14:val="tx1"/>
            </w14:solidFill>
          </w14:textFill>
        </w:rPr>
        <w:t>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_Toc19146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6E35B3C">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_Toc28463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
          <w14:textFill>
            <w14:solidFill>
              <w14:schemeClr w14:val="tx1"/>
            </w14:solidFill>
          </w14:textFill>
        </w:rPr>
        <w:t>附件6 环境质量现状监测报告（摘录部分）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_Toc28463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EBE7D43">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_Toc11455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eastAsia="宋体"/>
          <w:bCs/>
          <w:color w:val="000000" w:themeColor="text1"/>
          <w:szCs w:val="24"/>
          <w:highlight w:val="none"/>
          <w:lang w:val="en-US" w:eastAsia="zh-CN"/>
          <w14:textFill>
            <w14:solidFill>
              <w14:schemeClr w14:val="tx1"/>
            </w14:solidFill>
          </w14:textFill>
        </w:rPr>
        <w:t>附件7 武江中钛的监测数据（引用摘录）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_Toc11455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7DBE45C">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_Toc30277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eastAsia="宋体"/>
          <w:bCs/>
          <w:color w:val="000000" w:themeColor="text1"/>
          <w:szCs w:val="24"/>
          <w:highlight w:val="none"/>
          <w:lang w:val="en-US" w:eastAsia="zh-CN"/>
          <w14:textFill>
            <w14:solidFill>
              <w14:schemeClr w14:val="tx1"/>
            </w14:solidFill>
          </w14:textFill>
        </w:rPr>
        <w:t>附件8 废水水质监测报告（引用摘录）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_Toc30277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0EED8ED7">
      <w:pPr>
        <w:pStyle w:val="35"/>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_Toc19394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cs="Times New Roman"/>
          <w:bCs/>
          <w:color w:val="000000" w:themeColor="text1"/>
          <w:szCs w:val="24"/>
          <w:highlight w:val="none"/>
          <w:lang w:val="en-US" w:eastAsia="zh-CN"/>
          <w14:textFill>
            <w14:solidFill>
              <w14:schemeClr w14:val="tx1"/>
            </w14:solidFill>
          </w14:textFill>
        </w:rPr>
        <w:t>附件9 总量替代指标来源复函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_Toc19394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ACE1FDC">
      <w:pPr>
        <w:pStyle w:val="35"/>
        <w:tabs>
          <w:tab w:val="right" w:leader="dot" w:pos="8844"/>
        </w:tabs>
        <w:adjustRightInd w:val="0"/>
        <w:snapToGrid w:val="0"/>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p>
    <w:p w14:paraId="104E825B">
      <w:pPr>
        <w:adjustRightInd w:val="0"/>
        <w:snapToGrid w:val="0"/>
        <w:spacing w:line="288" w:lineRule="auto"/>
        <w:jc w:val="center"/>
        <w:rPr>
          <w:rFonts w:hint="default" w:ascii="Times New Roman" w:hAnsi="Times New Roman" w:eastAsia="宋体" w:cs="Times New Roman"/>
          <w:color w:val="000000" w:themeColor="text1"/>
          <w:sz w:val="24"/>
          <w:szCs w:val="24"/>
          <w:highlight w:val="none"/>
          <w14:textFill>
            <w14:solidFill>
              <w14:schemeClr w14:val="tx1"/>
            </w14:solidFill>
          </w14:textFill>
        </w:rPr>
        <w:sectPr>
          <w:headerReference r:id="rId10" w:type="first"/>
          <w:headerReference r:id="rId9" w:type="default"/>
          <w:footerReference r:id="rId11" w:type="default"/>
          <w:footerReference r:id="rId12"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134DE0AE">
      <w:pPr>
        <w:pStyle w:val="41"/>
        <w:jc w:val="center"/>
        <w:outlineLvl w:val="0"/>
        <w:rPr>
          <w:rFonts w:hint="eastAsia" w:ascii="黑体" w:hAnsi="黑体" w:eastAsia="黑体"/>
          <w:snapToGrid w:val="0"/>
          <w:color w:val="000000" w:themeColor="text1"/>
          <w:sz w:val="30"/>
          <w:szCs w:val="30"/>
          <w:highlight w:val="none"/>
          <w14:textFill>
            <w14:solidFill>
              <w14:schemeClr w14:val="tx1"/>
            </w14:solidFill>
          </w14:textFill>
        </w:rPr>
      </w:pPr>
      <w:bookmarkStart w:id="0" w:name="_Toc19762"/>
      <w:bookmarkStart w:id="1" w:name="_Toc17943"/>
      <w:bookmarkStart w:id="2" w:name="_Toc19677"/>
      <w:bookmarkStart w:id="3" w:name="_Toc4519"/>
      <w:r>
        <w:rPr>
          <w:rFonts w:hint="eastAsia" w:ascii="黑体" w:hAnsi="黑体" w:eastAsia="黑体"/>
          <w:snapToGrid w:val="0"/>
          <w:color w:val="000000" w:themeColor="text1"/>
          <w:sz w:val="30"/>
          <w:szCs w:val="30"/>
          <w:highlight w:val="none"/>
          <w14:textFill>
            <w14:solidFill>
              <w14:schemeClr w14:val="tx1"/>
            </w14:solidFill>
          </w14:textFill>
        </w:rPr>
        <w:t>一、建设项目基本情况</w:t>
      </w:r>
      <w:bookmarkEnd w:id="0"/>
      <w:bookmarkEnd w:id="1"/>
      <w:bookmarkEnd w:id="2"/>
      <w:bookmarkEnd w:id="3"/>
    </w:p>
    <w:tbl>
      <w:tblPr>
        <w:tblStyle w:val="4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978"/>
        <w:gridCol w:w="2041"/>
        <w:gridCol w:w="1989"/>
        <w:gridCol w:w="2862"/>
      </w:tblGrid>
      <w:tr w14:paraId="2303A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D4134C9">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建设项目名称</w:t>
            </w:r>
          </w:p>
        </w:tc>
        <w:tc>
          <w:tcPr>
            <w:tcW w:w="6892" w:type="dxa"/>
            <w:gridSpan w:val="3"/>
            <w:noWrap w:val="0"/>
            <w:vAlign w:val="center"/>
          </w:tcPr>
          <w:p w14:paraId="27E55AE9">
            <w:pPr>
              <w:adjustRightInd w:val="0"/>
              <w:snapToGrid w:val="0"/>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乐昌市三筑金属材料智造项目（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重新报批）</w:t>
            </w:r>
          </w:p>
        </w:tc>
      </w:tr>
      <w:tr w14:paraId="43687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34F0AD35">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项目代码</w:t>
            </w:r>
          </w:p>
        </w:tc>
        <w:tc>
          <w:tcPr>
            <w:tcW w:w="6892" w:type="dxa"/>
            <w:gridSpan w:val="3"/>
            <w:noWrap w:val="0"/>
            <w:vAlign w:val="center"/>
          </w:tcPr>
          <w:p w14:paraId="3EC9E275">
            <w:pPr>
              <w:adjustRightInd w:val="0"/>
              <w:snapToGrid w:val="0"/>
              <w:jc w:val="center"/>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2507-440281-04-01-982896</w:t>
            </w:r>
          </w:p>
        </w:tc>
      </w:tr>
      <w:tr w14:paraId="09FD63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21681AE">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建设单位联系人</w:t>
            </w:r>
          </w:p>
        </w:tc>
        <w:tc>
          <w:tcPr>
            <w:tcW w:w="2041" w:type="dxa"/>
            <w:noWrap w:val="0"/>
            <w:vAlign w:val="center"/>
          </w:tcPr>
          <w:p w14:paraId="3B76B617">
            <w:pPr>
              <w:adjustRightInd w:val="0"/>
              <w:snapToGrid w:val="0"/>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tc>
        <w:tc>
          <w:tcPr>
            <w:tcW w:w="1989" w:type="dxa"/>
            <w:noWrap w:val="0"/>
            <w:vAlign w:val="center"/>
          </w:tcPr>
          <w:p w14:paraId="2547486B">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联系方式</w:t>
            </w:r>
          </w:p>
        </w:tc>
        <w:tc>
          <w:tcPr>
            <w:tcW w:w="2862" w:type="dxa"/>
            <w:noWrap w:val="0"/>
            <w:vAlign w:val="center"/>
          </w:tcPr>
          <w:p w14:paraId="462C3736">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p>
        </w:tc>
      </w:tr>
      <w:tr w14:paraId="70D47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58A25A31">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建设地点</w:t>
            </w:r>
          </w:p>
        </w:tc>
        <w:tc>
          <w:tcPr>
            <w:tcW w:w="6892" w:type="dxa"/>
            <w:gridSpan w:val="3"/>
            <w:noWrap w:val="0"/>
            <w:vAlign w:val="center"/>
          </w:tcPr>
          <w:p w14:paraId="01DABA0B">
            <w:pPr>
              <w:adjustRightInd w:val="0"/>
              <w:snapToGrid w:val="0"/>
              <w:jc w:val="center"/>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韶关市乐昌市乐昌经济开发区管理委员会后座046号</w:t>
            </w:r>
          </w:p>
        </w:tc>
      </w:tr>
      <w:tr w14:paraId="683D65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A38E31E">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地理坐标</w:t>
            </w:r>
          </w:p>
        </w:tc>
        <w:tc>
          <w:tcPr>
            <w:tcW w:w="6892" w:type="dxa"/>
            <w:gridSpan w:val="3"/>
            <w:noWrap w:val="0"/>
            <w:vAlign w:val="center"/>
          </w:tcPr>
          <w:p w14:paraId="5202A073">
            <w:pPr>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东经113°24'30.099"，北纬25°9'23.358"</w:t>
            </w:r>
          </w:p>
        </w:tc>
      </w:tr>
      <w:tr w14:paraId="01BC4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978" w:type="dxa"/>
            <w:noWrap w:val="0"/>
            <w:tcMar>
              <w:top w:w="16" w:type="dxa"/>
              <w:left w:w="16" w:type="dxa"/>
              <w:right w:w="16" w:type="dxa"/>
            </w:tcMar>
            <w:vAlign w:val="center"/>
          </w:tcPr>
          <w:p w14:paraId="6327D623">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国民经济</w:t>
            </w:r>
          </w:p>
          <w:p w14:paraId="0942D714">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行业类别</w:t>
            </w:r>
          </w:p>
        </w:tc>
        <w:tc>
          <w:tcPr>
            <w:tcW w:w="2041" w:type="dxa"/>
            <w:noWrap w:val="0"/>
            <w:vAlign w:val="center"/>
          </w:tcPr>
          <w:p w14:paraId="6F778239">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C3360金属表面处理及热处理加工</w:t>
            </w:r>
          </w:p>
        </w:tc>
        <w:tc>
          <w:tcPr>
            <w:tcW w:w="1989" w:type="dxa"/>
            <w:noWrap w:val="0"/>
            <w:vAlign w:val="center"/>
          </w:tcPr>
          <w:p w14:paraId="643D2C7A">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bookmarkStart w:id="4" w:name="_Hlk49843745"/>
            <w:r>
              <w:rPr>
                <w:rFonts w:hint="default" w:ascii="Times New Roman" w:hAnsi="Times New Roman" w:eastAsia="宋体" w:cs="Times New Roman"/>
                <w:color w:val="000000" w:themeColor="text1"/>
                <w:sz w:val="24"/>
                <w:highlight w:val="none"/>
                <w14:textFill>
                  <w14:solidFill>
                    <w14:schemeClr w14:val="tx1"/>
                  </w14:solidFill>
                </w14:textFill>
              </w:rPr>
              <w:t>建设项目</w:t>
            </w:r>
          </w:p>
          <w:p w14:paraId="343D3B03">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行业类别</w:t>
            </w:r>
            <w:bookmarkEnd w:id="4"/>
          </w:p>
        </w:tc>
        <w:tc>
          <w:tcPr>
            <w:tcW w:w="2862" w:type="dxa"/>
            <w:noWrap w:val="0"/>
            <w:vAlign w:val="center"/>
          </w:tcPr>
          <w:p w14:paraId="4D6FE867">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三十、金属制品业 33—67、金属表面处理及热处理加工 336</w:t>
            </w:r>
          </w:p>
        </w:tc>
      </w:tr>
      <w:tr w14:paraId="182EFB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34" w:hRule="atLeast"/>
          <w:jc w:val="center"/>
        </w:trPr>
        <w:tc>
          <w:tcPr>
            <w:tcW w:w="1978" w:type="dxa"/>
            <w:noWrap w:val="0"/>
            <w:tcMar>
              <w:top w:w="16" w:type="dxa"/>
              <w:left w:w="16" w:type="dxa"/>
              <w:right w:w="16" w:type="dxa"/>
            </w:tcMar>
            <w:vAlign w:val="center"/>
          </w:tcPr>
          <w:p w14:paraId="7AF8B6C9">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建设性质</w:t>
            </w:r>
          </w:p>
        </w:tc>
        <w:tc>
          <w:tcPr>
            <w:tcW w:w="2041" w:type="dxa"/>
            <w:noWrap w:val="0"/>
            <w:vAlign w:val="center"/>
          </w:tcPr>
          <w:p w14:paraId="189850F0">
            <w:pPr>
              <w:ind w:firstLine="240" w:firstLineChars="100"/>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sym w:font="Wingdings 2" w:char="0052"/>
            </w:r>
            <w:r>
              <w:rPr>
                <w:rFonts w:hint="default" w:ascii="Times New Roman" w:hAnsi="Times New Roman" w:eastAsia="宋体" w:cs="Times New Roman"/>
                <w:color w:val="000000" w:themeColor="text1"/>
                <w:sz w:val="24"/>
                <w:highlight w:val="none"/>
                <w14:textFill>
                  <w14:solidFill>
                    <w14:schemeClr w14:val="tx1"/>
                  </w14:solidFill>
                </w14:textFill>
              </w:rPr>
              <w:t>新建（迁建）</w:t>
            </w:r>
          </w:p>
          <w:p w14:paraId="29125996">
            <w:pPr>
              <w:ind w:firstLine="240" w:firstLineChars="100"/>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sym w:font="Wingdings 2" w:char="00A3"/>
            </w:r>
            <w:r>
              <w:rPr>
                <w:rFonts w:hint="default" w:ascii="Times New Roman" w:hAnsi="Times New Roman" w:eastAsia="宋体" w:cs="Times New Roman"/>
                <w:color w:val="000000" w:themeColor="text1"/>
                <w:sz w:val="24"/>
                <w:highlight w:val="none"/>
                <w14:textFill>
                  <w14:solidFill>
                    <w14:schemeClr w14:val="tx1"/>
                  </w14:solidFill>
                </w14:textFill>
              </w:rPr>
              <w:t>改建</w:t>
            </w:r>
          </w:p>
          <w:p w14:paraId="19919C30">
            <w:pPr>
              <w:ind w:firstLine="240" w:firstLineChars="100"/>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sym w:font="Wingdings 2" w:char="00A3"/>
            </w:r>
            <w:r>
              <w:rPr>
                <w:rFonts w:hint="default" w:ascii="Times New Roman" w:hAnsi="Times New Roman" w:eastAsia="宋体" w:cs="Times New Roman"/>
                <w:color w:val="000000" w:themeColor="text1"/>
                <w:sz w:val="24"/>
                <w:highlight w:val="none"/>
                <w14:textFill>
                  <w14:solidFill>
                    <w14:schemeClr w14:val="tx1"/>
                  </w14:solidFill>
                </w14:textFill>
              </w:rPr>
              <w:t>扩建</w:t>
            </w:r>
          </w:p>
          <w:p w14:paraId="052C6C91">
            <w:pPr>
              <w:ind w:firstLine="240" w:firstLineChars="100"/>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sym w:font="Wingdings 2" w:char="00A3"/>
            </w:r>
            <w:r>
              <w:rPr>
                <w:rFonts w:hint="default" w:ascii="Times New Roman" w:hAnsi="Times New Roman" w:eastAsia="宋体" w:cs="Times New Roman"/>
                <w:color w:val="000000" w:themeColor="text1"/>
                <w:sz w:val="24"/>
                <w:highlight w:val="none"/>
                <w14:textFill>
                  <w14:solidFill>
                    <w14:schemeClr w14:val="tx1"/>
                  </w14:solidFill>
                </w14:textFill>
              </w:rPr>
              <w:t>技术改造</w:t>
            </w:r>
          </w:p>
        </w:tc>
        <w:tc>
          <w:tcPr>
            <w:tcW w:w="1989" w:type="dxa"/>
            <w:noWrap w:val="0"/>
            <w:vAlign w:val="center"/>
          </w:tcPr>
          <w:p w14:paraId="79CFAF6D">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建设项目</w:t>
            </w:r>
          </w:p>
          <w:p w14:paraId="12A87414">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申报情形</w:t>
            </w:r>
          </w:p>
        </w:tc>
        <w:tc>
          <w:tcPr>
            <w:tcW w:w="2862" w:type="dxa"/>
            <w:noWrap w:val="0"/>
            <w:vAlign w:val="center"/>
          </w:tcPr>
          <w:p w14:paraId="1FA42C80">
            <w:pPr>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sym w:font="Wingdings 2" w:char="00A3"/>
            </w:r>
            <w:r>
              <w:rPr>
                <w:rFonts w:hint="default" w:ascii="Times New Roman" w:hAnsi="Times New Roman" w:eastAsia="宋体" w:cs="Times New Roman"/>
                <w:color w:val="000000" w:themeColor="text1"/>
                <w:sz w:val="24"/>
                <w:highlight w:val="none"/>
                <w14:textFill>
                  <w14:solidFill>
                    <w14:schemeClr w14:val="tx1"/>
                  </w14:solidFill>
                </w14:textFill>
              </w:rPr>
              <w:t>首次申报项目</w:t>
            </w:r>
          </w:p>
          <w:p w14:paraId="67F1780F">
            <w:pPr>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□不予批准后再次申报项目</w:t>
            </w:r>
          </w:p>
          <w:p w14:paraId="5493AF68">
            <w:pPr>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□超五年重新审核项目</w:t>
            </w:r>
          </w:p>
          <w:p w14:paraId="17D4CAEC">
            <w:pPr>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重大变动重新报批项目</w:t>
            </w:r>
          </w:p>
        </w:tc>
      </w:tr>
      <w:tr w14:paraId="7F21E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978" w:type="dxa"/>
            <w:noWrap w:val="0"/>
            <w:tcMar>
              <w:top w:w="16" w:type="dxa"/>
              <w:left w:w="16" w:type="dxa"/>
              <w:right w:w="16" w:type="dxa"/>
            </w:tcMar>
            <w:vAlign w:val="center"/>
          </w:tcPr>
          <w:p w14:paraId="037B1B02">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项目审批（核准/</w:t>
            </w:r>
          </w:p>
          <w:p w14:paraId="0A30172F">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备案）部门（选填）</w:t>
            </w:r>
          </w:p>
        </w:tc>
        <w:tc>
          <w:tcPr>
            <w:tcW w:w="2041" w:type="dxa"/>
            <w:noWrap w:val="0"/>
            <w:vAlign w:val="center"/>
          </w:tcPr>
          <w:p w14:paraId="0DBCE66E">
            <w:pPr>
              <w:adjustRightInd w:val="0"/>
              <w:snapToGrid w:val="0"/>
              <w:jc w:val="center"/>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tc>
        <w:tc>
          <w:tcPr>
            <w:tcW w:w="1989" w:type="dxa"/>
            <w:noWrap w:val="0"/>
            <w:vAlign w:val="center"/>
          </w:tcPr>
          <w:p w14:paraId="58D0B87B">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项目审批（核准/</w:t>
            </w:r>
          </w:p>
          <w:p w14:paraId="53C92757">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备案）文号（选填）</w:t>
            </w:r>
          </w:p>
        </w:tc>
        <w:tc>
          <w:tcPr>
            <w:tcW w:w="2862" w:type="dxa"/>
            <w:noWrap w:val="0"/>
            <w:vAlign w:val="center"/>
          </w:tcPr>
          <w:p w14:paraId="5C7D7844">
            <w:pPr>
              <w:adjustRightInd w:val="0"/>
              <w:snapToGrid w:val="0"/>
              <w:jc w:val="center"/>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tc>
      </w:tr>
      <w:tr w14:paraId="480BB5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3B7A3059">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总投资（万元）</w:t>
            </w:r>
          </w:p>
        </w:tc>
        <w:tc>
          <w:tcPr>
            <w:tcW w:w="2041" w:type="dxa"/>
            <w:noWrap w:val="0"/>
            <w:vAlign w:val="center"/>
          </w:tcPr>
          <w:p w14:paraId="590D0286">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15000</w:t>
            </w:r>
          </w:p>
        </w:tc>
        <w:tc>
          <w:tcPr>
            <w:tcW w:w="1989" w:type="dxa"/>
            <w:noWrap w:val="0"/>
            <w:tcMar>
              <w:top w:w="16" w:type="dxa"/>
              <w:left w:w="16" w:type="dxa"/>
              <w:right w:w="16" w:type="dxa"/>
            </w:tcMar>
            <w:vAlign w:val="center"/>
          </w:tcPr>
          <w:p w14:paraId="0398D9CF">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环保投资（万元）</w:t>
            </w:r>
          </w:p>
        </w:tc>
        <w:tc>
          <w:tcPr>
            <w:tcW w:w="2862" w:type="dxa"/>
            <w:noWrap w:val="0"/>
            <w:vAlign w:val="center"/>
          </w:tcPr>
          <w:p w14:paraId="2EFD999A">
            <w:pPr>
              <w:adjustRightInd w:val="0"/>
              <w:snapToGrid w:val="0"/>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00</w:t>
            </w:r>
          </w:p>
        </w:tc>
      </w:tr>
      <w:tr w14:paraId="71366D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6148A1A1">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环保投资占比（%）</w:t>
            </w:r>
          </w:p>
        </w:tc>
        <w:tc>
          <w:tcPr>
            <w:tcW w:w="2041" w:type="dxa"/>
            <w:noWrap w:val="0"/>
            <w:vAlign w:val="center"/>
          </w:tcPr>
          <w:p w14:paraId="7963B011">
            <w:pPr>
              <w:adjustRightInd w:val="0"/>
              <w:snapToGrid w:val="0"/>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2</w:t>
            </w:r>
          </w:p>
        </w:tc>
        <w:tc>
          <w:tcPr>
            <w:tcW w:w="1989" w:type="dxa"/>
            <w:noWrap w:val="0"/>
            <w:tcMar>
              <w:top w:w="16" w:type="dxa"/>
              <w:left w:w="16" w:type="dxa"/>
              <w:right w:w="16" w:type="dxa"/>
            </w:tcMar>
            <w:vAlign w:val="center"/>
          </w:tcPr>
          <w:p w14:paraId="25A019D7">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施工工期</w:t>
            </w:r>
          </w:p>
        </w:tc>
        <w:tc>
          <w:tcPr>
            <w:tcW w:w="2862" w:type="dxa"/>
            <w:noWrap w:val="0"/>
            <w:vAlign w:val="center"/>
          </w:tcPr>
          <w:p w14:paraId="137F0DD7">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highlight w:val="none"/>
                <w14:textFill>
                  <w14:solidFill>
                    <w14:schemeClr w14:val="tx1"/>
                  </w14:solidFill>
                </w14:textFill>
              </w:rPr>
              <w:t>个月</w:t>
            </w:r>
          </w:p>
        </w:tc>
      </w:tr>
      <w:tr w14:paraId="1AF531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41EAC164">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是否开工建设</w:t>
            </w:r>
          </w:p>
        </w:tc>
        <w:tc>
          <w:tcPr>
            <w:tcW w:w="2041" w:type="dxa"/>
            <w:noWrap w:val="0"/>
            <w:vAlign w:val="center"/>
          </w:tcPr>
          <w:p w14:paraId="263B1782">
            <w:pPr>
              <w:adjustRightInd w:val="0"/>
              <w:snapToGrid w:val="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sym w:font="Wingdings 2" w:char="00A3"/>
            </w:r>
            <w:r>
              <w:rPr>
                <w:rFonts w:hint="default" w:ascii="Times New Roman" w:hAnsi="Times New Roman" w:eastAsia="宋体" w:cs="Times New Roman"/>
                <w:color w:val="000000" w:themeColor="text1"/>
                <w:sz w:val="24"/>
                <w:highlight w:val="none"/>
                <w14:textFill>
                  <w14:solidFill>
                    <w14:schemeClr w14:val="tx1"/>
                  </w14:solidFill>
                </w14:textFill>
              </w:rPr>
              <w:t>否</w:t>
            </w:r>
          </w:p>
          <w:p w14:paraId="50E12261">
            <w:pPr>
              <w:adjustRightInd w:val="0"/>
              <w:snapToGrid w:val="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sym w:font="Wingdings 2" w:char="0052"/>
            </w:r>
            <w:r>
              <w:rPr>
                <w:rFonts w:hint="default" w:ascii="Times New Roman" w:hAnsi="Times New Roman" w:eastAsia="宋体" w:cs="Times New Roman"/>
                <w:color w:val="000000" w:themeColor="text1"/>
                <w:sz w:val="24"/>
                <w:highlight w:val="none"/>
                <w14:textFill>
                  <w14:solidFill>
                    <w14:schemeClr w14:val="tx1"/>
                  </w14:solidFill>
                </w14:textFill>
              </w:rPr>
              <w:t>是：</w:t>
            </w:r>
            <w:r>
              <w:rPr>
                <w:rFonts w:hint="default" w:ascii="Times New Roman" w:hAnsi="Times New Roman" w:eastAsia="宋体" w:cs="Times New Roman"/>
                <w:color w:val="000000" w:themeColor="text1"/>
                <w:sz w:val="24"/>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sz w:val="24"/>
                <w:highlight w:val="none"/>
                <w:u w:val="single"/>
                <w:lang w:val="en-US" w:eastAsia="zh-CN"/>
                <w14:textFill>
                  <w14:solidFill>
                    <w14:schemeClr w14:val="tx1"/>
                  </w14:solidFill>
                </w14:textFill>
              </w:rPr>
              <w:t>原项目在建设过程中发生重大变动</w:t>
            </w:r>
            <w:r>
              <w:rPr>
                <w:rFonts w:hint="default" w:ascii="Times New Roman" w:hAnsi="Times New Roman" w:eastAsia="宋体" w:cs="Times New Roman"/>
                <w:color w:val="000000" w:themeColor="text1"/>
                <w:sz w:val="24"/>
                <w:highlight w:val="none"/>
                <w:u w:val="single"/>
                <w14:textFill>
                  <w14:solidFill>
                    <w14:schemeClr w14:val="tx1"/>
                  </w14:solidFill>
                </w14:textFill>
              </w:rPr>
              <w:t xml:space="preserve">         </w:t>
            </w:r>
          </w:p>
        </w:tc>
        <w:tc>
          <w:tcPr>
            <w:tcW w:w="1989" w:type="dxa"/>
            <w:noWrap w:val="0"/>
            <w:tcMar>
              <w:top w:w="16" w:type="dxa"/>
              <w:left w:w="16" w:type="dxa"/>
              <w:right w:w="16" w:type="dxa"/>
            </w:tcMar>
            <w:vAlign w:val="center"/>
          </w:tcPr>
          <w:p w14:paraId="2DCD810F">
            <w:pPr>
              <w:adjustRightInd w:val="0"/>
              <w:snapToGrid w:val="0"/>
              <w:jc w:val="center"/>
              <w:rPr>
                <w:rFonts w:hint="default" w:ascii="Times New Roman" w:hAnsi="Times New Roman" w:eastAsia="宋体" w:cs="Times New Roman"/>
                <w:color w:val="000000" w:themeColor="text1"/>
                <w:spacing w:val="-6"/>
                <w:sz w:val="24"/>
                <w:highlight w:val="none"/>
                <w14:textFill>
                  <w14:solidFill>
                    <w14:schemeClr w14:val="tx1"/>
                  </w14:solidFill>
                </w14:textFill>
              </w:rPr>
            </w:pPr>
            <w:r>
              <w:rPr>
                <w:rFonts w:hint="default" w:ascii="Times New Roman" w:hAnsi="Times New Roman" w:eastAsia="宋体" w:cs="Times New Roman"/>
                <w:color w:val="000000" w:themeColor="text1"/>
                <w:spacing w:val="-6"/>
                <w:sz w:val="24"/>
                <w:highlight w:val="none"/>
                <w14:textFill>
                  <w14:solidFill>
                    <w14:schemeClr w14:val="tx1"/>
                  </w14:solidFill>
                </w14:textFill>
              </w:rPr>
              <w:t>用地（用海）</w:t>
            </w:r>
          </w:p>
          <w:p w14:paraId="299CB2BE">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pacing w:val="-6"/>
                <w:sz w:val="24"/>
                <w:highlight w:val="none"/>
                <w14:textFill>
                  <w14:solidFill>
                    <w14:schemeClr w14:val="tx1"/>
                  </w14:solidFill>
                </w14:textFill>
              </w:rPr>
              <w:t>面积（m</w:t>
            </w:r>
            <w:r>
              <w:rPr>
                <w:rFonts w:hint="default" w:ascii="Times New Roman" w:hAnsi="Times New Roman" w:eastAsia="宋体" w:cs="Times New Roman"/>
                <w:color w:val="000000" w:themeColor="text1"/>
                <w:spacing w:val="-6"/>
                <w:sz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pacing w:val="-6"/>
                <w:sz w:val="24"/>
                <w:highlight w:val="none"/>
                <w14:textFill>
                  <w14:solidFill>
                    <w14:schemeClr w14:val="tx1"/>
                  </w14:solidFill>
                </w14:textFill>
              </w:rPr>
              <w:t>）</w:t>
            </w:r>
          </w:p>
        </w:tc>
        <w:tc>
          <w:tcPr>
            <w:tcW w:w="2862" w:type="dxa"/>
            <w:noWrap w:val="0"/>
            <w:vAlign w:val="center"/>
          </w:tcPr>
          <w:p w14:paraId="1D8830B3">
            <w:pPr>
              <w:adjustRightInd w:val="0"/>
              <w:snapToGrid w:val="0"/>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54139.29</w:t>
            </w:r>
          </w:p>
        </w:tc>
      </w:tr>
      <w:tr w14:paraId="1B579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6E9E060D">
            <w:pPr>
              <w:autoSpaceDE w:val="0"/>
              <w:autoSpaceDN w:val="0"/>
              <w:adjustRightInd w:val="0"/>
              <w:snapToGrid w:val="0"/>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专项评价设置情况</w:t>
            </w:r>
          </w:p>
        </w:tc>
        <w:tc>
          <w:tcPr>
            <w:tcW w:w="6892" w:type="dxa"/>
            <w:gridSpan w:val="3"/>
            <w:noWrap w:val="0"/>
            <w:vAlign w:val="center"/>
          </w:tcPr>
          <w:p w14:paraId="296721F2">
            <w:pPr>
              <w:pStyle w:val="120"/>
              <w:keepNext w:val="0"/>
              <w:keepLines w:val="0"/>
              <w:pageBreakBefore w:val="0"/>
              <w:widowControl w:val="0"/>
              <w:kinsoku/>
              <w:wordWrap/>
              <w:overflowPunct/>
              <w:topLinePunct w:val="0"/>
              <w:autoSpaceDE/>
              <w:autoSpaceDN/>
              <w:bidi w:val="0"/>
              <w:adjustRightInd/>
              <w:snapToGrid/>
              <w:spacing w:line="100" w:lineRule="exact"/>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p w14:paraId="0BA9A221">
            <w:pPr>
              <w:pStyle w:val="120"/>
              <w:adjustRightInd/>
              <w:jc w:val="left"/>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根据《建设项目环境影响报告表编制技术指南（污染影响类）（试行）》中“表1专项评价设置原则表”，本项目专项评价设置情况如下：</w:t>
            </w:r>
          </w:p>
          <w:p w14:paraId="49A3CDDC">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专项评价设置情况</w:t>
            </w:r>
          </w:p>
          <w:tbl>
            <w:tblPr>
              <w:tblStyle w:val="132"/>
              <w:tblW w:w="499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12"/>
              <w:gridCol w:w="3057"/>
              <w:gridCol w:w="2226"/>
              <w:gridCol w:w="867"/>
            </w:tblGrid>
            <w:tr w14:paraId="656EF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384" w:type="pct"/>
                  <w:tcBorders>
                    <w:tl2br w:val="nil"/>
                    <w:tr2bl w:val="nil"/>
                  </w:tcBorders>
                  <w:noWrap w:val="0"/>
                  <w:vAlign w:val="center"/>
                </w:tcPr>
                <w:p w14:paraId="65C2A5BC">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Cs w:val="21"/>
                      <w:highlight w:val="none"/>
                      <w:lang w:eastAsia="zh-CN"/>
                      <w14:textFill>
                        <w14:solidFill>
                          <w14:schemeClr w14:val="tx1"/>
                        </w14:solidFill>
                      </w14:textFill>
                    </w:rPr>
                    <w:t>专项类别</w:t>
                  </w:r>
                </w:p>
              </w:tc>
              <w:tc>
                <w:tcPr>
                  <w:tcW w:w="2294" w:type="pct"/>
                  <w:tcBorders>
                    <w:tl2br w:val="nil"/>
                    <w:tr2bl w:val="nil"/>
                  </w:tcBorders>
                  <w:noWrap w:val="0"/>
                  <w:vAlign w:val="center"/>
                </w:tcPr>
                <w:p w14:paraId="2585FB9D">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Cs w:val="21"/>
                      <w:highlight w:val="none"/>
                      <w:lang w:eastAsia="zh-CN"/>
                      <w14:textFill>
                        <w14:solidFill>
                          <w14:schemeClr w14:val="tx1"/>
                        </w14:solidFill>
                      </w14:textFill>
                    </w:rPr>
                    <w:t>涉及项目类别</w:t>
                  </w:r>
                </w:p>
              </w:tc>
              <w:tc>
                <w:tcPr>
                  <w:tcW w:w="1671" w:type="pct"/>
                  <w:tcBorders>
                    <w:tl2br w:val="nil"/>
                    <w:tr2bl w:val="nil"/>
                  </w:tcBorders>
                  <w:noWrap w:val="0"/>
                  <w:vAlign w:val="center"/>
                </w:tcPr>
                <w:p w14:paraId="3F33EC97">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Cs w:val="21"/>
                      <w:highlight w:val="none"/>
                      <w:lang w:eastAsia="zh-CN"/>
                      <w14:textFill>
                        <w14:solidFill>
                          <w14:schemeClr w14:val="tx1"/>
                        </w14:solidFill>
                      </w14:textFill>
                    </w:rPr>
                    <w:t>本项目情况</w:t>
                  </w:r>
                </w:p>
              </w:tc>
              <w:tc>
                <w:tcPr>
                  <w:tcW w:w="649" w:type="pct"/>
                  <w:tcBorders>
                    <w:tl2br w:val="nil"/>
                    <w:tr2bl w:val="nil"/>
                  </w:tcBorders>
                  <w:noWrap w:val="0"/>
                  <w:vAlign w:val="center"/>
                </w:tcPr>
                <w:p w14:paraId="1B555A2C">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Cs w:val="21"/>
                      <w:highlight w:val="none"/>
                      <w:lang w:eastAsia="zh-CN"/>
                      <w14:textFill>
                        <w14:solidFill>
                          <w14:schemeClr w14:val="tx1"/>
                        </w14:solidFill>
                      </w14:textFill>
                    </w:rPr>
                    <w:t>是否设置</w:t>
                  </w:r>
                </w:p>
              </w:tc>
            </w:tr>
            <w:tr w14:paraId="21CCD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384" w:type="pct"/>
                  <w:tcBorders>
                    <w:tl2br w:val="nil"/>
                    <w:tr2bl w:val="nil"/>
                  </w:tcBorders>
                  <w:noWrap w:val="0"/>
                  <w:vAlign w:val="center"/>
                </w:tcPr>
                <w:p w14:paraId="5A6300F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大气</w:t>
                  </w:r>
                </w:p>
              </w:tc>
              <w:tc>
                <w:tcPr>
                  <w:tcW w:w="2294" w:type="pct"/>
                  <w:tcBorders>
                    <w:tl2br w:val="nil"/>
                    <w:tr2bl w:val="nil"/>
                  </w:tcBorders>
                  <w:noWrap w:val="0"/>
                  <w:vAlign w:val="center"/>
                </w:tcPr>
                <w:p w14:paraId="17441BB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排放废气含有毒有害污染物</w:t>
                  </w:r>
                  <w:r>
                    <w:rPr>
                      <w:rFonts w:hint="default" w:ascii="Times New Roman" w:hAnsi="Times New Roman" w:eastAsia="宋体" w:cs="Times New Roman"/>
                      <w:b w:val="0"/>
                      <w:bCs w:val="0"/>
                      <w:snapToGrid/>
                      <w:color w:val="000000" w:themeColor="text1"/>
                      <w:kern w:val="2"/>
                      <w:szCs w:val="21"/>
                      <w:highlight w:val="none"/>
                      <w:vertAlign w:val="superscript"/>
                      <w:lang w:eastAsia="zh-CN"/>
                      <w14:textFill>
                        <w14:solidFill>
                          <w14:schemeClr w14:val="tx1"/>
                        </w14:solidFill>
                      </w14:textFill>
                    </w:rPr>
                    <w:t>1</w:t>
                  </w: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、二噁英、苯并[a]芘、氰化物、氯气且厂界外500米范围内有环境空气保护目标</w:t>
                  </w:r>
                  <w:r>
                    <w:rPr>
                      <w:rFonts w:hint="default" w:ascii="Times New Roman" w:hAnsi="Times New Roman" w:eastAsia="宋体" w:cs="Times New Roman"/>
                      <w:b w:val="0"/>
                      <w:bCs w:val="0"/>
                      <w:snapToGrid/>
                      <w:color w:val="000000" w:themeColor="text1"/>
                      <w:kern w:val="2"/>
                      <w:szCs w:val="21"/>
                      <w:highlight w:val="none"/>
                      <w:vertAlign w:val="superscript"/>
                      <w:lang w:eastAsia="zh-CN"/>
                      <w14:textFill>
                        <w14:solidFill>
                          <w14:schemeClr w14:val="tx1"/>
                        </w14:solidFill>
                      </w14:textFill>
                    </w:rPr>
                    <w:t>2</w:t>
                  </w: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的建设项目</w:t>
                  </w:r>
                </w:p>
              </w:tc>
              <w:tc>
                <w:tcPr>
                  <w:tcW w:w="2226" w:type="dxa"/>
                  <w:tcBorders>
                    <w:tl2br w:val="nil"/>
                    <w:tr2bl w:val="nil"/>
                  </w:tcBorders>
                  <w:noWrap w:val="0"/>
                  <w:vAlign w:val="center"/>
                </w:tcPr>
                <w:p w14:paraId="47C6DA2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本项目排放的</w:t>
                  </w:r>
                  <w:r>
                    <w:rPr>
                      <w:rFonts w:hint="eastAsia"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废气</w:t>
                  </w:r>
                  <w:r>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不涉及技术指南规定的有毒有害废气污染物</w:t>
                  </w:r>
                </w:p>
              </w:tc>
              <w:tc>
                <w:tcPr>
                  <w:tcW w:w="649" w:type="pct"/>
                  <w:tcBorders>
                    <w:tl2br w:val="nil"/>
                    <w:tr2bl w:val="nil"/>
                  </w:tcBorders>
                  <w:noWrap w:val="0"/>
                  <w:vAlign w:val="center"/>
                </w:tcPr>
                <w:p w14:paraId="7FCFE6CC">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否</w:t>
                  </w:r>
                </w:p>
              </w:tc>
            </w:tr>
            <w:tr w14:paraId="44D8D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84" w:type="pct"/>
                  <w:tcBorders>
                    <w:tl2br w:val="nil"/>
                    <w:tr2bl w:val="nil"/>
                  </w:tcBorders>
                  <w:noWrap w:val="0"/>
                  <w:vAlign w:val="center"/>
                </w:tcPr>
                <w:p w14:paraId="4AE28995">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地表水</w:t>
                  </w:r>
                </w:p>
              </w:tc>
              <w:tc>
                <w:tcPr>
                  <w:tcW w:w="2294" w:type="pct"/>
                  <w:tcBorders>
                    <w:tl2br w:val="nil"/>
                    <w:tr2bl w:val="nil"/>
                  </w:tcBorders>
                  <w:noWrap w:val="0"/>
                  <w:vAlign w:val="center"/>
                </w:tcPr>
                <w:p w14:paraId="2278C630">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新增工业废水直排建设项目（槽罐车外送污水处理厂的除外）；新增废水直排的污水集中处理厂</w:t>
                  </w:r>
                </w:p>
              </w:tc>
              <w:tc>
                <w:tcPr>
                  <w:tcW w:w="2226" w:type="dxa"/>
                  <w:tcBorders>
                    <w:tl2br w:val="nil"/>
                    <w:tr2bl w:val="nil"/>
                  </w:tcBorders>
                  <w:noWrap w:val="0"/>
                  <w:vAlign w:val="center"/>
                </w:tcPr>
                <w:p w14:paraId="661A4F5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项目废水自处理后依托园区污水处理厂进一步处理，达标后排放至武江，不直排</w:t>
                  </w:r>
                </w:p>
              </w:tc>
              <w:tc>
                <w:tcPr>
                  <w:tcW w:w="649" w:type="pct"/>
                  <w:tcBorders>
                    <w:tl2br w:val="nil"/>
                    <w:tr2bl w:val="nil"/>
                  </w:tcBorders>
                  <w:noWrap w:val="0"/>
                  <w:vAlign w:val="center"/>
                </w:tcPr>
                <w:p w14:paraId="38CC51F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否</w:t>
                  </w:r>
                </w:p>
              </w:tc>
            </w:tr>
            <w:tr w14:paraId="120AA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462AD2E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环境风险</w:t>
                  </w:r>
                </w:p>
              </w:tc>
              <w:tc>
                <w:tcPr>
                  <w:tcW w:w="2294" w:type="pct"/>
                  <w:tcBorders>
                    <w:tl2br w:val="nil"/>
                    <w:tr2bl w:val="nil"/>
                  </w:tcBorders>
                  <w:noWrap w:val="0"/>
                  <w:vAlign w:val="center"/>
                </w:tcPr>
                <w:p w14:paraId="221780BA">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有毒有害和易燃易爆危险物质存储量超过临界量</w:t>
                  </w:r>
                  <w:r>
                    <w:rPr>
                      <w:rFonts w:hint="default" w:ascii="Times New Roman" w:hAnsi="Times New Roman" w:eastAsia="宋体" w:cs="Times New Roman"/>
                      <w:b w:val="0"/>
                      <w:bCs w:val="0"/>
                      <w:snapToGrid/>
                      <w:color w:val="000000" w:themeColor="text1"/>
                      <w:kern w:val="2"/>
                      <w:szCs w:val="21"/>
                      <w:highlight w:val="none"/>
                      <w:vertAlign w:val="superscript"/>
                      <w:lang w:eastAsia="zh-CN"/>
                      <w14:textFill>
                        <w14:solidFill>
                          <w14:schemeClr w14:val="tx1"/>
                        </w14:solidFill>
                      </w14:textFill>
                    </w:rPr>
                    <w:t>3</w:t>
                  </w: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的建设项目</w:t>
                  </w:r>
                </w:p>
              </w:tc>
              <w:tc>
                <w:tcPr>
                  <w:tcW w:w="2226" w:type="dxa"/>
                  <w:tcBorders>
                    <w:tl2br w:val="nil"/>
                    <w:tr2bl w:val="nil"/>
                  </w:tcBorders>
                  <w:noWrap w:val="0"/>
                  <w:vAlign w:val="center"/>
                </w:tcPr>
                <w:p w14:paraId="5E7B3894">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经分析，本项目危险物质存储量总计未超过临界量</w:t>
                  </w:r>
                </w:p>
              </w:tc>
              <w:tc>
                <w:tcPr>
                  <w:tcW w:w="649" w:type="pct"/>
                  <w:tcBorders>
                    <w:tl2br w:val="nil"/>
                    <w:tr2bl w:val="nil"/>
                  </w:tcBorders>
                  <w:noWrap w:val="0"/>
                  <w:vAlign w:val="center"/>
                </w:tcPr>
                <w:p w14:paraId="0712E732">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否</w:t>
                  </w:r>
                </w:p>
              </w:tc>
            </w:tr>
            <w:tr w14:paraId="2B508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5390E7FA">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生态</w:t>
                  </w:r>
                </w:p>
              </w:tc>
              <w:tc>
                <w:tcPr>
                  <w:tcW w:w="2294" w:type="pct"/>
                  <w:tcBorders>
                    <w:tl2br w:val="nil"/>
                    <w:tr2bl w:val="nil"/>
                  </w:tcBorders>
                  <w:noWrap w:val="0"/>
                  <w:vAlign w:val="center"/>
                </w:tcPr>
                <w:p w14:paraId="407AC82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取水口下游500米范围内有重要水生生物的自然产卵场、索饵场、越冬场和洄游通道的新增河道取水的污染类建设项目</w:t>
                  </w:r>
                </w:p>
              </w:tc>
              <w:tc>
                <w:tcPr>
                  <w:tcW w:w="2226" w:type="dxa"/>
                  <w:tcBorders>
                    <w:tl2br w:val="nil"/>
                    <w:tr2bl w:val="nil"/>
                  </w:tcBorders>
                  <w:noWrap w:val="0"/>
                  <w:vAlign w:val="center"/>
                </w:tcPr>
                <w:p w14:paraId="1074E12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本项目不涉及直接从河道取水</w:t>
                  </w:r>
                </w:p>
              </w:tc>
              <w:tc>
                <w:tcPr>
                  <w:tcW w:w="649" w:type="pct"/>
                  <w:tcBorders>
                    <w:tl2br w:val="nil"/>
                    <w:tr2bl w:val="nil"/>
                  </w:tcBorders>
                  <w:noWrap w:val="0"/>
                  <w:vAlign w:val="center"/>
                </w:tcPr>
                <w:p w14:paraId="4FD8D7D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否</w:t>
                  </w:r>
                </w:p>
              </w:tc>
            </w:tr>
            <w:tr w14:paraId="58688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4C1C73AE">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海洋</w:t>
                  </w:r>
                </w:p>
              </w:tc>
              <w:tc>
                <w:tcPr>
                  <w:tcW w:w="2294" w:type="pct"/>
                  <w:tcBorders>
                    <w:tl2br w:val="nil"/>
                    <w:tr2bl w:val="nil"/>
                  </w:tcBorders>
                  <w:noWrap w:val="0"/>
                  <w:vAlign w:val="center"/>
                </w:tcPr>
                <w:p w14:paraId="1B52977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直接向海排放污染物的海洋工程建设项目</w:t>
                  </w:r>
                </w:p>
              </w:tc>
              <w:tc>
                <w:tcPr>
                  <w:tcW w:w="2226" w:type="dxa"/>
                  <w:tcBorders>
                    <w:tl2br w:val="nil"/>
                    <w:tr2bl w:val="nil"/>
                  </w:tcBorders>
                  <w:noWrap w:val="0"/>
                  <w:vAlign w:val="center"/>
                </w:tcPr>
                <w:p w14:paraId="637ADDC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本项目污水排放不涉及海洋</w:t>
                  </w:r>
                </w:p>
              </w:tc>
              <w:tc>
                <w:tcPr>
                  <w:tcW w:w="649" w:type="pct"/>
                  <w:tcBorders>
                    <w:tl2br w:val="nil"/>
                    <w:tr2bl w:val="nil"/>
                  </w:tcBorders>
                  <w:noWrap w:val="0"/>
                  <w:vAlign w:val="center"/>
                </w:tcPr>
                <w:p w14:paraId="4FDE6046">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否</w:t>
                  </w:r>
                </w:p>
              </w:tc>
            </w:tr>
            <w:tr w14:paraId="654F6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5000" w:type="pct"/>
                  <w:gridSpan w:val="4"/>
                  <w:tcBorders>
                    <w:tl2br w:val="nil"/>
                    <w:tr2bl w:val="nil"/>
                  </w:tcBorders>
                  <w:noWrap w:val="0"/>
                  <w:vAlign w:val="center"/>
                </w:tcPr>
                <w:p w14:paraId="3AD33EB0">
                  <w:pPr>
                    <w:widowControl w:val="0"/>
                    <w:kinsoku/>
                    <w:autoSpaceDE/>
                    <w:autoSpaceDN/>
                    <w:adjustRightInd/>
                    <w:snapToGrid/>
                    <w:spacing w:line="240" w:lineRule="auto"/>
                    <w:jc w:val="left"/>
                    <w:textAlignment w:val="auto"/>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eastAsia="zh-CN"/>
                      <w14:textFill>
                        <w14:solidFill>
                          <w14:schemeClr w14:val="tx1"/>
                        </w14:solidFill>
                      </w14:textFill>
                    </w:rPr>
                    <w:t>注：1、废气中有毒有害污染物指纳入《有毒有害大气污染物名录》的污染物（不包括无排放标准的污染物）。2、环境空气保护目标指自然保护区、风景名胜区、居住区、文化区和农村地区中人群较集中的区域。3、临界量及其计算方法可参考《建设项目环境风险评价技术导则》（HJ169）附录B、附录C。</w:t>
                  </w:r>
                </w:p>
              </w:tc>
            </w:tr>
          </w:tbl>
          <w:p w14:paraId="3CD2D015">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100" w:lineRule="exact"/>
              <w:jc w:val="left"/>
              <w:textAlignment w:val="auto"/>
              <w:rPr>
                <w:rFonts w:hint="default" w:ascii="Times New Roman" w:hAnsi="Times New Roman" w:eastAsia="宋体" w:cs="Times New Roman"/>
                <w:color w:val="000000" w:themeColor="text1"/>
                <w:kern w:val="0"/>
                <w:highlight w:val="none"/>
                <w14:textFill>
                  <w14:solidFill>
                    <w14:schemeClr w14:val="tx1"/>
                  </w14:solidFill>
                </w14:textFill>
              </w:rPr>
            </w:pPr>
          </w:p>
          <w:p w14:paraId="6943482A">
            <w:pPr>
              <w:spacing w:line="360" w:lineRule="auto"/>
              <w:ind w:firstLine="420" w:firstLineChars="200"/>
              <w:jc w:val="left"/>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根据上表分析，本项目</w:t>
            </w:r>
            <w:r>
              <w:rPr>
                <w:rFonts w:hint="eastAsia" w:ascii="Times New Roman" w:hAnsi="Times New Roman" w:eastAsia="宋体" w:cs="Times New Roman"/>
                <w:color w:val="000000" w:themeColor="text1"/>
                <w:kern w:val="0"/>
                <w:highlight w:val="none"/>
                <w:lang w:eastAsia="zh-CN"/>
                <w14:textFill>
                  <w14:solidFill>
                    <w14:schemeClr w14:val="tx1"/>
                  </w14:solidFill>
                </w14:textFill>
              </w:rPr>
              <w:t>无须设置</w:t>
            </w:r>
            <w:r>
              <w:rPr>
                <w:rFonts w:hint="default" w:ascii="Times New Roman" w:hAnsi="Times New Roman" w:eastAsia="宋体" w:cs="Times New Roman"/>
                <w:color w:val="000000" w:themeColor="text1"/>
                <w:kern w:val="0"/>
                <w:highlight w:val="none"/>
                <w14:textFill>
                  <w14:solidFill>
                    <w14:schemeClr w14:val="tx1"/>
                  </w14:solidFill>
                </w14:textFill>
              </w:rPr>
              <w:t>专项评价。</w:t>
            </w:r>
          </w:p>
        </w:tc>
      </w:tr>
      <w:tr w14:paraId="4D07E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978" w:type="dxa"/>
            <w:noWrap w:val="0"/>
            <w:vAlign w:val="center"/>
          </w:tcPr>
          <w:p w14:paraId="58871FF1">
            <w:pPr>
              <w:autoSpaceDE w:val="0"/>
              <w:autoSpaceDN w:val="0"/>
              <w:adjustRightInd w:val="0"/>
              <w:snapToGrid w:val="0"/>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规划情况</w:t>
            </w:r>
          </w:p>
        </w:tc>
        <w:tc>
          <w:tcPr>
            <w:tcW w:w="6892" w:type="dxa"/>
            <w:gridSpan w:val="3"/>
            <w:noWrap w:val="0"/>
            <w:vAlign w:val="center"/>
          </w:tcPr>
          <w:p w14:paraId="1DF713E3">
            <w:pPr>
              <w:autoSpaceDE w:val="0"/>
              <w:autoSpaceDN w:val="0"/>
              <w:adjustRightInd w:val="0"/>
              <w:snapToGrid w:val="0"/>
              <w:jc w:val="center"/>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《乐昌产业转移工业园</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城东片区控制性详细规划修编</w:t>
            </w:r>
            <w:r>
              <w:rPr>
                <w:rFonts w:hint="default" w:ascii="Times New Roman" w:hAnsi="Times New Roman" w:eastAsia="宋体" w:cs="Times New Roman"/>
                <w:color w:val="000000" w:themeColor="text1"/>
                <w:sz w:val="24"/>
                <w:highlight w:val="none"/>
                <w14:textFill>
                  <w14:solidFill>
                    <w14:schemeClr w14:val="tx1"/>
                  </w14:solidFill>
                </w14:textFill>
              </w:rPr>
              <w:t>》</w:t>
            </w:r>
          </w:p>
        </w:tc>
      </w:tr>
      <w:tr w14:paraId="309580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0B6ADCA3">
            <w:pPr>
              <w:adjustRightInd w:val="0"/>
              <w:snapToGrid w:val="0"/>
              <w:jc w:val="center"/>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规划环境影响</w:t>
            </w:r>
          </w:p>
          <w:p w14:paraId="5B527D29">
            <w:pPr>
              <w:adjustRightInd w:val="0"/>
              <w:snapToGrid w:val="0"/>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评价情况</w:t>
            </w:r>
          </w:p>
        </w:tc>
        <w:tc>
          <w:tcPr>
            <w:tcW w:w="6892" w:type="dxa"/>
            <w:gridSpan w:val="3"/>
            <w:noWrap w:val="0"/>
            <w:vAlign w:val="center"/>
          </w:tcPr>
          <w:p w14:paraId="1DA6595D">
            <w:pPr>
              <w:pStyle w:val="109"/>
              <w:keepNext w:val="0"/>
              <w:keepLines w:val="0"/>
              <w:pageBreakBefore w:val="0"/>
              <w:tabs>
                <w:tab w:val="left" w:pos="-2848"/>
              </w:tabs>
              <w:kinsoku/>
              <w:wordWrap w:val="0"/>
              <w:overflowPunct/>
              <w:topLinePunct w:val="0"/>
              <w:bidi w:val="0"/>
              <w:adjustRightInd/>
              <w:snapToGrid/>
              <w:spacing w:line="360" w:lineRule="auto"/>
              <w:outlineLvl w:val="9"/>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《韶关乐昌经济开发区规划环境影响报告书》，</w:t>
            </w:r>
            <w:r>
              <w:rPr>
                <w:rFonts w:hint="default" w:ascii="Times New Roman" w:hAnsi="Times New Roman" w:eastAsia="宋体" w:cs="Times New Roman"/>
                <w:color w:val="000000" w:themeColor="text1"/>
                <w:spacing w:val="-1"/>
                <w:sz w:val="24"/>
                <w:szCs w:val="24"/>
                <w:highlight w:val="none"/>
                <w:lang w:eastAsia="zh-CN"/>
                <w14:textFill>
                  <w14:solidFill>
                    <w14:schemeClr w14:val="tx1"/>
                  </w14:solidFill>
                </w14:textFill>
              </w:rPr>
              <w:t>审查单位：</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广东省</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生态环境</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厅，广东省生态环境厅关于印发</w:t>
            </w:r>
            <w:r>
              <w:rPr>
                <w:rFonts w:hint="default"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韶关乐昌经济开发区规划环境影响报告书审查意见</w:t>
            </w:r>
            <w:r>
              <w:rPr>
                <w:rFonts w:hint="default"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的函</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粤环审〔2026〕80 号</w:t>
            </w:r>
          </w:p>
        </w:tc>
      </w:tr>
      <w:tr w14:paraId="257A4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63DB7E6C">
            <w:pPr>
              <w:autoSpaceDE w:val="0"/>
              <w:autoSpaceDN w:val="0"/>
              <w:adjustRightInd w:val="0"/>
              <w:snapToGrid w:val="0"/>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规划及规划环境</w:t>
            </w:r>
          </w:p>
          <w:p w14:paraId="48851F8B">
            <w:pPr>
              <w:autoSpaceDE w:val="0"/>
              <w:autoSpaceDN w:val="0"/>
              <w:adjustRightInd w:val="0"/>
              <w:snapToGrid w:val="0"/>
              <w:jc w:val="center"/>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影响评价符合性分析</w:t>
            </w:r>
          </w:p>
        </w:tc>
        <w:tc>
          <w:tcPr>
            <w:tcW w:w="6892" w:type="dxa"/>
            <w:gridSpan w:val="3"/>
            <w:noWrap w:val="0"/>
            <w:vAlign w:val="center"/>
          </w:tcPr>
          <w:p w14:paraId="34BD84BD">
            <w:pPr>
              <w:keepNext w:val="0"/>
              <w:keepLines w:val="0"/>
              <w:pageBreakBefore w:val="0"/>
              <w:numPr>
                <w:ilvl w:val="0"/>
                <w:numId w:val="0"/>
              </w:numPr>
              <w:tabs>
                <w:tab w:val="left" w:pos="0"/>
              </w:tabs>
              <w:kinsoku/>
              <w:wordWrap w:val="0"/>
              <w:overflowPunct/>
              <w:topLinePunct w:val="0"/>
              <w:bidi w:val="0"/>
              <w:adjustRightInd/>
              <w:snapToGrid/>
              <w:spacing w:line="360" w:lineRule="auto"/>
              <w:ind w:firstLine="476" w:firstLineChars="200"/>
              <w:jc w:val="left"/>
              <w:outlineLvl w:val="9"/>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根据</w:t>
            </w:r>
            <w:r>
              <w:rPr>
                <w:rFonts w:hint="default"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韶关乐昌经济开发区规划环境影响报告书审查意见</w:t>
            </w:r>
            <w:r>
              <w:rPr>
                <w:rFonts w:hint="default"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，新引入企业</w:t>
            </w:r>
            <w:r>
              <w:rPr>
                <w:rFonts w:hint="default" w:ascii="Times New Roman" w:hAnsi="Times New Roman" w:eastAsia="宋体" w:cs="Times New Roman"/>
                <w:color w:val="000000" w:themeColor="text1"/>
                <w:sz w:val="24"/>
                <w:szCs w:val="24"/>
                <w:vertAlign w:val="baseline"/>
                <w14:textFill>
                  <w14:solidFill>
                    <w14:schemeClr w14:val="tx1"/>
                  </w14:solidFill>
                </w14:textFill>
              </w:rPr>
              <w:t>应符合现行有效的《产业结构调整指导目录</w:t>
            </w:r>
            <w:r>
              <w:rPr>
                <w:rFonts w:hint="eastAsia" w:cs="Times New Roman"/>
                <w:color w:val="000000" w:themeColor="text1"/>
                <w:sz w:val="24"/>
                <w:szCs w:val="24"/>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2024</w:t>
            </w:r>
            <w:r>
              <w:rPr>
                <w:rFonts w:hint="eastAsia" w:cs="Times New Roman"/>
                <w:color w:val="000000" w:themeColor="text1"/>
                <w:sz w:val="24"/>
                <w:szCs w:val="24"/>
                <w:vertAlign w:val="baseline"/>
                <w:lang w:val="en-US" w:eastAsia="zh-CN"/>
                <w14:textFill>
                  <w14:solidFill>
                    <w14:schemeClr w14:val="tx1"/>
                  </w14:solidFill>
                </w14:textFill>
              </w:rPr>
              <w:t>年</w:t>
            </w:r>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本</w:t>
            </w:r>
            <w:r>
              <w:rPr>
                <w:rFonts w:hint="eastAsia" w:cs="Times New Roman"/>
                <w:color w:val="000000" w:themeColor="text1"/>
                <w:sz w:val="24"/>
                <w:szCs w:val="24"/>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vertAlign w:val="baseline"/>
                <w14:textFill>
                  <w14:solidFill>
                    <w14:schemeClr w14:val="tx1"/>
                  </w14:solidFill>
                </w14:textFill>
              </w:rPr>
              <w:t>》、《市场准入负面清单》</w:t>
            </w:r>
            <w:r>
              <w:rPr>
                <w:rFonts w:hint="default" w:ascii="Times New Roman" w:hAnsi="Times New Roman" w:eastAsia="宋体" w:cs="Times New Roman"/>
                <w:color w:val="000000" w:themeColor="text1"/>
                <w:sz w:val="24"/>
                <w:szCs w:val="24"/>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发改体改规〔2025〕466 号</w:t>
            </w:r>
            <w:r>
              <w:rPr>
                <w:rFonts w:hint="default" w:ascii="Times New Roman" w:hAnsi="Times New Roman" w:eastAsia="宋体" w:cs="Times New Roman"/>
                <w:color w:val="000000" w:themeColor="text1"/>
                <w:sz w:val="24"/>
                <w:szCs w:val="24"/>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vertAlign w:val="baseline"/>
                <w14:textFill>
                  <w14:solidFill>
                    <w14:schemeClr w14:val="tx1"/>
                  </w14:solidFill>
                </w14:textFill>
              </w:rPr>
              <w:t>、《广东省国家重点生态功能区产业准入负面清单(试行</w:t>
            </w:r>
            <w:r>
              <w:rPr>
                <w:rFonts w:hint="default" w:ascii="Times New Roman" w:hAnsi="Times New Roman" w:eastAsia="宋体" w:cs="Times New Roman"/>
                <w:color w:val="000000" w:themeColor="text1"/>
                <w:sz w:val="24"/>
                <w:szCs w:val="24"/>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vertAlign w:val="baseline"/>
                <w14:textFill>
                  <w14:solidFill>
                    <w14:schemeClr w14:val="tx1"/>
                  </w14:solidFill>
                </w14:textFill>
              </w:rPr>
              <w:t>》</w:t>
            </w:r>
            <w:r>
              <w:rPr>
                <w:rFonts w:hint="default" w:ascii="Times New Roman" w:hAnsi="Times New Roman" w:eastAsia="宋体" w:cs="Times New Roman"/>
                <w:color w:val="000000" w:themeColor="text1"/>
                <w:sz w:val="24"/>
                <w:szCs w:val="24"/>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粤发改规划〔2017〕331 号</w:t>
            </w:r>
            <w:r>
              <w:rPr>
                <w:rFonts w:hint="default" w:ascii="Times New Roman" w:hAnsi="Times New Roman" w:eastAsia="宋体" w:cs="Times New Roman"/>
                <w:color w:val="000000" w:themeColor="text1"/>
                <w:sz w:val="24"/>
                <w:szCs w:val="24"/>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4"/>
                <w:szCs w:val="24"/>
                <w:vertAlign w:val="baseline"/>
                <w14:textFill>
                  <w14:solidFill>
                    <w14:schemeClr w14:val="tx1"/>
                  </w14:solidFill>
                </w14:textFill>
              </w:rPr>
              <w:t>等相关产业政策要求</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。本次规划确定以轻工纺织、机械制造、电子信息、家具制造、金属制品为主导，以特色商贸等现代服务业为支撑的产业体系，重点发展机械、电子、纺织产业，优先引进无污染物或轻污染项目，</w:t>
            </w:r>
            <w:r>
              <w:rPr>
                <w:rFonts w:hint="default" w:ascii="Times New Roman" w:hAnsi="Times New Roman" w:eastAsia="宋体" w:cs="Times New Roman"/>
                <w:color w:val="000000" w:themeColor="text1"/>
                <w:sz w:val="24"/>
                <w:szCs w:val="24"/>
                <w14:textFill>
                  <w14:solidFill>
                    <w14:schemeClr w14:val="tx1"/>
                  </w14:solidFill>
                </w14:textFill>
              </w:rPr>
              <w:t>禁止建设生产和使用高VOCs含量的溶剂型涂料、油墨、胶粘剂等项目。</w:t>
            </w:r>
            <w:r>
              <w:rPr>
                <w:rFonts w:hint="default" w:ascii="Times New Roman" w:hAnsi="Times New Roman" w:eastAsia="宋体" w:cs="Times New Roman"/>
                <w:color w:val="000000" w:themeColor="text1"/>
                <w:sz w:val="24"/>
                <w:szCs w:val="24"/>
                <w:vertAlign w:val="baseline"/>
                <w14:textFill>
                  <w14:solidFill>
                    <w14:schemeClr w14:val="tx1"/>
                  </w14:solidFill>
                </w14:textFill>
              </w:rPr>
              <w:t>禁止新建、扩建专业电镀、鞣革、印染、化学制浆等水污染物排放量大或排放一类污染物、持久性有机污染物的项目。</w:t>
            </w:r>
          </w:p>
          <w:p w14:paraId="58F6471E">
            <w:pPr>
              <w:pStyle w:val="109"/>
              <w:keepNext w:val="0"/>
              <w:keepLines w:val="0"/>
              <w:pageBreakBefore w:val="0"/>
              <w:tabs>
                <w:tab w:val="left" w:pos="-2848"/>
              </w:tabs>
              <w:kinsoku/>
              <w:wordWrap w:val="0"/>
              <w:overflowPunct/>
              <w:topLinePunct w:val="0"/>
              <w:bidi w:val="0"/>
              <w:adjustRightInd/>
              <w:snapToGrid/>
              <w:spacing w:line="360" w:lineRule="auto"/>
              <w:ind w:firstLine="476" w:firstLineChars="200"/>
              <w:jc w:val="left"/>
              <w:outlineLvl w:val="9"/>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本项目满足国家和地方相关产业政策，</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项目所使用溶剂型涂料均为低挥发性产品，项目</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不排放一类污染物和有毒有害物质，不向河流排放含汞、砷、镉、铬、铅等重金属污染物和持久性有机污染物，不属于园区禁止项目，符合园区准入条件。</w:t>
            </w:r>
          </w:p>
          <w:p w14:paraId="0C070EFB">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《韶关乐昌经济开发区规划</w:t>
            </w:r>
          </w:p>
          <w:p w14:paraId="1F06AF07">
            <w:pPr>
              <w:pStyle w:val="15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环境影响报告书审查意见》的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相符性分析</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3324"/>
              <w:gridCol w:w="2172"/>
              <w:gridCol w:w="482"/>
            </w:tblGrid>
            <w:tr w14:paraId="0F7F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8" w:type="dxa"/>
                  <w:vAlign w:val="center"/>
                </w:tcPr>
                <w:p w14:paraId="02265759">
                  <w:pPr>
                    <w:jc w:val="center"/>
                    <w:rPr>
                      <w:rFonts w:hint="default"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管控要求</w:t>
                  </w:r>
                </w:p>
              </w:tc>
              <w:tc>
                <w:tcPr>
                  <w:tcW w:w="3324" w:type="dxa"/>
                  <w:vAlign w:val="center"/>
                </w:tcPr>
                <w:p w14:paraId="034E8FDF">
                  <w:pPr>
                    <w:jc w:val="center"/>
                    <w:rPr>
                      <w:rFonts w:hint="default"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总体准入要求</w:t>
                  </w:r>
                </w:p>
              </w:tc>
              <w:tc>
                <w:tcPr>
                  <w:tcW w:w="2172" w:type="dxa"/>
                  <w:vAlign w:val="center"/>
                </w:tcPr>
                <w:p w14:paraId="55B94685">
                  <w:pPr>
                    <w:jc w:val="center"/>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项目情况</w:t>
                  </w:r>
                </w:p>
              </w:tc>
              <w:tc>
                <w:tcPr>
                  <w:tcW w:w="482" w:type="dxa"/>
                  <w:vAlign w:val="center"/>
                </w:tcPr>
                <w:p w14:paraId="7CA629BE">
                  <w:pPr>
                    <w:jc w:val="center"/>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相符性</w:t>
                  </w:r>
                </w:p>
              </w:tc>
            </w:tr>
            <w:tr w14:paraId="790B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688" w:type="dxa"/>
                  <w:vAlign w:val="center"/>
                </w:tcPr>
                <w:p w14:paraId="6B5E015F">
                  <w:pPr>
                    <w:jc w:val="center"/>
                    <w:rPr>
                      <w:rFonts w:hint="default"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空间布局约束</w:t>
                  </w:r>
                </w:p>
              </w:tc>
              <w:tc>
                <w:tcPr>
                  <w:tcW w:w="3324" w:type="dxa"/>
                  <w:vAlign w:val="center"/>
                </w:tcPr>
                <w:p w14:paraId="256B593B">
                  <w:pPr>
                    <w:jc w:val="center"/>
                    <w:rPr>
                      <w:rFonts w:hint="eastAsia"/>
                      <w:color w:val="000000" w:themeColor="text1"/>
                      <w:vertAlign w:val="baseline"/>
                      <w14:textFill>
                        <w14:solidFill>
                          <w14:schemeClr w14:val="tx1"/>
                        </w14:solidFill>
                      </w14:textFill>
                    </w:rPr>
                  </w:pPr>
                  <w:r>
                    <w:rPr>
                      <w:rFonts w:hint="eastAsia"/>
                      <w:color w:val="000000" w:themeColor="text1"/>
                      <w:vertAlign w:val="baseline"/>
                      <w14:textFill>
                        <w14:solidFill>
                          <w14:schemeClr w14:val="tx1"/>
                        </w14:solidFill>
                      </w14:textFill>
                    </w:rPr>
                    <w:t>引入产业应符合现行有效的《产业结构调整指导目录》、《市场准入负面清单》、《广东省国家重点生态功能区产业准入负面清单(试行</w:t>
                  </w:r>
                  <w:r>
                    <w:rPr>
                      <w:rFonts w:hint="eastAsia"/>
                      <w:color w:val="000000" w:themeColor="text1"/>
                      <w:vertAlign w:val="baseline"/>
                      <w:lang w:eastAsia="zh-CN"/>
                      <w14:textFill>
                        <w14:solidFill>
                          <w14:schemeClr w14:val="tx1"/>
                        </w14:solidFill>
                      </w14:textFill>
                    </w:rPr>
                    <w:t>）</w:t>
                  </w:r>
                  <w:r>
                    <w:rPr>
                      <w:rFonts w:hint="eastAsia"/>
                      <w:color w:val="000000" w:themeColor="text1"/>
                      <w:vertAlign w:val="baseline"/>
                      <w14:textFill>
                        <w14:solidFill>
                          <w14:schemeClr w14:val="tx1"/>
                        </w14:solidFill>
                      </w14:textFill>
                    </w:rPr>
                    <w:t>》等相关产业政策要求。</w:t>
                  </w:r>
                </w:p>
                <w:p w14:paraId="31C47328">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14:textFill>
                        <w14:solidFill>
                          <w14:schemeClr w14:val="tx1"/>
                        </w14:solidFill>
                      </w14:textFill>
                    </w:rPr>
                    <w:t>严格控制高污染高能耗项目建设。</w:t>
                  </w:r>
                  <w:r>
                    <w:rPr>
                      <w:rFonts w:hint="eastAsia"/>
                      <w:color w:val="000000" w:themeColor="text1"/>
                      <w:vertAlign w:val="baseline"/>
                      <w14:textFill>
                        <w14:solidFill>
                          <w14:schemeClr w14:val="tx1"/>
                        </w14:solidFill>
                      </w14:textFill>
                    </w:rPr>
                    <w:t>新、改、扩建项目要达到国内清洁生产先进水平。</w:t>
                  </w:r>
                </w:p>
                <w:p w14:paraId="09EDE0FD">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禁止销售、燃用高污染燃料</w:t>
                  </w:r>
                  <w:r>
                    <w:rPr>
                      <w:rFonts w:hint="eastAsia"/>
                      <w:color w:val="000000" w:themeColor="text1"/>
                      <w:vertAlign w:val="baseline"/>
                      <w:lang w:eastAsia="zh-CN"/>
                      <w14:textFill>
                        <w14:solidFill>
                          <w14:schemeClr w14:val="tx1"/>
                        </w14:solidFill>
                      </w14:textFill>
                    </w:rPr>
                    <w:t>；</w:t>
                  </w:r>
                  <w:r>
                    <w:rPr>
                      <w:rFonts w:hint="eastAsia"/>
                      <w:color w:val="000000" w:themeColor="text1"/>
                      <w:vertAlign w:val="baseline"/>
                      <w14:textFill>
                        <w14:solidFill>
                          <w14:schemeClr w14:val="tx1"/>
                        </w14:solidFill>
                      </w14:textFill>
                    </w:rPr>
                    <w:t>禁止新建、扩建燃用高污染燃料的设施</w:t>
                  </w:r>
                  <w:r>
                    <w:rPr>
                      <w:rFonts w:hint="eastAsia"/>
                      <w:color w:val="000000" w:themeColor="text1"/>
                      <w:vertAlign w:val="baseline"/>
                      <w:lang w:eastAsia="zh-CN"/>
                      <w14:textFill>
                        <w14:solidFill>
                          <w14:schemeClr w14:val="tx1"/>
                        </w14:solidFill>
                      </w14:textFill>
                    </w:rPr>
                    <w:t>；</w:t>
                  </w:r>
                  <w:r>
                    <w:rPr>
                      <w:rFonts w:hint="eastAsia"/>
                      <w:color w:val="000000" w:themeColor="text1"/>
                      <w14:textFill>
                        <w14:solidFill>
                          <w14:schemeClr w14:val="tx1"/>
                        </w14:solidFill>
                      </w14:textFill>
                    </w:rPr>
                    <w:t>禁止建设生产和使用高VOCs含量的溶剂型涂料、油墨、胶粘剂等项目。</w:t>
                  </w:r>
                </w:p>
                <w:p w14:paraId="69ED5A52">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禁止新建、扩建专业电镀、鞣革、印染、化学制浆等水污染物排放量大或排放一类污染物、持久性有机污染物的项目。</w:t>
                  </w:r>
                </w:p>
                <w:p w14:paraId="2E4492C1">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p w14:paraId="18954211">
                  <w:pPr>
                    <w:jc w:val="center"/>
                    <w:rPr>
                      <w:rFonts w:hint="eastAsia"/>
                      <w:color w:val="000000" w:themeColor="text1"/>
                      <w:vertAlign w:val="baseline"/>
                      <w14:textFill>
                        <w14:solidFill>
                          <w14:schemeClr w14:val="tx1"/>
                        </w14:solidFill>
                      </w14:textFill>
                    </w:rPr>
                  </w:pPr>
                  <w:r>
                    <w:rPr>
                      <w:rFonts w:hint="eastAsia"/>
                      <w:color w:val="000000" w:themeColor="text1"/>
                      <w:vertAlign w:val="baseline"/>
                      <w14:textFill>
                        <w14:solidFill>
                          <w14:schemeClr w14:val="tx1"/>
                        </w14:solidFill>
                      </w14:textFill>
                    </w:rPr>
                    <w:t>与饮用水源准保护区重叠区域划定为优先保护单元，不进行工业开发利用，禁止新建、扩建对水体污染严重的建设项目，改建项目不得增加排污量。</w:t>
                  </w:r>
                </w:p>
                <w:p w14:paraId="38826741">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2172" w:type="dxa"/>
                  <w:vAlign w:val="center"/>
                </w:tcPr>
                <w:p w14:paraId="72148161">
                  <w:pPr>
                    <w:jc w:val="center"/>
                    <w:rPr>
                      <w:rFonts w:hint="default"/>
                      <w:color w:val="000000" w:themeColor="text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本项目为金属表面处理及热处理加工行业，不属于造纸、焦化、有色金属、印染、农副食品加工、原料药制造、制革、农药、电镀等行业，不属于“两高”项目。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本项目满足国家和地方相关产业政策，</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项目所使用溶剂型涂料</w:t>
                  </w:r>
                  <w:r>
                    <w:rPr>
                      <w:rFonts w:hint="eastAsia" w:cs="Times New Roman"/>
                      <w:color w:val="000000" w:themeColor="text1"/>
                      <w:spacing w:val="-1"/>
                      <w:sz w:val="21"/>
                      <w:szCs w:val="21"/>
                      <w:highlight w:val="none"/>
                      <w:lang w:val="en-US" w:eastAsia="zh-CN"/>
                      <w14:textFill>
                        <w14:solidFill>
                          <w14:schemeClr w14:val="tx1"/>
                        </w14:solidFill>
                      </w14:textFill>
                    </w:rPr>
                    <w:t>等</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均为低</w:t>
                  </w:r>
                  <w:r>
                    <w:rPr>
                      <w:rFonts w:hint="eastAsia" w:cs="Times New Roman"/>
                      <w:color w:val="000000" w:themeColor="text1"/>
                      <w:spacing w:val="-1"/>
                      <w:sz w:val="21"/>
                      <w:szCs w:val="21"/>
                      <w:highlight w:val="none"/>
                      <w:lang w:val="en-US" w:eastAsia="zh-CN"/>
                      <w14:textFill>
                        <w14:solidFill>
                          <w14:schemeClr w14:val="tx1"/>
                        </w14:solidFill>
                      </w14:textFill>
                    </w:rPr>
                    <w:t>VOCs含量</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产品，项目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不排放一类污染物和有毒有害物质，不向河流排放含汞、砷、镉、铬、铅等重金属污染物和持久性有机污染物，不属于园区禁止项目</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482" w:type="dxa"/>
                  <w:vAlign w:val="center"/>
                </w:tcPr>
                <w:p w14:paraId="0999741C">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相符</w:t>
                  </w:r>
                </w:p>
              </w:tc>
            </w:tr>
            <w:tr w14:paraId="4392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88" w:type="dxa"/>
                  <w:vAlign w:val="center"/>
                </w:tcPr>
                <w:p w14:paraId="357B90F9">
                  <w:pPr>
                    <w:jc w:val="center"/>
                    <w:rPr>
                      <w:rFonts w:hint="default"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污染物排放管控</w:t>
                  </w:r>
                </w:p>
              </w:tc>
              <w:tc>
                <w:tcPr>
                  <w:tcW w:w="3324" w:type="dxa"/>
                  <w:vAlign w:val="center"/>
                </w:tcPr>
                <w:p w14:paraId="17608DDC">
                  <w:pPr>
                    <w:numPr>
                      <w:ilvl w:val="0"/>
                      <w:numId w:val="0"/>
                    </w:numPr>
                    <w:jc w:val="center"/>
                    <w:rPr>
                      <w:rFonts w:hint="eastAsia"/>
                      <w:color w:val="000000" w:themeColor="text1"/>
                      <w:vertAlign w:val="baseline"/>
                      <w14:textFill>
                        <w14:solidFill>
                          <w14:schemeClr w14:val="tx1"/>
                        </w14:solidFill>
                      </w14:textFill>
                    </w:rPr>
                  </w:pPr>
                  <w:r>
                    <w:rPr>
                      <w:rFonts w:hint="eastAsia"/>
                      <w:color w:val="000000" w:themeColor="text1"/>
                      <w:vertAlign w:val="baseline"/>
                      <w14:textFill>
                        <w14:solidFill>
                          <w14:schemeClr w14:val="tx1"/>
                        </w14:solidFill>
                      </w14:textFill>
                    </w:rPr>
                    <w:t>在可核查、可监管的基础上，新建项目原则上实施氮氧化物(NOx)和挥发性有机物(VOCs)等量替代。</w:t>
                  </w:r>
                </w:p>
                <w:p w14:paraId="1217B418">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根据《广东省生态环境厅关于在重点区域执行污染物特别排放限值的公告》(粤环发(2023)1号)要求，执行相应特别排放限值要求。</w:t>
                  </w:r>
                </w:p>
                <w:p w14:paraId="11EDA0F2">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开发区内各企业污废水原则上应接入园区污水处理厂进行集中处理、达标排放。各企业生产废水需经预处理达到广东省《水污染物排放限值》(DB4426-2001)第二时段三级标准、所属行业排放标准(间接排放)，以及污水处理厂接管标准后，方可与规划区生活污水通过污水管线一并进入园区污水处理厂处理。</w:t>
                  </w:r>
                </w:p>
                <w:p w14:paraId="557F8C9C">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p w14:paraId="474FB97C">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产生固体废物(含危险废物)的企业须配套建设符合规范且满足需求的贮存场所，固体废物(含危险废物)贮存、转移过程中应配套防扬散、防流失、防渗漏及其它防止污染环境的措施。</w:t>
                  </w:r>
                </w:p>
                <w:p w14:paraId="64BD7CD4">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重点重金属按照韶关市生态环境分区管控要求执行。</w:t>
                  </w:r>
                </w:p>
              </w:tc>
              <w:tc>
                <w:tcPr>
                  <w:tcW w:w="2172" w:type="dxa"/>
                  <w:vAlign w:val="center"/>
                </w:tcPr>
                <w:p w14:paraId="0222A704">
                  <w:pPr>
                    <w:jc w:val="center"/>
                    <w:rPr>
                      <w:rFonts w:hint="eastAsia" w:eastAsia="宋体"/>
                      <w:color w:val="000000" w:themeColor="text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不排放一类污染物和有毒有害物质，不向河流排放含汞、砷、镉、铬、铅等重金属污染物和持久性有机污染物，不属于园区禁止项目</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氮氧化物</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VOCs实行总量控制。项目所在地不涉及饮用水水源保护区，生产废水经自建污水处理站处理后排入园区污水处理厂</w:t>
                  </w:r>
                  <w:r>
                    <w:rPr>
                      <w:rFonts w:hint="eastAsia"/>
                      <w:color w:val="000000" w:themeColor="text1"/>
                      <w:sz w:val="21"/>
                      <w:szCs w:val="21"/>
                      <w:highlight w:val="none"/>
                      <w:lang w:val="en-US" w:eastAsia="zh-CN"/>
                      <w14:textFill>
                        <w14:solidFill>
                          <w14:schemeClr w14:val="tx1"/>
                        </w14:solidFill>
                      </w14:textFill>
                    </w:rPr>
                    <w:t>深度处理</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处理</w:t>
                  </w:r>
                  <w:r>
                    <w:rPr>
                      <w:rFonts w:hint="eastAsia"/>
                      <w:color w:val="000000" w:themeColor="text1"/>
                      <w:sz w:val="21"/>
                      <w:szCs w:val="21"/>
                      <w:highlight w:val="none"/>
                      <w14:textFill>
                        <w14:solidFill>
                          <w14:schemeClr w14:val="tx1"/>
                        </w14:solidFill>
                      </w14:textFill>
                    </w:rPr>
                    <w:t>达标后通过出水管道输送</w:t>
                  </w:r>
                  <w:r>
                    <w:rPr>
                      <w:rFonts w:hint="eastAsia"/>
                      <w:color w:val="000000" w:themeColor="text1"/>
                      <w:sz w:val="21"/>
                      <w:szCs w:val="21"/>
                      <w:highlight w:val="none"/>
                      <w:lang w:val="en-US" w:eastAsia="zh-CN"/>
                      <w14:textFill>
                        <w14:solidFill>
                          <w14:schemeClr w14:val="tx1"/>
                        </w14:solidFill>
                      </w14:textFill>
                    </w:rPr>
                    <w:t>尾水</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经</w:t>
                  </w:r>
                  <w:r>
                    <w:rPr>
                      <w:rFonts w:hint="eastAsia"/>
                      <w:color w:val="000000" w:themeColor="text1"/>
                      <w:sz w:val="21"/>
                      <w:szCs w:val="21"/>
                      <w:highlight w:val="none"/>
                      <w14:textFill>
                        <w14:solidFill>
                          <w14:schemeClr w14:val="tx1"/>
                        </w14:solidFill>
                      </w14:textFill>
                    </w:rPr>
                    <w:t>废水排放口</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WS-LC005001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排放至</w:t>
                  </w:r>
                  <w:r>
                    <w:rPr>
                      <w:rFonts w:hint="eastAsia"/>
                      <w:color w:val="000000" w:themeColor="text1"/>
                      <w:sz w:val="21"/>
                      <w:szCs w:val="21"/>
                      <w:highlight w:val="none"/>
                      <w14:textFill>
                        <w14:solidFill>
                          <w14:schemeClr w14:val="tx1"/>
                        </w14:solidFill>
                      </w14:textFill>
                    </w:rPr>
                    <w:t>榴村霜降坑河</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最终</w:t>
                  </w:r>
                  <w:r>
                    <w:rPr>
                      <w:rFonts w:hint="eastAsia"/>
                      <w:color w:val="000000" w:themeColor="text1"/>
                      <w:sz w:val="21"/>
                      <w:szCs w:val="21"/>
                      <w:highlight w:val="none"/>
                      <w14:textFill>
                        <w14:solidFill>
                          <w14:schemeClr w14:val="tx1"/>
                        </w14:solidFill>
                      </w14:textFill>
                    </w:rPr>
                    <w:t>流入武江</w:t>
                  </w:r>
                  <w:r>
                    <w:rPr>
                      <w:rFonts w:hint="default" w:ascii="Times New Roman" w:hAnsi="Times New Roman" w:cs="Times New Roman"/>
                      <w:color w:val="000000" w:themeColor="text1"/>
                      <w:sz w:val="21"/>
                      <w:szCs w:val="21"/>
                      <w:highlight w:val="none"/>
                      <w14:textFill>
                        <w14:solidFill>
                          <w14:schemeClr w14:val="tx1"/>
                        </w14:solidFill>
                      </w14:textFill>
                    </w:rPr>
                    <w:t>；生活污水经三级化粪池</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+隔油隔渣池</w:t>
                  </w:r>
                  <w:r>
                    <w:rPr>
                      <w:rFonts w:hint="default" w:ascii="Times New Roman" w:hAnsi="Times New Roman" w:cs="Times New Roman"/>
                      <w:color w:val="000000" w:themeColor="text1"/>
                      <w:sz w:val="21"/>
                      <w:szCs w:val="21"/>
                      <w:highlight w:val="none"/>
                      <w14:textFill>
                        <w14:solidFill>
                          <w14:schemeClr w14:val="tx1"/>
                        </w14:solidFill>
                      </w14:textFill>
                    </w:rPr>
                    <w:t>处理后排入园区污水处理厂，园区污水处理厂执行《城镇污水处理厂污染物排放标准》</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GB18918-2002</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中一级B标准和广东省《水污染物排放限值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（DB44/26-2001）中的第二时段一级排放标准中严者。</w:t>
                  </w:r>
                </w:p>
              </w:tc>
              <w:tc>
                <w:tcPr>
                  <w:tcW w:w="482" w:type="dxa"/>
                  <w:vAlign w:val="center"/>
                </w:tcPr>
                <w:p w14:paraId="49114389">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相符</w:t>
                  </w:r>
                </w:p>
              </w:tc>
            </w:tr>
            <w:tr w14:paraId="0D91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trPr>
              <w:tc>
                <w:tcPr>
                  <w:tcW w:w="688" w:type="dxa"/>
                  <w:vAlign w:val="center"/>
                </w:tcPr>
                <w:p w14:paraId="455C11EF">
                  <w:pPr>
                    <w:jc w:val="center"/>
                    <w:rPr>
                      <w:rFonts w:hint="default"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环境风险管控</w:t>
                  </w:r>
                </w:p>
              </w:tc>
              <w:tc>
                <w:tcPr>
                  <w:tcW w:w="3324" w:type="dxa"/>
                  <w:vAlign w:val="center"/>
                </w:tcPr>
                <w:p w14:paraId="25F061C1">
                  <w:pPr>
                    <w:numPr>
                      <w:ilvl w:val="0"/>
                      <w:numId w:val="0"/>
                    </w:numPr>
                    <w:ind w:left="0" w:leftChars="0" w:firstLine="0" w:firstLineChars="0"/>
                    <w:jc w:val="center"/>
                    <w:rPr>
                      <w:rFonts w:hint="eastAsia"/>
                      <w:color w:val="000000" w:themeColor="text1"/>
                      <w:vertAlign w:val="baseline"/>
                      <w14:textFill>
                        <w14:solidFill>
                          <w14:schemeClr w14:val="tx1"/>
                        </w14:solidFill>
                      </w14:textFill>
                    </w:rPr>
                  </w:pPr>
                  <w:r>
                    <w:rPr>
                      <w:rFonts w:hint="eastAsia"/>
                      <w:color w:val="000000" w:themeColor="text1"/>
                      <w:vertAlign w:val="baseline"/>
                      <w14:textFill>
                        <w14:solidFill>
                          <w14:schemeClr w14:val="tx1"/>
                        </w14:solidFill>
                      </w14:textFill>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p w14:paraId="0F72638C">
                  <w:pPr>
                    <w:numPr>
                      <w:ilvl w:val="0"/>
                      <w:numId w:val="0"/>
                    </w:numPr>
                    <w:ind w:leftChars="0"/>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14:textFill>
                        <w14:solidFill>
                          <w14:schemeClr w14:val="tx1"/>
                        </w14:solidFill>
                      </w14:textFill>
                    </w:rPr>
                    <w:t>涉及生产废水排放企业需配套有效措施，防止事故废水直排污染地表水体，防止因渗漏污染地下水。</w:t>
                  </w:r>
                </w:p>
                <w:p w14:paraId="3E690A33">
                  <w:pPr>
                    <w:numPr>
                      <w:ilvl w:val="0"/>
                      <w:numId w:val="0"/>
                    </w:numPr>
                    <w:ind w:leftChars="0"/>
                    <w:jc w:val="center"/>
                    <w:rPr>
                      <w:color w:val="000000" w:themeColor="text1"/>
                      <w:vertAlign w:val="baseline"/>
                      <w14:textFill>
                        <w14:solidFill>
                          <w14:schemeClr w14:val="tx1"/>
                        </w14:solidFill>
                      </w14:textFill>
                    </w:rPr>
                  </w:pPr>
                  <w:r>
                    <w:rPr>
                      <w:rFonts w:hint="eastAsia"/>
                      <w:color w:val="000000" w:themeColor="text1"/>
                      <w:vertAlign w:val="baseline"/>
                      <w14:textFill>
                        <w14:solidFill>
                          <w14:schemeClr w14:val="tx1"/>
                        </w14:solidFill>
                      </w14:textFill>
                    </w:rPr>
                    <w:t>应符合《韶关市人民政府关于印发韶关市“三线一单"生态环境分区管控方案的通知》(韶府(2021)10号)、《韶关市生态环境分区管控动态更新成果》及后续生态环境分区管控动态更新要求</w:t>
                  </w:r>
                </w:p>
              </w:tc>
              <w:tc>
                <w:tcPr>
                  <w:tcW w:w="2172" w:type="dxa"/>
                  <w:vAlign w:val="center"/>
                </w:tcPr>
                <w:p w14:paraId="43DB271E">
                  <w:pPr>
                    <w:numPr>
                      <w:ilvl w:val="0"/>
                      <w:numId w:val="0"/>
                    </w:numPr>
                    <w:ind w:leftChars="0"/>
                    <w:jc w:val="center"/>
                    <w:rPr>
                      <w:rFonts w:hint="eastAsia"/>
                      <w:color w:val="000000" w:themeColor="text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482" w:type="dxa"/>
                  <w:vAlign w:val="center"/>
                </w:tcPr>
                <w:p w14:paraId="270D4C84">
                  <w:pPr>
                    <w:numPr>
                      <w:ilvl w:val="0"/>
                      <w:numId w:val="0"/>
                    </w:numPr>
                    <w:ind w:leftChars="0"/>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相符</w:t>
                  </w:r>
                </w:p>
              </w:tc>
            </w:tr>
            <w:tr w14:paraId="7CD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trPr>
              <w:tc>
                <w:tcPr>
                  <w:tcW w:w="688" w:type="dxa"/>
                  <w:vAlign w:val="center"/>
                </w:tcPr>
                <w:p w14:paraId="03DC78EE">
                  <w:pPr>
                    <w:jc w:val="center"/>
                    <w:rPr>
                      <w:rFonts w:hint="default"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资源开发利用管理</w:t>
                  </w:r>
                </w:p>
              </w:tc>
              <w:tc>
                <w:tcPr>
                  <w:tcW w:w="3324" w:type="dxa"/>
                  <w:vAlign w:val="center"/>
                </w:tcPr>
                <w:p w14:paraId="621A37A3">
                  <w:pPr>
                    <w:jc w:val="center"/>
                    <w:rPr>
                      <w:rFonts w:hint="eastAsia"/>
                      <w:color w:val="000000" w:themeColor="text1"/>
                      <w:vertAlign w:val="baseline"/>
                      <w14:textFill>
                        <w14:solidFill>
                          <w14:schemeClr w14:val="tx1"/>
                        </w14:solidFill>
                      </w14:textFill>
                    </w:rPr>
                  </w:pPr>
                  <w:r>
                    <w:rPr>
                      <w:rFonts w:hint="eastAsia"/>
                      <w:color w:val="000000" w:themeColor="text1"/>
                      <w:vertAlign w:val="baseline"/>
                      <w14:textFill>
                        <w14:solidFill>
                          <w14:schemeClr w14:val="tx1"/>
                        </w14:solidFill>
                      </w14:textFill>
                    </w:rPr>
                    <w:t>禁止使用高污染燃料，建议使用电能、天然气等清洁能源。</w:t>
                  </w:r>
                </w:p>
                <w:p w14:paraId="61D3E95D">
                  <w:pPr>
                    <w:jc w:val="center"/>
                    <w:rPr>
                      <w:rFonts w:hint="eastAsia" w:eastAsiaTheme="minorEastAsia"/>
                      <w:color w:val="000000" w:themeColor="text1"/>
                      <w:vertAlign w:val="baseline"/>
                      <w:lang w:eastAsia="zh-CN"/>
                      <w14:textFill>
                        <w14:solidFill>
                          <w14:schemeClr w14:val="tx1"/>
                        </w14:solidFill>
                      </w14:textFill>
                    </w:rPr>
                  </w:pPr>
                  <w:r>
                    <w:rPr>
                      <w:rFonts w:hint="eastAsia"/>
                      <w:color w:val="000000" w:themeColor="text1"/>
                      <w:vertAlign w:val="baseline"/>
                      <w14:textFill>
                        <w14:solidFill>
                          <w14:schemeClr w14:val="tx1"/>
                        </w14:solidFill>
                      </w14:textFill>
                    </w:rPr>
                    <w:t>贯彻落实“节水优先”方针，实行最严格水资源管理制度</w:t>
                  </w:r>
                  <w:r>
                    <w:rPr>
                      <w:rFonts w:hint="eastAsia"/>
                      <w:color w:val="000000" w:themeColor="text1"/>
                      <w:vertAlign w:val="baseline"/>
                      <w:lang w:eastAsia="zh-CN"/>
                      <w14:textFill>
                        <w14:solidFill>
                          <w14:schemeClr w14:val="tx1"/>
                        </w14:solidFill>
                      </w14:textFill>
                    </w:rPr>
                    <w:t>。</w:t>
                  </w:r>
                </w:p>
                <w:p w14:paraId="4672DF94">
                  <w:pPr>
                    <w:jc w:val="center"/>
                    <w:rPr>
                      <w:rFonts w:hint="eastAsia" w:eastAsiaTheme="minorEastAsia"/>
                      <w:color w:val="000000" w:themeColor="text1"/>
                      <w:vertAlign w:val="baseline"/>
                      <w:lang w:eastAsia="zh-CN"/>
                      <w14:textFill>
                        <w14:solidFill>
                          <w14:schemeClr w14:val="tx1"/>
                        </w14:solidFill>
                      </w14:textFill>
                    </w:rPr>
                  </w:pPr>
                  <w:r>
                    <w:rPr>
                      <w:rFonts w:hint="eastAsia"/>
                      <w:color w:val="000000" w:themeColor="text1"/>
                      <w:vertAlign w:val="baseline"/>
                      <w14:textFill>
                        <w14:solidFill>
                          <w14:schemeClr w14:val="tx1"/>
                        </w14:solidFill>
                      </w14:textFill>
                    </w:rPr>
                    <w:t>符合《韶关市人民政府关于印发韶关市“三线一单”生态环境分区管控方案的通知》(韶府(2021)10号)《韶关市生态环境分区管控动态更新成果》及后续生态环境分区管控动态更新要求</w:t>
                  </w:r>
                  <w:r>
                    <w:rPr>
                      <w:rFonts w:hint="eastAsia"/>
                      <w:color w:val="000000" w:themeColor="text1"/>
                      <w:vertAlign w:val="baseline"/>
                      <w:lang w:eastAsia="zh-CN"/>
                      <w14:textFill>
                        <w14:solidFill>
                          <w14:schemeClr w14:val="tx1"/>
                        </w14:solidFill>
                      </w14:textFill>
                    </w:rPr>
                    <w:t>。</w:t>
                  </w:r>
                </w:p>
              </w:tc>
              <w:tc>
                <w:tcPr>
                  <w:tcW w:w="2172" w:type="dxa"/>
                  <w:vAlign w:val="center"/>
                </w:tcPr>
                <w:p w14:paraId="7765BF25">
                  <w:pPr>
                    <w:jc w:val="center"/>
                    <w:rPr>
                      <w:rFonts w:hint="eastAsia"/>
                      <w:color w:val="000000" w:themeColor="text1"/>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default" w:ascii="Times New Roman" w:hAnsi="Times New Roman" w:cs="Times New Roman"/>
                      <w:color w:val="000000" w:themeColor="text1"/>
                      <w:sz w:val="21"/>
                      <w:szCs w:val="21"/>
                      <w:highlight w:val="none"/>
                      <w:lang w:eastAsia="zh-CN"/>
                      <w14:textFill>
                        <w14:solidFill>
                          <w14:schemeClr w14:val="tx1"/>
                        </w14:solidFill>
                      </w14:textFill>
                    </w:rPr>
                    <w:t>属于</w:t>
                  </w:r>
                  <w:r>
                    <w:rPr>
                      <w:rFonts w:hint="default" w:ascii="Times New Roman" w:hAnsi="Times New Roman" w:cs="Times New Roman"/>
                      <w:color w:val="000000" w:themeColor="text1"/>
                      <w:sz w:val="21"/>
                      <w:szCs w:val="21"/>
                      <w:highlight w:val="none"/>
                      <w14:textFill>
                        <w14:solidFill>
                          <w14:schemeClr w14:val="tx1"/>
                        </w14:solidFill>
                      </w14:textFill>
                    </w:rPr>
                    <w:t>金属表面处理及热处理加工行业，不属于电力、建材、冶炼等重点耗能行业，不涉及水电、风电、矿产资源开发。项目</w:t>
                  </w:r>
                  <w:r>
                    <w:rPr>
                      <w:rFonts w:hint="eastAsia" w:cs="Times New Roman"/>
                      <w:color w:val="000000" w:themeColor="text1"/>
                      <w:sz w:val="21"/>
                      <w:szCs w:val="21"/>
                      <w:highlight w:val="none"/>
                      <w:lang w:val="en-US" w:eastAsia="zh-CN"/>
                      <w14:textFill>
                        <w14:solidFill>
                          <w14:schemeClr w14:val="tx1"/>
                        </w14:solidFill>
                      </w14:textFill>
                    </w:rPr>
                    <w:t>固化炉</w:t>
                  </w:r>
                  <w:r>
                    <w:rPr>
                      <w:rFonts w:hint="default" w:ascii="Times New Roman" w:hAnsi="Times New Roman" w:cs="Times New Roman"/>
                      <w:color w:val="000000" w:themeColor="text1"/>
                      <w:sz w:val="21"/>
                      <w:szCs w:val="21"/>
                      <w:highlight w:val="none"/>
                      <w14:textFill>
                        <w14:solidFill>
                          <w14:schemeClr w14:val="tx1"/>
                        </w14:solidFill>
                      </w14:textFill>
                    </w:rPr>
                    <w:t>能源使用天然气，天然气属于清洁能源。</w:t>
                  </w:r>
                </w:p>
              </w:tc>
              <w:tc>
                <w:tcPr>
                  <w:tcW w:w="482" w:type="dxa"/>
                  <w:vAlign w:val="center"/>
                </w:tcPr>
                <w:p w14:paraId="74C71E57">
                  <w:pPr>
                    <w:jc w:val="center"/>
                    <w:rPr>
                      <w:rFonts w:hint="eastAsia"/>
                      <w:color w:val="000000" w:themeColor="text1"/>
                      <w:vertAlign w:val="baseline"/>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相符</w:t>
                  </w:r>
                </w:p>
              </w:tc>
            </w:tr>
          </w:tbl>
          <w:p w14:paraId="1E94C62D">
            <w:pPr>
              <w:pStyle w:val="109"/>
              <w:keepNext w:val="0"/>
              <w:keepLines w:val="0"/>
              <w:pageBreakBefore w:val="0"/>
              <w:tabs>
                <w:tab w:val="left" w:pos="-2848"/>
              </w:tabs>
              <w:kinsoku/>
              <w:wordWrap w:val="0"/>
              <w:overflowPunct/>
              <w:topLinePunct w:val="0"/>
              <w:bidi w:val="0"/>
              <w:adjustRightInd/>
              <w:snapToGrid/>
              <w:spacing w:line="360" w:lineRule="auto"/>
              <w:ind w:firstLine="476" w:firstLineChars="200"/>
              <w:jc w:val="left"/>
              <w:outlineLvl w:val="9"/>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pPr>
          </w:p>
        </w:tc>
      </w:tr>
      <w:tr w14:paraId="7C3E3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47132AA7">
            <w:pPr>
              <w:autoSpaceDE w:val="0"/>
              <w:autoSpaceDN w:val="0"/>
              <w:adjustRightInd w:val="0"/>
              <w:snapToGrid w:val="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其他符合性分析</w:t>
            </w:r>
          </w:p>
        </w:tc>
        <w:tc>
          <w:tcPr>
            <w:tcW w:w="6892" w:type="dxa"/>
            <w:gridSpan w:val="3"/>
            <w:noWrap w:val="0"/>
            <w:vAlign w:val="center"/>
          </w:tcPr>
          <w:p w14:paraId="42BC4FBE">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100" w:lineRule="exact"/>
              <w:jc w:val="left"/>
              <w:textAlignment w:val="auto"/>
              <w:rPr>
                <w:rFonts w:hint="default" w:ascii="Times New Roman" w:hAnsi="Times New Roman" w:eastAsia="宋体" w:cs="Times New Roman"/>
                <w:color w:val="000000" w:themeColor="text1"/>
                <w:kern w:val="0"/>
                <w:highlight w:val="none"/>
                <w14:textFill>
                  <w14:solidFill>
                    <w14:schemeClr w14:val="tx1"/>
                  </w14:solidFill>
                </w14:textFill>
              </w:rPr>
            </w:pPr>
          </w:p>
          <w:p w14:paraId="222300B7">
            <w:pPr>
              <w:adjustRightInd w:val="0"/>
              <w:snapToGrid w:val="0"/>
              <w:spacing w:line="360" w:lineRule="auto"/>
              <w:ind w:firstLine="482" w:firstLineChars="20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1、产业政策符合性分析</w:t>
            </w:r>
          </w:p>
          <w:p w14:paraId="0EC7AF7B">
            <w:pPr>
              <w:spacing w:line="360" w:lineRule="auto"/>
              <w:ind w:firstLine="480" w:firstLineChars="200"/>
              <w:jc w:val="left"/>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本项目所属行业类别为C3360金属表面处理及热处理加工，根据《产业结构调整指导目录（2024年本）》（国家发展和改革委员会令 第7号），本项目不属于指导目录中的鼓励类、限制类和淘汰类产业，符合国家有关法律、法规和政策规定，属于允许类。经查《市场准入负面清单（202</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年版）》，项目不在清单中禁止和许可两类事项范畴内，可依法平等进入。因此，本项目符合国家产业政策要求。</w:t>
            </w:r>
          </w:p>
          <w:p w14:paraId="66B39871">
            <w:pPr>
              <w:autoSpaceDE w:val="0"/>
              <w:autoSpaceDN w:val="0"/>
              <w:adjustRightInd w:val="0"/>
              <w:snapToGrid w:val="0"/>
              <w:spacing w:line="360" w:lineRule="auto"/>
              <w:ind w:firstLine="482" w:firstLineChars="200"/>
              <w:jc w:val="left"/>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t>2、用地合理性分析</w:t>
            </w:r>
          </w:p>
          <w:p w14:paraId="15E2C782">
            <w:pPr>
              <w:spacing w:line="360" w:lineRule="auto"/>
              <w:ind w:firstLine="480" w:firstLineChars="200"/>
              <w:jc w:val="left"/>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本项目选址于</w:t>
            </w:r>
            <w:r>
              <w:rPr>
                <w:rFonts w:hint="eastAsia" w:ascii="Times New Roman" w:hAnsi="Times New Roman" w:eastAsia="宋体" w:cs="Times New Roman"/>
                <w:color w:val="000000" w:themeColor="text1"/>
                <w:kern w:val="0"/>
                <w:sz w:val="24"/>
                <w:szCs w:val="24"/>
                <w:highlight w:val="none"/>
                <w:lang w:eastAsia="zh-CN" w:bidi="ar"/>
                <w14:textFill>
                  <w14:solidFill>
                    <w14:schemeClr w14:val="tx1"/>
                  </w14:solidFill>
                </w14:textFill>
              </w:rPr>
              <w:t>韶关市乐昌市乐昌经济开发区管理委员会后座046号</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根据建设单位提供的</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不动产权证</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粤（2025）乐昌市不动产权0009019号</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（见附件</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本项目宗地</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面积</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54139.29</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Cs/>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属于</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工业</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用地</w:t>
            </w:r>
            <w:r>
              <w:rPr>
                <w:rFonts w:hint="eastAsia" w:ascii="Times New Roman" w:hAnsi="Times New Roman" w:eastAsia="宋体" w:cs="Times New Roman"/>
                <w:color w:val="000000" w:themeColor="text1"/>
                <w:kern w:val="0"/>
                <w:sz w:val="24"/>
                <w:szCs w:val="24"/>
                <w:highlight w:val="none"/>
                <w:lang w:eastAsia="zh-CN"/>
                <w14:textFill>
                  <w14:solidFill>
                    <w14:schemeClr w14:val="tx1"/>
                  </w14:solidFill>
                </w14:textFill>
              </w:rPr>
              <w:t>，没有占用</w:t>
            </w:r>
            <w:r>
              <w:rPr>
                <w:rFonts w:hint="eastAsia" w:cs="Times New Roman"/>
                <w:color w:val="000000" w:themeColor="text1"/>
                <w:kern w:val="0"/>
                <w:sz w:val="24"/>
                <w:szCs w:val="24"/>
                <w:highlight w:val="none"/>
                <w:lang w:eastAsia="zh-CN"/>
                <w14:textFill>
                  <w14:solidFill>
                    <w14:schemeClr w14:val="tx1"/>
                  </w14:solidFill>
                </w14:textFill>
              </w:rPr>
              <w:t>基本农田</w:t>
            </w:r>
            <w:r>
              <w:rPr>
                <w:rFonts w:hint="eastAsia" w:ascii="Times New Roman" w:hAnsi="Times New Roman" w:eastAsia="宋体" w:cs="Times New Roman"/>
                <w:color w:val="000000" w:themeColor="text1"/>
                <w:kern w:val="0"/>
                <w:sz w:val="24"/>
                <w:szCs w:val="24"/>
                <w:highlight w:val="none"/>
                <w:lang w:eastAsia="zh-CN"/>
                <w14:textFill>
                  <w14:solidFill>
                    <w14:schemeClr w14:val="tx1"/>
                  </w14:solidFill>
                </w14:textFill>
              </w:rPr>
              <w:t>，符合韶关市城市建设和环境功能区规划的要求，且具有水、电等供应保障，交通便利等条件。项目周围没有风景名胜区、生态脆弱带等。故项目选址是合理的。</w:t>
            </w:r>
          </w:p>
          <w:p w14:paraId="366ECB08">
            <w:pPr>
              <w:spacing w:line="360" w:lineRule="auto"/>
              <w:ind w:firstLine="482" w:firstLineChars="200"/>
              <w:rPr>
                <w:rFonts w:hint="default" w:ascii="Times New Roman" w:hAnsi="Times New Roman" w:eastAsia="宋体" w:cs="Times New Roman"/>
                <w:b/>
                <w:bCs/>
                <w:color w:val="000000" w:themeColor="text1"/>
                <w:kern w:val="0"/>
                <w:sz w:val="24"/>
                <w:highlight w:val="none"/>
                <w14:textFill>
                  <w14:solidFill>
                    <w14:schemeClr w14:val="tx1"/>
                  </w14:solidFill>
                </w14:textFill>
              </w:rPr>
            </w:pPr>
            <w:r>
              <w:rPr>
                <w:rFonts w:hint="default" w:ascii="Times New Roman" w:hAnsi="Times New Roman" w:eastAsia="宋体" w:cs="Times New Roman"/>
                <w:b/>
                <w:bCs/>
                <w:color w:val="000000" w:themeColor="text1"/>
                <w:kern w:val="0"/>
                <w:sz w:val="24"/>
                <w:highlight w:val="none"/>
                <w14:textFill>
                  <w14:solidFill>
                    <w14:schemeClr w14:val="tx1"/>
                  </w14:solidFill>
                </w14:textFill>
              </w:rPr>
              <w:t>3、与环境功能区划相符性分析</w:t>
            </w:r>
          </w:p>
          <w:p w14:paraId="1BE3721C">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（1）根据《广东省人民政府关于印发部分市乡镇集中式饮用水源保护区划分方案的通知》（粤府函〔2015〕17号）</w:t>
            </w:r>
            <w:r>
              <w:rPr>
                <w:rFonts w:hint="eastAsia" w:ascii="Times New Roman" w:hAnsi="Times New Roman" w:eastAsia="宋体" w:cs="Times New Roman"/>
                <w:b w:val="0"/>
                <w:bCs w:val="0"/>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《广东省人民政府关于调整韶关市部分饮用水水源保护区的批复》（粤府函〔2018〕427号）及</w:t>
            </w:r>
            <w:r>
              <w:rPr>
                <w:rFonts w:hint="eastAsia" w:ascii="Times New Roman" w:hAnsi="Times New Roman" w:eastAsia="宋体" w:cs="Times New Roman"/>
                <w:b w:val="0"/>
                <w:bCs w:val="0"/>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广东省生态环境厅 广东省水利厅关于印发〈韶关市部分饮用水水源保护区调整方案〉的通知</w:t>
            </w:r>
            <w:r>
              <w:rPr>
                <w:rFonts w:hint="eastAsia" w:ascii="Times New Roman" w:hAnsi="Times New Roman" w:eastAsia="宋体" w:cs="Times New Roman"/>
                <w:b w:val="0"/>
                <w:bCs w:val="0"/>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粤环函〔2024〕146号</w:t>
            </w:r>
            <w:r>
              <w:rPr>
                <w:rFonts w:hint="eastAsia" w:ascii="Times New Roman" w:hAnsi="Times New Roman" w:eastAsia="宋体" w:cs="Times New Roman"/>
                <w:b w:val="0"/>
                <w:bCs w:val="0"/>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，项目所在地不属于韶关市一、二级水源保护区，符合水污染防治条例的有关要求。</w:t>
            </w:r>
          </w:p>
          <w:p w14:paraId="7DCE3E38">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2）根据《乐昌市人民政府办公室关于印发乐昌市生态环境保护“十四五”规划的通知》（乐府办〔2022〕16号）中《乐昌市“十四五”生态环境保护规划大气环境功能区划图》，项目所在区域为环境空气质量二类功能区，不属于环境空气质量一类功能区中的自然保护区风景名胜区和</w:t>
            </w:r>
            <w:r>
              <w:rPr>
                <w:rFonts w:hint="default" w:ascii="Times New Roman" w:hAnsi="Times New Roman" w:eastAsia="宋体" w:cs="Times New Roman"/>
                <w:b w:val="0"/>
                <w:bCs w:val="0"/>
                <w:color w:val="000000" w:themeColor="text1"/>
                <w:kern w:val="0"/>
                <w:sz w:val="24"/>
                <w:highlight w:val="none"/>
                <w:lang w:eastAsia="zh-CN"/>
                <w14:textFill>
                  <w14:solidFill>
                    <w14:schemeClr w14:val="tx1"/>
                  </w14:solidFill>
                </w14:textFill>
              </w:rPr>
              <w:t>其他需要</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特殊保护的区域。</w:t>
            </w:r>
          </w:p>
          <w:p w14:paraId="17423262">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（3）根据《乐昌产业转移工业园</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城东片区控制性详细规划修编</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》及</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不动产权证</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，项目所在地</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块</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为工业用地，项目所在区域为声环境3类</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和4a类</w:t>
            </w:r>
            <w:r>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t>区，不属于声环境1类区。</w:t>
            </w:r>
          </w:p>
          <w:p w14:paraId="2E30AF25">
            <w:pPr>
              <w:spacing w:line="360" w:lineRule="auto"/>
              <w:ind w:firstLine="482" w:firstLineChars="200"/>
              <w:rPr>
                <w:rFonts w:hint="default" w:ascii="Times New Roman" w:hAnsi="Times New Roman" w:eastAsia="宋体" w:cs="Times New Roman"/>
                <w:b/>
                <w:bCs/>
                <w:color w:val="000000" w:themeColor="text1"/>
                <w:kern w:val="0"/>
                <w:sz w:val="24"/>
                <w:highlight w:val="none"/>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与</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国土空间规划、</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三区三线符合性分析</w:t>
            </w:r>
          </w:p>
          <w:p w14:paraId="70F1B978">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根据《乐昌市人民政府关于印发乐昌市国土空间总体规划（2021—2035年）的通知》（乐府〔2025〕5号）和广东省三区三线专题图叠图分析（见附图13）</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，项目用地位于城镇开发边界范围内</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，不在</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基本农田保护红线</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和</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生态保护红线</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范围内</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p>
          <w:p w14:paraId="7F5CEA32">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综上所述，本评价认为项目选址合理。</w:t>
            </w:r>
          </w:p>
          <w:p w14:paraId="67169B12">
            <w:pPr>
              <w:spacing w:line="360" w:lineRule="auto"/>
              <w:ind w:firstLine="482" w:firstLineChars="200"/>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与《工业和信息化部发布〈限期淘汰产生严重污染环境的工业固体废物的落后生产工艺设备名录〉公告》（中华人民共和国工业和信息化部公告2021年第25号）相符性分析</w:t>
            </w:r>
          </w:p>
          <w:p w14:paraId="6F674DAA">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所用生产工艺及设备不属于《限期淘汰产生严重污染环境的工业固体废物的落后生产工艺设备名录》中限期淘汰的落后生产工艺设备，故与《工业和信息化部发布〈限期淘汰产生严重污染环境的工业固体废物的落后生产工艺设备名录〉公告》（中华人民共和国工业和信息化部公告2021年第25号）相符。</w:t>
            </w:r>
          </w:p>
          <w:p w14:paraId="77A153F3">
            <w:p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highlight w:val="none"/>
                <w14:textFill>
                  <w14:solidFill>
                    <w14:schemeClr w14:val="tx1"/>
                  </w14:solidFill>
                </w14:textFill>
              </w:rPr>
              <w:t>与《广东省“三线一单”生态环境分区管控方案》</w:t>
            </w:r>
            <w:r>
              <w:rPr>
                <w:rFonts w:hint="default" w:ascii="Times New Roman" w:hAnsi="Times New Roman" w:eastAsia="宋体" w:cs="Times New Roman"/>
                <w:b/>
                <w:bCs/>
                <w:color w:val="000000" w:themeColor="text1"/>
                <w:sz w:val="24"/>
                <w:highlight w:val="none"/>
                <w:lang w:eastAsia="zh-CN"/>
                <w14:textFill>
                  <w14:solidFill>
                    <w14:schemeClr w14:val="tx1"/>
                  </w14:solidFill>
                </w14:textFill>
              </w:rPr>
              <w:t>《广东省2023年度生态环境分区管控动态更新成果公告》</w:t>
            </w:r>
            <w:r>
              <w:rPr>
                <w:rFonts w:hint="default" w:ascii="Times New Roman" w:hAnsi="Times New Roman" w:eastAsia="宋体" w:cs="Times New Roman"/>
                <w:b/>
                <w:bCs/>
                <w:color w:val="000000" w:themeColor="text1"/>
                <w:sz w:val="24"/>
                <w:highlight w:val="none"/>
                <w14:textFill>
                  <w14:solidFill>
                    <w14:schemeClr w14:val="tx1"/>
                  </w14:solidFill>
                </w14:textFill>
              </w:rPr>
              <w:t>相符性分析</w:t>
            </w:r>
          </w:p>
          <w:p w14:paraId="1B4F9B2C">
            <w:p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①</w:t>
            </w:r>
            <w:r>
              <w:rPr>
                <w:rFonts w:hint="default" w:ascii="Times New Roman" w:hAnsi="Times New Roman" w:eastAsia="宋体" w:cs="Times New Roman"/>
                <w:b/>
                <w:bCs/>
                <w:color w:val="000000" w:themeColor="text1"/>
                <w:sz w:val="24"/>
                <w:highlight w:val="none"/>
                <w14:textFill>
                  <w14:solidFill>
                    <w14:schemeClr w14:val="tx1"/>
                  </w14:solidFill>
                </w14:textFill>
              </w:rPr>
              <w:t>与《广东省“三线一单”生态环境分区管控方案》</w:t>
            </w:r>
            <w:r>
              <w:rPr>
                <w:rFonts w:hint="default" w:ascii="Times New Roman" w:hAnsi="Times New Roman" w:eastAsia="宋体" w:cs="Times New Roman"/>
                <w:b/>
                <w:bCs/>
                <w:color w:val="000000" w:themeColor="text1"/>
                <w:sz w:val="24"/>
                <w:highlight w:val="none"/>
                <w:lang w:eastAsia="zh-CN"/>
                <w14:textFill>
                  <w14:solidFill>
                    <w14:schemeClr w14:val="tx1"/>
                  </w14:solidFill>
                </w14:textFill>
              </w:rPr>
              <w:t>《广东省2023年度生态环境分区管控动态更新成果公告》</w:t>
            </w:r>
            <w:r>
              <w:rPr>
                <w:rFonts w:hint="default" w:ascii="Times New Roman" w:hAnsi="Times New Roman" w:eastAsia="宋体" w:cs="Times New Roman"/>
                <w:b/>
                <w:bCs/>
                <w:color w:val="000000" w:themeColor="text1"/>
                <w:sz w:val="24"/>
                <w:highlight w:val="none"/>
                <w14:textFill>
                  <w14:solidFill>
                    <w14:schemeClr w14:val="tx1"/>
                  </w14:solidFill>
                </w14:textFill>
              </w:rPr>
              <w:t>相符性分析</w:t>
            </w:r>
          </w:p>
          <w:p w14:paraId="62524CA9">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eastAsia"/>
                <w:color w:val="000000" w:themeColor="text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与《广东省“三线一单”生态环境分区管控方案》《广东省</w:t>
            </w:r>
            <w:r>
              <w:rPr>
                <w:rFonts w:hint="eastAsia"/>
                <w:color w:val="000000" w:themeColor="text1"/>
                <w:sz w:val="21"/>
                <w:szCs w:val="21"/>
                <w:highlight w:val="none"/>
                <w:lang w:val="en-US" w:eastAsia="zh-CN"/>
                <w14:textFill>
                  <w14:solidFill>
                    <w14:schemeClr w14:val="tx1"/>
                  </w14:solidFill>
                </w14:textFill>
              </w:rPr>
              <w:br w:type="textWrapping"/>
            </w:r>
            <w:r>
              <w:rPr>
                <w:rFonts w:hint="eastAsia"/>
                <w:color w:val="000000" w:themeColor="text1"/>
                <w:sz w:val="21"/>
                <w:szCs w:val="21"/>
                <w:highlight w:val="none"/>
                <w:lang w:val="en-US" w:eastAsia="zh-CN"/>
                <w14:textFill>
                  <w14:solidFill>
                    <w14:schemeClr w14:val="tx1"/>
                  </w14:solidFill>
                </w14:textFill>
              </w:rPr>
              <w:t>2023年度生态环境分区管控动态更新成果公告》</w:t>
            </w:r>
            <w:r>
              <w:rPr>
                <w:rFonts w:hint="eastAsia"/>
                <w:color w:val="000000" w:themeColor="text1"/>
                <w:sz w:val="21"/>
                <w:szCs w:val="21"/>
                <w:highlight w:val="none"/>
                <w14:textFill>
                  <w14:solidFill>
                    <w14:schemeClr w14:val="tx1"/>
                  </w14:solidFill>
                </w14:textFill>
              </w:rPr>
              <w:t>相符性分析一览表</w:t>
            </w:r>
          </w:p>
          <w:tbl>
            <w:tblPr>
              <w:tblStyle w:val="4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706"/>
              <w:gridCol w:w="2858"/>
              <w:gridCol w:w="2202"/>
              <w:gridCol w:w="468"/>
            </w:tblGrid>
            <w:tr w14:paraId="4567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74E3C6D0">
                  <w:pPr>
                    <w:widowControl w:val="0"/>
                    <w:kinsoku/>
                    <w:autoSpaceDE/>
                    <w:autoSpaceDN/>
                    <w:adjustRightInd/>
                    <w:snapToGrid/>
                    <w:spacing w:line="240" w:lineRule="auto"/>
                    <w:jc w:val="center"/>
                    <w:textAlignment w:val="auto"/>
                    <w:rPr>
                      <w:rFonts w:hint="default" w:ascii="Times New Roman" w:hAnsi="Times New Roman" w:cs="Times New Roman"/>
                      <w:b/>
                      <w:bCs/>
                      <w:color w:val="000000" w:themeColor="text1"/>
                      <w:sz w:val="21"/>
                      <w:szCs w:val="21"/>
                      <w:highlight w:val="none"/>
                      <w:lang w:val="en-US"/>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序号</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47390F80">
                  <w:pPr>
                    <w:widowControl w:val="0"/>
                    <w:kinsoku/>
                    <w:autoSpaceDE/>
                    <w:autoSpaceDN/>
                    <w:adjustRightInd/>
                    <w:snapToGrid/>
                    <w:spacing w:line="240" w:lineRule="auto"/>
                    <w:jc w:val="center"/>
                    <w:textAlignment w:val="auto"/>
                    <w:rPr>
                      <w:rFonts w:hint="default" w:ascii="Times New Roman" w:hAnsi="Times New Roman" w:cs="Times New Roman"/>
                      <w:b/>
                      <w:bCs/>
                      <w:color w:val="000000" w:themeColor="text1"/>
                      <w:sz w:val="21"/>
                      <w:szCs w:val="21"/>
                      <w:highlight w:val="none"/>
                      <w:lang w:val="en-US"/>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管控要求</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B1E65E1">
                  <w:pPr>
                    <w:widowControl w:val="0"/>
                    <w:kinsoku/>
                    <w:autoSpaceDE/>
                    <w:autoSpaceDN/>
                    <w:adjustRightInd/>
                    <w:snapToGrid/>
                    <w:spacing w:line="240" w:lineRule="auto"/>
                    <w:jc w:val="center"/>
                    <w:textAlignment w:val="auto"/>
                    <w:rPr>
                      <w:rFonts w:hint="default" w:ascii="Times New Roman" w:hAnsi="Times New Roman" w:cs="Times New Roman"/>
                      <w:b/>
                      <w:bCs/>
                      <w:color w:val="000000" w:themeColor="text1"/>
                      <w:sz w:val="21"/>
                      <w:szCs w:val="21"/>
                      <w:highlight w:val="none"/>
                      <w:lang w:val="en-US"/>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具体内容</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00B7927D">
                  <w:pPr>
                    <w:widowControl w:val="0"/>
                    <w:kinsoku/>
                    <w:autoSpaceDE/>
                    <w:autoSpaceDN/>
                    <w:adjustRightInd/>
                    <w:snapToGrid/>
                    <w:spacing w:line="240" w:lineRule="auto"/>
                    <w:jc w:val="center"/>
                    <w:textAlignment w:val="auto"/>
                    <w:rPr>
                      <w:rFonts w:hint="default" w:ascii="Times New Roman" w:hAnsi="Times New Roman" w:cs="Times New Roman"/>
                      <w:b/>
                      <w:bCs/>
                      <w:color w:val="000000" w:themeColor="text1"/>
                      <w:sz w:val="21"/>
                      <w:szCs w:val="21"/>
                      <w:highlight w:val="none"/>
                      <w:lang w:val="en-US"/>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本项目情况</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2056B750">
                  <w:pPr>
                    <w:widowControl w:val="0"/>
                    <w:kinsoku/>
                    <w:autoSpaceDE/>
                    <w:autoSpaceDN/>
                    <w:adjustRightInd/>
                    <w:snapToGrid/>
                    <w:spacing w:line="240" w:lineRule="auto"/>
                    <w:jc w:val="center"/>
                    <w:textAlignment w:val="auto"/>
                    <w:rPr>
                      <w:rFonts w:hint="default" w:ascii="Times New Roman" w:hAnsi="Times New Roman" w:cs="Times New Roman"/>
                      <w:b/>
                      <w:bCs/>
                      <w:color w:val="000000" w:themeColor="text1"/>
                      <w:sz w:val="21"/>
                      <w:szCs w:val="21"/>
                      <w:highlight w:val="none"/>
                      <w:lang w:val="en-US"/>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符合性</w:t>
                  </w:r>
                </w:p>
              </w:tc>
            </w:tr>
            <w:tr w14:paraId="0BE1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4834B7AB">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6CA529E6">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生态保护红线</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及一般生态空间</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7E255E25">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动态更新后，全省陆域生态保护红线面积34202.57平方公里，占陆域国土面积19.03%；一般生态空间面积29200.30平方公里，占陆域国土面积16.25%。全省海洋生态保护红线面积1.66万平方公里，占全省管辖海域面积的25.66%。</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72DADB13">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14:textFill>
                        <w14:solidFill>
                          <w14:schemeClr w14:val="tx1"/>
                        </w14:solidFill>
                      </w14:textFill>
                    </w:rPr>
                    <w:t>项目位于</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韶关市乐昌市乐昌经济开发区管理委员会后座046号</w:t>
                  </w:r>
                  <w:r>
                    <w:rPr>
                      <w:rFonts w:hint="default" w:ascii="Times New Roman" w:hAnsi="Times New Roman" w:cs="Times New Roman"/>
                      <w:color w:val="000000" w:themeColor="text1"/>
                      <w:sz w:val="21"/>
                      <w:szCs w:val="21"/>
                      <w:highlight w:val="none"/>
                      <w:lang w:val="en-US"/>
                      <w14:textFill>
                        <w14:solidFill>
                          <w14:schemeClr w14:val="tx1"/>
                        </w14:solidFill>
                      </w14:textFill>
                    </w:rPr>
                    <w:t>，根据广东省生态环境分区管控信息平台（见附图1</w:t>
                  </w:r>
                  <w:r>
                    <w:rPr>
                      <w:rFonts w:hint="eastAsia" w:ascii="Times New Roman" w:cs="Times New Roman"/>
                      <w:color w:val="000000" w:themeColor="text1"/>
                      <w:sz w:val="21"/>
                      <w:szCs w:val="21"/>
                      <w:highlight w:val="none"/>
                      <w:lang w:val="en-US" w:eastAsia="zh-CN"/>
                      <w14:textFill>
                        <w14:solidFill>
                          <w14:schemeClr w14:val="tx1"/>
                        </w14:solidFill>
                      </w14:textFill>
                    </w:rPr>
                    <w:t>4-1</w:t>
                  </w:r>
                  <w:r>
                    <w:rPr>
                      <w:rFonts w:hint="default" w:ascii="Times New Roman" w:hAnsi="Times New Roman" w:cs="Times New Roman"/>
                      <w:color w:val="000000" w:themeColor="text1"/>
                      <w:sz w:val="21"/>
                      <w:szCs w:val="21"/>
                      <w:highlight w:val="none"/>
                      <w:lang w:val="en-US"/>
                      <w14:textFill>
                        <w14:solidFill>
                          <w14:schemeClr w14:val="tx1"/>
                        </w14:solidFill>
                      </w14:textFill>
                    </w:rPr>
                    <w:t>），项目不在生态红线和一般生态空间范围内，符合生态红线及一般生态空间要求。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050ECA10">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3C49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6D3AD612">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2201397C">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环境质量底线</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CB8E8F0">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全省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水环境质量持续改善，国考、省考断面优良水质比例稳步提升，全面消除劣Ⅳ类水体。大气环境质量继续领跑先行，PM</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年均浓度率先达到世界卫生组织过渡期二阶段目标值（25微克/立方米），臭氧污染得到有效遏制。土壤环境质量稳中向好，土壤环境风险得到管控。近岸海域水体质量稳步提升。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4FA8C567">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14:textFill>
                        <w14:solidFill>
                          <w14:schemeClr w14:val="tx1"/>
                        </w14:solidFill>
                      </w14:textFill>
                    </w:rPr>
                    <w:t>根据《202</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lang w:val="en-US"/>
                      <w14:textFill>
                        <w14:solidFill>
                          <w14:schemeClr w14:val="tx1"/>
                        </w14:solidFill>
                      </w14:textFill>
                    </w:rPr>
                    <w:t>年韶关市生态环境状况公报》，可知项目所在地大气环境质量属于达标区，地表水环境质量现状良好。</w:t>
                  </w:r>
                  <w:r>
                    <w:rPr>
                      <w:rFonts w:hint="eastAsia" w:ascii="Times New Roman" w:cs="Times New Roman"/>
                      <w:color w:val="000000" w:themeColor="text1"/>
                      <w:sz w:val="21"/>
                      <w:szCs w:val="21"/>
                      <w:highlight w:val="none"/>
                      <w:lang w:val="en-US" w:eastAsia="zh-CN"/>
                      <w14:textFill>
                        <w14:solidFill>
                          <w14:schemeClr w14:val="tx1"/>
                        </w14:solidFill>
                      </w14:textFill>
                    </w:rPr>
                    <w:t>项目</w:t>
                  </w:r>
                  <w:r>
                    <w:rPr>
                      <w:rFonts w:hint="default" w:ascii="Times New Roman" w:hAnsi="Times New Roman" w:cs="Times New Roman"/>
                      <w:color w:val="000000" w:themeColor="text1"/>
                      <w:sz w:val="21"/>
                      <w:szCs w:val="21"/>
                      <w:highlight w:val="none"/>
                      <w:lang w:val="en-US"/>
                      <w14:textFill>
                        <w14:solidFill>
                          <w14:schemeClr w14:val="tx1"/>
                        </w14:solidFill>
                      </w14:textFill>
                    </w:rPr>
                    <w:t>生活污水、生产废水经预处理后引入园区污水处理厂处理，不直接排入水体</w:t>
                  </w:r>
                  <w:r>
                    <w:rPr>
                      <w:rFonts w:hint="eastAsia" w:ascii="Times New Roman" w:cs="Times New Roman"/>
                      <w:color w:val="000000" w:themeColor="text1"/>
                      <w:sz w:val="21"/>
                      <w:szCs w:val="21"/>
                      <w:highlight w:val="none"/>
                      <w:lang w:val="en-US" w:eastAsia="zh-CN"/>
                      <w14:textFill>
                        <w14:solidFill>
                          <w14:schemeClr w14:val="tx1"/>
                        </w14:solidFill>
                      </w14:textFill>
                    </w:rPr>
                    <w:t>。项目废气经收集处理后均达标排放，排放量较小，</w:t>
                  </w:r>
                  <w:r>
                    <w:rPr>
                      <w:rFonts w:hint="default" w:ascii="Times New Roman" w:hAnsi="Times New Roman" w:cs="Times New Roman"/>
                      <w:color w:val="000000" w:themeColor="text1"/>
                      <w:sz w:val="21"/>
                      <w:szCs w:val="21"/>
                      <w:highlight w:val="none"/>
                      <w:lang w:val="en-US"/>
                      <w14:textFill>
                        <w14:solidFill>
                          <w14:schemeClr w14:val="tx1"/>
                        </w14:solidFill>
                      </w14:textFill>
                    </w:rPr>
                    <w:t>不会突破当地环境质量底线，符合环境质量底线要求。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3274F33">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7740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5B8472DD">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41ADB5C7">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资源利用上线</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3A88C7C8">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强化节约集约利用，持续提升资源能源利用效率</w:t>
                  </w:r>
                  <w:r>
                    <w:rPr>
                      <w:rFonts w:hint="eastAsia" w:asci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水资源、土地资源、岸线资源、能源消耗等达到或优于国家下达的总量和强度控制目标。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66F874DD">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color w:val="000000" w:themeColor="text1"/>
                      <w:sz w:val="21"/>
                      <w:szCs w:val="21"/>
                      <w:highlight w:val="none"/>
                      <w14:textFill>
                        <w14:solidFill>
                          <w14:schemeClr w14:val="tx1"/>
                        </w14:solidFill>
                      </w14:textFill>
                    </w:rPr>
                    <w:t>项目运营过程消耗</w:t>
                  </w:r>
                  <w:r>
                    <w:rPr>
                      <w:rFonts w:hint="eastAsia"/>
                      <w:color w:val="000000" w:themeColor="text1"/>
                      <w:sz w:val="21"/>
                      <w:szCs w:val="21"/>
                      <w:highlight w:val="none"/>
                      <w:lang w:val="en-US" w:eastAsia="zh-CN"/>
                      <w14:textFill>
                        <w14:solidFill>
                          <w14:schemeClr w14:val="tx1"/>
                        </w14:solidFill>
                      </w14:textFill>
                    </w:rPr>
                    <w:t>一定</w:t>
                  </w:r>
                  <w:r>
                    <w:rPr>
                      <w:rFonts w:hint="default"/>
                      <w:color w:val="000000" w:themeColor="text1"/>
                      <w:sz w:val="21"/>
                      <w:szCs w:val="21"/>
                      <w:highlight w:val="none"/>
                      <w14:textFill>
                        <w14:solidFill>
                          <w14:schemeClr w14:val="tx1"/>
                        </w14:solidFill>
                      </w14:textFill>
                    </w:rPr>
                    <w:t>的水、电资源</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项目清洗采用多级溢流水洗，最大限度节约用水、用电</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且所在区域水、电等资源充足</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不会超出资源利用上线。</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F85E0A5">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7EED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09613223">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684AF81E">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生态环境准入清单</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56E11A36">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环境准入负面清单是基于生态保护红线、环境质量底线和资源利用上线</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以清单方式列出的禁止、限制等差别化环境准入条件和要求。</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6EDA53AE">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项目不属于《市场准入负面清单（202</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年版）》（发改体改规</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〔2025〕466号</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）中的禁止准入事项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符合准入清单的要求。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E9950F0">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62D1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tcBorders>
                    <w:top w:val="single" w:color="auto" w:sz="4" w:space="0"/>
                    <w:left w:val="single" w:color="auto" w:sz="4" w:space="0"/>
                    <w:right w:val="single" w:color="auto" w:sz="4" w:space="0"/>
                  </w:tcBorders>
                  <w:noWrap w:val="0"/>
                  <w:vAlign w:val="center"/>
                </w:tcPr>
                <w:p w14:paraId="0D623DFA">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5</w:t>
                  </w:r>
                </w:p>
              </w:tc>
              <w:tc>
                <w:tcPr>
                  <w:tcW w:w="530" w:type="pct"/>
                  <w:vMerge w:val="restart"/>
                  <w:tcBorders>
                    <w:top w:val="single" w:color="auto" w:sz="4" w:space="0"/>
                    <w:left w:val="single" w:color="auto" w:sz="4" w:space="0"/>
                    <w:right w:val="single" w:color="auto" w:sz="4" w:space="0"/>
                  </w:tcBorders>
                  <w:noWrap w:val="0"/>
                  <w:vAlign w:val="center"/>
                </w:tcPr>
                <w:p w14:paraId="7FFDA7E0">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一核一带一区</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区域管控要求</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41BCC175">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1.珠三角核心区。对标国际一流湾区</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强化创新驱动和绿色引领</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实施更严格的生态环境保护要求。</w:t>
                  </w:r>
                </w:p>
                <w:p w14:paraId="2A9E2A8B">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区域布局管控要求。筑牢珠三角绿色生态屏障</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加强区域生态绿核、珠江流域水生态系统、入海河口等生态保护</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大力保护生物多样性。积极推动深圳前海、广州南沙、珠海横琴等区域重大战略平台发展；引导电子信息、汽车制造、先进材料等战略性支柱产业绿色转型升级发展</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已有石化工业区控制规模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实现绿色化、智能化、集约化发展；加快发展半导体与集成电路、高端装备制造、前沿新材料、区块链与量子信息等战略性新兴产业。禁止新建、扩建燃煤燃油火电机组和企业自备电站</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推进现有服役期满及落后老旧的燃煤火电机组有序退出；原则上不再新建燃煤锅炉</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逐步淘汰生物质锅炉、集中供热管网覆盖区域内的分散供热锅炉</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逐步推动高污染燃料禁燃区全覆盖；禁止新建、扩建水泥、平板玻璃、化学制浆、生皮制革以及国家规划外的钢铁、原油加工等项目。推广应用低挥发性有机物原辅材料</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严格限制新建生产和使用高挥发性有机物原辅材料的项目</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鼓励建设挥发性有机物共性工厂。除金、银等贵金属</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地热、矿泉水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以及建筑用石矿可适度开发外</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限制其他矿种开采。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4F1E7255">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主要加工生产</w:t>
                  </w:r>
                  <w:r>
                    <w:rPr>
                      <w:rFonts w:hint="eastAsia" w:ascii="Times New Roman" w:cs="Times New Roman"/>
                      <w:color w:val="000000" w:themeColor="text1"/>
                      <w:sz w:val="21"/>
                      <w:szCs w:val="21"/>
                      <w:highlight w:val="none"/>
                      <w:lang w:val="en-US" w:eastAsia="zh-CN"/>
                      <w14:textFill>
                        <w14:solidFill>
                          <w14:schemeClr w14:val="tx1"/>
                        </w14:solidFill>
                      </w14:textFill>
                    </w:rPr>
                    <w:t>金属制品</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不设锅炉</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不属于水泥、平板玻璃、化学制浆、生皮制革以及国家规划外的钢铁、原油加工等项目</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项目不使用高VOCs</w:t>
                  </w:r>
                  <w:r>
                    <w:rPr>
                      <w:rFonts w:hint="eastAsia" w:cs="Times New Roman"/>
                      <w:color w:val="000000" w:themeColor="text1"/>
                      <w:sz w:val="21"/>
                      <w:szCs w:val="21"/>
                      <w:highlight w:val="none"/>
                      <w:lang w:val="en-US" w:eastAsia="zh-CN"/>
                      <w14:textFill>
                        <w14:solidFill>
                          <w14:schemeClr w14:val="tx1"/>
                        </w14:solidFill>
                      </w14:textFill>
                    </w:rPr>
                    <w:t>含量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原辅料</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与区域</w:t>
                  </w:r>
                  <w:r>
                    <w:rPr>
                      <w:rFonts w:hint="eastAsia" w:ascii="Times New Roman" w:cs="Times New Roman"/>
                      <w:color w:val="000000" w:themeColor="text1"/>
                      <w:sz w:val="21"/>
                      <w:szCs w:val="21"/>
                      <w:highlight w:val="none"/>
                      <w:lang w:val="en-US" w:eastAsia="zh-CN"/>
                      <w14:textFill>
                        <w14:solidFill>
                          <w14:schemeClr w14:val="tx1"/>
                        </w14:solidFill>
                      </w14:textFill>
                    </w:rPr>
                    <w:t>布局</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管控要</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相符。</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099F7C7D">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5F1A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4FB6639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30" w:type="pct"/>
                  <w:vMerge w:val="continue"/>
                  <w:tcBorders>
                    <w:left w:val="single" w:color="auto" w:sz="4" w:space="0"/>
                    <w:right w:val="single" w:color="auto" w:sz="4" w:space="0"/>
                  </w:tcBorders>
                  <w:noWrap w:val="0"/>
                  <w:vAlign w:val="center"/>
                </w:tcPr>
                <w:p w14:paraId="0FC171A6">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ECEBAB1">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能源资源利用要求。科学实施能源消费总量和强度</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双控</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新建高能耗项目单位产品（产值）能耗达到国际国内先进水平</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实现煤炭消费总量负增长。率先探索建立二氧化碳总量管理制度</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加快实现碳排放达峰。依法依规科学合理优化调整储油库、加油站布局</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加快充电桩、加气站、加氢站以及综合性能源补给站建设</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积极推动机动车和非道路移动机械电动化（或实现清洁燃料替代）。大力推进绿色港口和公用码头建设</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提升岸电使用率；有序推动船舶、港作机械等</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油改气</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油改电</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降低港口柴油使用比例。鼓励天然气企业对城市燃气公司和大工业用户直供</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降低供气成本。推进工业节水减排</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重点在高耗水行业开展节水改造</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提高工业用水效率。加强江河湖库水量调度</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保障生态流量。盘活存量建设用地</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控制新增建设用地规模。</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2038CC43">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14:textFill>
                        <w14:solidFill>
                          <w14:schemeClr w14:val="tx1"/>
                        </w14:solidFill>
                      </w14:textFill>
                    </w:rPr>
                    <w:t>项目不属于高耗能、高耗水行业</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与能源资源利用要求相符。</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2E742695">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4F1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0EF37E57">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30" w:type="pct"/>
                  <w:vMerge w:val="continue"/>
                  <w:tcBorders>
                    <w:left w:val="single" w:color="auto" w:sz="4" w:space="0"/>
                    <w:right w:val="single" w:color="auto" w:sz="4" w:space="0"/>
                  </w:tcBorders>
                  <w:noWrap w:val="0"/>
                  <w:vAlign w:val="center"/>
                </w:tcPr>
                <w:p w14:paraId="3D3F184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144" w:type="pct"/>
                  <w:noWrap w:val="0"/>
                  <w:vAlign w:val="center"/>
                </w:tcPr>
                <w:p w14:paraId="0157629A">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污染物排放管控要求。在可核查、可监管的基础上</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新建项目原则上实施氮氧化物等量替代</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挥发性有机物两倍削减量替代。以臭氧生成潜势较大的行业企业为重点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推进挥发性有机物源头替代</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全面加强无组织排放控制</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深入实施精细化治理。现有每小时</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5蒸吨及以上的燃煤锅炉加快实施超低排放治理</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每小时</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5蒸吨以下的燃煤锅炉加快完成清洁能源改造。实行水污染物排放的行业标杆管理</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严格执行茅洲河、淡水河、石马河、汾江河等重点流域水污染物排放标准。重点水污染物未达到环境质量改善目标的区域内</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新建、改建、扩建项目实施减量替代。电镀专业园区、电镀企业严格执行广东省电镀水污染物排放限值。探索设立区域性城镇污水处理厂污染物排放标准</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推动城镇生活污水处理设施提质增效。率先消除城中村、老旧城区和城乡结合部生活污水收集处理设施空白区。大力推进固体废物源头减量化、资源化利用和无害化处置</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稳步推进</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无废城市</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试点建设。加强珠江口、大亚湾、广海湾、镇海湾等重点河口海湾陆源污染控制。</w:t>
                  </w:r>
                </w:p>
              </w:tc>
              <w:tc>
                <w:tcPr>
                  <w:tcW w:w="1652" w:type="pct"/>
                  <w:noWrap w:val="0"/>
                  <w:vAlign w:val="center"/>
                </w:tcPr>
                <w:p w14:paraId="020E1F45">
                  <w:pPr>
                    <w:widowControl w:val="0"/>
                    <w:kinsoku/>
                    <w:autoSpaceDE/>
                    <w:autoSpaceDN/>
                    <w:adjustRightInd/>
                    <w:snapToGrid/>
                    <w:spacing w:line="240" w:lineRule="auto"/>
                    <w:jc w:val="center"/>
                    <w:textAlignment w:val="auto"/>
                    <w:rPr>
                      <w:rFonts w:hint="eastAsia"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项目产生的</w:t>
                  </w:r>
                  <w:r>
                    <w:rPr>
                      <w:rFonts w:hint="eastAsia" w:cs="Times New Roman"/>
                      <w:color w:val="000000" w:themeColor="text1"/>
                      <w:sz w:val="21"/>
                      <w:szCs w:val="21"/>
                      <w:lang w:val="en-US" w:eastAsia="zh-CN"/>
                      <w14:textFill>
                        <w14:solidFill>
                          <w14:schemeClr w14:val="tx1"/>
                        </w14:solidFill>
                      </w14:textFill>
                    </w:rPr>
                    <w:t>VOCs、</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氮氧化物</w:t>
                  </w:r>
                  <w:r>
                    <w:rPr>
                      <w:rFonts w:hint="eastAsia" w:ascii="Times New Roman" w:cs="Times New Roman"/>
                      <w:color w:val="000000" w:themeColor="text1"/>
                      <w:sz w:val="21"/>
                      <w:szCs w:val="21"/>
                      <w:highlight w:val="none"/>
                      <w:lang w:val="en-US" w:eastAsia="zh-CN"/>
                      <w14:textFill>
                        <w14:solidFill>
                          <w14:schemeClr w14:val="tx1"/>
                        </w14:solidFill>
                      </w14:textFill>
                    </w:rPr>
                    <w:t>实施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等量替代</w:t>
                  </w:r>
                  <w:r>
                    <w:rPr>
                      <w:rFonts w:hint="eastAsia" w:ascii="Times New Roman" w:cs="Times New Roman"/>
                      <w:color w:val="000000" w:themeColor="text1"/>
                      <w:sz w:val="21"/>
                      <w:szCs w:val="21"/>
                      <w:highlight w:val="none"/>
                      <w:lang w:val="en-US" w:eastAsia="zh-CN"/>
                      <w14:textFill>
                        <w14:solidFill>
                          <w14:schemeClr w14:val="tx1"/>
                        </w14:solidFill>
                      </w14:textFill>
                    </w:rPr>
                    <w:t>。</w:t>
                  </w:r>
                </w:p>
                <w:p w14:paraId="3F4C8B44">
                  <w:pPr>
                    <w:widowControl w:val="0"/>
                    <w:kinsoku/>
                    <w:autoSpaceDE/>
                    <w:autoSpaceDN/>
                    <w:adjustRightInd/>
                    <w:snapToGrid/>
                    <w:spacing w:line="240" w:lineRule="auto"/>
                    <w:jc w:val="center"/>
                    <w:textAlignment w:val="auto"/>
                    <w:rPr>
                      <w:rFonts w:hint="eastAsia"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项目不设锅炉，不设电镀工艺。</w:t>
                  </w:r>
                </w:p>
                <w:p w14:paraId="7B1242E5">
                  <w:pPr>
                    <w:widowControl w:val="0"/>
                    <w:kinsoku/>
                    <w:autoSpaceDE/>
                    <w:autoSpaceDN/>
                    <w:adjustRightInd/>
                    <w:snapToGrid/>
                    <w:spacing w:line="240" w:lineRule="auto"/>
                    <w:jc w:val="center"/>
                    <w:textAlignment w:val="auto"/>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i w:val="0"/>
                      <w:iCs w:val="0"/>
                      <w:color w:val="000000" w:themeColor="text1"/>
                      <w:kern w:val="0"/>
                      <w:sz w:val="21"/>
                      <w:szCs w:val="21"/>
                      <w:highlight w:val="none"/>
                      <w:u w:val="none"/>
                      <w:lang w:val="en-US" w:eastAsia="zh-CN" w:bidi="ar"/>
                      <w14:textFill>
                        <w14:solidFill>
                          <w14:schemeClr w14:val="tx1"/>
                        </w14:solidFill>
                      </w14:textFill>
                    </w:rPr>
                    <w:t>项目</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生产废水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自建污水处理站处理</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后，生活污水经</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“三级化粪池</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+隔油隔渣池</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”预处理后</w:t>
                  </w:r>
                  <w:r>
                    <w:rPr>
                      <w:rFonts w:hint="eastAsia" w:ascii="Times New Roman"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排入园区污水处理厂进一步处理，达标后</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尾水</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排放至武江</w:t>
                  </w:r>
                  <w:r>
                    <w:rPr>
                      <w:rFonts w:hint="eastAsia" w:ascii="Times New Roman"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51" w:type="pct"/>
                  <w:noWrap w:val="0"/>
                  <w:vAlign w:val="center"/>
                </w:tcPr>
                <w:p w14:paraId="72E669C4">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3FB2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2E1D7F49">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30" w:type="pct"/>
                  <w:vMerge w:val="continue"/>
                  <w:tcBorders>
                    <w:left w:val="single" w:color="auto" w:sz="4" w:space="0"/>
                    <w:right w:val="single" w:color="auto" w:sz="4" w:space="0"/>
                  </w:tcBorders>
                  <w:noWrap w:val="0"/>
                  <w:vAlign w:val="center"/>
                </w:tcPr>
                <w:p w14:paraId="24B76FE2">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144" w:type="pct"/>
                  <w:noWrap w:val="0"/>
                  <w:vAlign w:val="center"/>
                </w:tcPr>
                <w:p w14:paraId="106B43D5">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环境风险防控要求。逐步构建城市多水源联网供水格局</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建立完善突发环境事件应急管理体系。加强惠州大亚湾石化区、广州石化、珠海高栏港、珠西新材料集聚区等石化、化工重点园区环境风险防控</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建立完善污染源在线监控系统</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开展有毒有害气体监测</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落实环境风险应急预案。提升危险废物监管能力</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利用信息化手段</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推进全过程跟踪管理；健全危险废物收集体系</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推进危险废物利用处置能力结构优化。</w:t>
                  </w:r>
                </w:p>
              </w:tc>
              <w:tc>
                <w:tcPr>
                  <w:tcW w:w="1652" w:type="pct"/>
                  <w:noWrap w:val="0"/>
                  <w:vAlign w:val="center"/>
                </w:tcPr>
                <w:p w14:paraId="6C1D9C36">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本项目危险废物统一收集后交由有资质单位处理。</w:t>
                  </w:r>
                </w:p>
              </w:tc>
              <w:tc>
                <w:tcPr>
                  <w:tcW w:w="351" w:type="pct"/>
                  <w:noWrap w:val="0"/>
                  <w:vAlign w:val="center"/>
                </w:tcPr>
                <w:p w14:paraId="5230F208">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660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noWrap w:val="0"/>
                  <w:vAlign w:val="center"/>
                </w:tcPr>
                <w:p w14:paraId="5ECE83FB">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6</w:t>
                  </w:r>
                </w:p>
              </w:tc>
              <w:tc>
                <w:tcPr>
                  <w:tcW w:w="530" w:type="pct"/>
                  <w:vMerge w:val="restart"/>
                  <w:noWrap w:val="0"/>
                  <w:vAlign w:val="center"/>
                </w:tcPr>
                <w:p w14:paraId="4FFB7D48">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14:textFill>
                        <w14:solidFill>
                          <w14:schemeClr w14:val="tx1"/>
                        </w14:solidFill>
                      </w14:textFill>
                    </w:rPr>
                    <w:t>环境管控单元总体管控要求</w:t>
                  </w:r>
                </w:p>
              </w:tc>
              <w:tc>
                <w:tcPr>
                  <w:tcW w:w="2144" w:type="pct"/>
                  <w:noWrap w:val="0"/>
                  <w:vAlign w:val="center"/>
                </w:tcPr>
                <w:p w14:paraId="5BA3F86C">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14:textFill>
                        <w14:solidFill>
                          <w14:schemeClr w14:val="tx1"/>
                        </w14:solidFill>
                      </w14:textFill>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p>
              </w:tc>
              <w:tc>
                <w:tcPr>
                  <w:tcW w:w="1652" w:type="pct"/>
                  <w:noWrap w:val="0"/>
                  <w:vAlign w:val="center"/>
                </w:tcPr>
                <w:p w14:paraId="6C694BFF">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根据</w:t>
                  </w:r>
                  <w:r>
                    <w:rPr>
                      <w:rFonts w:hint="eastAsia"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附图</w:t>
                  </w:r>
                  <w:r>
                    <w:rPr>
                      <w:rFonts w:hint="eastAsia"/>
                      <w:color w:val="000000" w:themeColor="text1"/>
                      <w:sz w:val="21"/>
                      <w:szCs w:val="21"/>
                      <w:highlight w:val="none"/>
                      <w14:textFill>
                        <w14:solidFill>
                          <w14:schemeClr w14:val="tx1"/>
                        </w14:solidFill>
                      </w14:textFill>
                    </w:rPr>
                    <w:t>1</w:t>
                  </w:r>
                  <w:r>
                    <w:rPr>
                      <w:rFonts w:hint="eastAsia"/>
                      <w:color w:val="000000" w:themeColor="text1"/>
                      <w:sz w:val="21"/>
                      <w:szCs w:val="21"/>
                      <w:highlight w:val="none"/>
                      <w:lang w:val="en-US" w:eastAsia="zh-CN"/>
                      <w14:textFill>
                        <w14:solidFill>
                          <w14:schemeClr w14:val="tx1"/>
                        </w14:solidFill>
                      </w14:textFill>
                    </w:rPr>
                    <w:t>4-1</w:t>
                  </w:r>
                  <w:r>
                    <w:rPr>
                      <w:rFonts w:hint="eastAsia"/>
                      <w:color w:val="000000" w:themeColor="text1"/>
                      <w:sz w:val="21"/>
                      <w:szCs w:val="21"/>
                      <w:highlight w:val="none"/>
                      <w14:textFill>
                        <w14:solidFill>
                          <w14:schemeClr w14:val="tx1"/>
                        </w14:solidFill>
                      </w14:textFill>
                    </w:rPr>
                    <w:t>，项目位于乐昌经济开发区重点管控单元（管控编码ZH44028120003），属于园区重点管控单元，项目主要从事金属表面处理及热处理加工，生产过程中产生氮氧化物需分配大气污染物总量；</w:t>
                  </w:r>
                  <w:r>
                    <w:rPr>
                      <w:rFonts w:hint="eastAsia" w:ascii="Times New Roman" w:cs="Times New Roman"/>
                      <w:i w:val="0"/>
                      <w:iCs w:val="0"/>
                      <w:color w:val="000000" w:themeColor="text1"/>
                      <w:kern w:val="0"/>
                      <w:sz w:val="21"/>
                      <w:szCs w:val="21"/>
                      <w:highlight w:val="none"/>
                      <w:u w:val="none"/>
                      <w:lang w:val="en-US" w:eastAsia="zh-CN" w:bidi="ar"/>
                      <w14:textFill>
                        <w14:solidFill>
                          <w14:schemeClr w14:val="tx1"/>
                        </w14:solidFill>
                      </w14:textFill>
                    </w:rPr>
                    <w:t>项目</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生产废水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自建污水处理站处理</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后、</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生活污水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“三级化粪池</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+隔油隔渣池</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”预处理后排入园区污水处理厂进一步处理达标后排放</w:t>
                  </w:r>
                  <w:r>
                    <w:rPr>
                      <w:rFonts w:hint="eastAsia"/>
                      <w:color w:val="000000" w:themeColor="text1"/>
                      <w:sz w:val="21"/>
                      <w:szCs w:val="21"/>
                      <w:highlight w:val="none"/>
                      <w14:textFill>
                        <w14:solidFill>
                          <w14:schemeClr w14:val="tx1"/>
                        </w14:solidFill>
                      </w14:textFill>
                    </w:rPr>
                    <w:t>，无需分配水污染物总量。</w:t>
                  </w:r>
                </w:p>
              </w:tc>
              <w:tc>
                <w:tcPr>
                  <w:tcW w:w="351" w:type="pct"/>
                  <w:noWrap w:val="0"/>
                  <w:vAlign w:val="center"/>
                </w:tcPr>
                <w:p w14:paraId="35EEC8C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14:textFill>
                        <w14:solidFill>
                          <w14:schemeClr w14:val="tx1"/>
                        </w14:solidFill>
                      </w14:textFill>
                    </w:rPr>
                    <w:t>符合</w:t>
                  </w:r>
                </w:p>
              </w:tc>
            </w:tr>
            <w:tr w14:paraId="7973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noWrap w:val="0"/>
                  <w:vAlign w:val="center"/>
                </w:tcPr>
                <w:p w14:paraId="663B809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30" w:type="pct"/>
                  <w:vMerge w:val="continue"/>
                  <w:noWrap w:val="0"/>
                  <w:vAlign w:val="center"/>
                </w:tcPr>
                <w:p w14:paraId="77129F0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144" w:type="pct"/>
                  <w:noWrap w:val="0"/>
                  <w:vAlign w:val="center"/>
                </w:tcPr>
                <w:p w14:paraId="12B0246E">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14:textFill>
                        <w14:solidFill>
                          <w14:schemeClr w14:val="tx1"/>
                        </w14:solidFill>
                      </w14:textFill>
                    </w:rPr>
                    <w:t>水环境质量超标类重点管控单元。严格控制耗水量大、污染物排放强度高的行业发展，新建、改建、扩建项目实施重点水污染物减量替代。以城镇生活污染为主的单元，加快推进城镇生活污水有效收集处理，重点完善污水处理设施配套管网建设，加快实施雨污分流改造，推动提升污水处理设施进水水量和浓度，充分发挥污水处理设施治污效能。</w:t>
                  </w:r>
                </w:p>
              </w:tc>
              <w:tc>
                <w:tcPr>
                  <w:tcW w:w="1652" w:type="pct"/>
                  <w:noWrap w:val="0"/>
                  <w:vAlign w:val="center"/>
                </w:tcPr>
                <w:p w14:paraId="6F6D379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14:textFill>
                        <w14:solidFill>
                          <w14:schemeClr w14:val="tx1"/>
                        </w14:solidFill>
                      </w14:textFill>
                    </w:rPr>
                    <w:t>项目不属于耗水量大和污染物排放强度高的行业，生活污水经三级化粪池</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+隔油隔渣池</w:t>
                  </w:r>
                  <w:r>
                    <w:rPr>
                      <w:rFonts w:hint="eastAsia"/>
                      <w:color w:val="000000" w:themeColor="text1"/>
                      <w:kern w:val="2"/>
                      <w:sz w:val="21"/>
                      <w:szCs w:val="21"/>
                      <w:highlight w:val="none"/>
                      <w14:textFill>
                        <w14:solidFill>
                          <w14:schemeClr w14:val="tx1"/>
                        </w14:solidFill>
                      </w14:textFill>
                    </w:rPr>
                    <w:t>预处理后排入园区污水处理</w:t>
                  </w:r>
                  <w:r>
                    <w:rPr>
                      <w:rFonts w:hint="eastAsia"/>
                      <w:color w:val="000000" w:themeColor="text1"/>
                      <w:kern w:val="2"/>
                      <w:sz w:val="21"/>
                      <w:szCs w:val="21"/>
                      <w:highlight w:val="none"/>
                      <w:lang w:eastAsia="zh-CN"/>
                      <w14:textFill>
                        <w14:solidFill>
                          <w14:schemeClr w14:val="tx1"/>
                        </w14:solidFill>
                      </w14:textFill>
                    </w:rPr>
                    <w:t>厂</w:t>
                  </w:r>
                  <w:r>
                    <w:rPr>
                      <w:rFonts w:hint="eastAsia"/>
                      <w:color w:val="000000" w:themeColor="text1"/>
                      <w:kern w:val="2"/>
                      <w:sz w:val="21"/>
                      <w:szCs w:val="21"/>
                      <w:highlight w:val="none"/>
                      <w14:textFill>
                        <w14:solidFill>
                          <w14:schemeClr w14:val="tx1"/>
                        </w14:solidFill>
                      </w14:textFill>
                    </w:rPr>
                    <w:t>；</w:t>
                  </w:r>
                  <w:r>
                    <w:rPr>
                      <w:rFonts w:hint="eastAsia" w:ascii="Times New Roman" w:cs="Times New Roman"/>
                      <w:i w:val="0"/>
                      <w:iCs w:val="0"/>
                      <w:color w:val="000000" w:themeColor="text1"/>
                      <w:kern w:val="0"/>
                      <w:sz w:val="21"/>
                      <w:szCs w:val="21"/>
                      <w:highlight w:val="none"/>
                      <w:u w:val="none"/>
                      <w:lang w:val="en-US" w:eastAsia="zh-CN" w:bidi="ar"/>
                      <w14:textFill>
                        <w14:solidFill>
                          <w14:schemeClr w14:val="tx1"/>
                        </w14:solidFill>
                      </w14:textFill>
                    </w:rPr>
                    <w:t>项目</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生产废水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自建污水处理站处理</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后</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排入园区污水处理厂进一步处理达标后排放</w:t>
                  </w:r>
                  <w:r>
                    <w:rPr>
                      <w:rFonts w:hint="eastAsia"/>
                      <w:color w:val="000000" w:themeColor="text1"/>
                      <w:kern w:val="2"/>
                      <w:sz w:val="21"/>
                      <w:szCs w:val="21"/>
                      <w:highlight w:val="none"/>
                      <w14:textFill>
                        <w14:solidFill>
                          <w14:schemeClr w14:val="tx1"/>
                        </w14:solidFill>
                      </w14:textFill>
                    </w:rPr>
                    <w:t>，对水环境影响不大。</w:t>
                  </w:r>
                </w:p>
              </w:tc>
              <w:tc>
                <w:tcPr>
                  <w:tcW w:w="351" w:type="pct"/>
                  <w:noWrap w:val="0"/>
                  <w:vAlign w:val="center"/>
                </w:tcPr>
                <w:p w14:paraId="5F3A3058">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14:textFill>
                        <w14:solidFill>
                          <w14:schemeClr w14:val="tx1"/>
                        </w14:solidFill>
                      </w14:textFill>
                    </w:rPr>
                    <w:t>符合</w:t>
                  </w:r>
                </w:p>
              </w:tc>
            </w:tr>
            <w:tr w14:paraId="07BA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noWrap w:val="0"/>
                  <w:vAlign w:val="center"/>
                </w:tcPr>
                <w:p w14:paraId="694DD551">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30" w:type="pct"/>
                  <w:vMerge w:val="continue"/>
                  <w:noWrap w:val="0"/>
                  <w:vAlign w:val="center"/>
                </w:tcPr>
                <w:p w14:paraId="717650E0">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144" w:type="pct"/>
                  <w:noWrap w:val="0"/>
                  <w:vAlign w:val="center"/>
                </w:tcPr>
                <w:p w14:paraId="026A0B8D">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14:textFill>
                        <w14:solidFill>
                          <w14:schemeClr w14:val="tx1"/>
                        </w14:solidFill>
                      </w14:textFill>
                    </w:rPr>
                    <w:t>大气环境受体敏感类重点管控单元。严格限制新建</w:t>
                  </w:r>
                  <w:r>
                    <w:rPr>
                      <w:rFonts w:hint="eastAsia"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钢铁</w:t>
                  </w:r>
                  <w:r>
                    <w:rPr>
                      <w:rFonts w:hint="eastAsia"/>
                      <w:color w:val="000000" w:themeColor="text1"/>
                      <w:kern w:val="2"/>
                      <w:sz w:val="21"/>
                      <w:szCs w:val="21"/>
                      <w:highlight w:val="none"/>
                      <w14:textFill>
                        <w14:solidFill>
                          <w14:schemeClr w14:val="tx1"/>
                        </w14:solidFill>
                      </w14:textFill>
                    </w:rPr>
                    <w:t>、燃煤燃油火电、石化、储油库等项目，产生和排放有毒有害大气污染物项目，以及使用溶剂型油墨、涂料、清洗剂、胶黏剂等高挥发性有机物原辅材料的项目；鼓励现有该类项目逐步搬迁退出</w:t>
                  </w:r>
                </w:p>
              </w:tc>
              <w:tc>
                <w:tcPr>
                  <w:tcW w:w="1652" w:type="pct"/>
                  <w:noWrap w:val="0"/>
                  <w:vAlign w:val="center"/>
                </w:tcPr>
                <w:p w14:paraId="33C51DE8">
                  <w:pPr>
                    <w:widowControl w:val="0"/>
                    <w:kinsoku/>
                    <w:autoSpaceDE/>
                    <w:autoSpaceDN/>
                    <w:adjustRightInd/>
                    <w:snapToGrid/>
                    <w:spacing w:line="240" w:lineRule="auto"/>
                    <w:jc w:val="center"/>
                    <w:textAlignment w:val="auto"/>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olor w:val="000000" w:themeColor="text1"/>
                      <w:kern w:val="2"/>
                      <w:sz w:val="21"/>
                      <w:szCs w:val="21"/>
                      <w:highlight w:val="none"/>
                      <w14:textFill>
                        <w14:solidFill>
                          <w14:schemeClr w14:val="tx1"/>
                        </w14:solidFill>
                      </w14:textFill>
                    </w:rPr>
                    <w:t>项目不属于钢铁、燃煤燃油火电、石化、储油库等项目</w:t>
                  </w:r>
                  <w:r>
                    <w:rPr>
                      <w:rFonts w:hint="eastAsia"/>
                      <w:color w:val="000000" w:themeColor="text1"/>
                      <w:kern w:val="2"/>
                      <w:sz w:val="21"/>
                      <w:szCs w:val="21"/>
                      <w:highlight w:val="none"/>
                      <w:lang w:eastAsia="zh-CN"/>
                      <w14:textFill>
                        <w14:solidFill>
                          <w14:schemeClr w14:val="tx1"/>
                        </w14:solidFill>
                      </w14:textFill>
                    </w:rPr>
                    <w:t>，</w:t>
                  </w:r>
                  <w:r>
                    <w:rPr>
                      <w:rFonts w:hint="eastAsia"/>
                      <w:color w:val="000000" w:themeColor="text1"/>
                      <w:kern w:val="2"/>
                      <w:sz w:val="21"/>
                      <w:szCs w:val="21"/>
                      <w:highlight w:val="none"/>
                      <w14:textFill>
                        <w14:solidFill>
                          <w14:schemeClr w14:val="tx1"/>
                        </w14:solidFill>
                      </w14:textFill>
                    </w:rPr>
                    <w:t>不属于</w:t>
                  </w:r>
                  <w:r>
                    <w:rPr>
                      <w:rFonts w:hint="eastAsia"/>
                      <w:color w:val="000000" w:themeColor="text1"/>
                      <w:kern w:val="2"/>
                      <w:sz w:val="21"/>
                      <w:szCs w:val="21"/>
                      <w:highlight w:val="none"/>
                      <w:lang w:val="en-US" w:eastAsia="zh-CN"/>
                      <w14:textFill>
                        <w14:solidFill>
                          <w14:schemeClr w14:val="tx1"/>
                        </w14:solidFill>
                      </w14:textFill>
                    </w:rPr>
                    <w:t>产生和排放</w:t>
                  </w:r>
                  <w:r>
                    <w:rPr>
                      <w:rFonts w:hint="eastAsia"/>
                      <w:color w:val="000000" w:themeColor="text1"/>
                      <w:kern w:val="2"/>
                      <w:sz w:val="21"/>
                      <w:szCs w:val="21"/>
                      <w:highlight w:val="none"/>
                      <w14:textFill>
                        <w14:solidFill>
                          <w14:schemeClr w14:val="tx1"/>
                        </w14:solidFill>
                      </w14:textFill>
                    </w:rPr>
                    <w:t>有毒有害大气污染物的项目</w:t>
                  </w:r>
                  <w:r>
                    <w:rPr>
                      <w:rFonts w:hint="eastAsia"/>
                      <w:color w:val="000000" w:themeColor="text1"/>
                      <w:kern w:val="2"/>
                      <w:sz w:val="21"/>
                      <w:szCs w:val="21"/>
                      <w:highlight w:val="none"/>
                      <w:lang w:eastAsia="zh-CN"/>
                      <w14:textFill>
                        <w14:solidFill>
                          <w14:schemeClr w14:val="tx1"/>
                        </w14:solidFill>
                      </w14:textFill>
                    </w:rPr>
                    <w:t>。</w:t>
                  </w:r>
                </w:p>
              </w:tc>
              <w:tc>
                <w:tcPr>
                  <w:tcW w:w="351" w:type="pct"/>
                  <w:noWrap w:val="0"/>
                  <w:vAlign w:val="center"/>
                </w:tcPr>
                <w:p w14:paraId="5C2E557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pPr>
                  <w:r>
                    <w:rPr>
                      <w:rFonts w:hint="eastAsia" w:ascii="Times New Roman" w:hAnsi="Times New Roman" w:eastAsia="宋体" w:cs="Times New Roman"/>
                      <w:b w:val="0"/>
                      <w:bCs w:val="0"/>
                      <w:snapToGrid/>
                      <w:color w:val="000000" w:themeColor="text1"/>
                      <w:kern w:val="2"/>
                      <w:szCs w:val="21"/>
                      <w:highlight w:val="none"/>
                      <w:lang w:val="en-US" w:eastAsia="zh-CN"/>
                      <w14:textFill>
                        <w14:solidFill>
                          <w14:schemeClr w14:val="tx1"/>
                        </w14:solidFill>
                      </w14:textFill>
                    </w:rPr>
                    <w:t>符合</w:t>
                  </w:r>
                </w:p>
              </w:tc>
            </w:tr>
          </w:tbl>
          <w:p w14:paraId="48E0DD44">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000000" w:themeColor="text1"/>
                <w:highlight w:val="none"/>
                <w14:textFill>
                  <w14:solidFill>
                    <w14:schemeClr w14:val="tx1"/>
                  </w14:solidFill>
                </w14:textFill>
              </w:rPr>
            </w:pPr>
          </w:p>
          <w:p w14:paraId="2A94CED8">
            <w:pPr>
              <w:spacing w:line="360" w:lineRule="auto"/>
              <w:ind w:firstLine="480"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综上所述，项目符合《广东省人民政府关于印发广东省“三线一单”生态环境分区管控方案的通知（粤府〔2020〕71号）》《广东省2023年度生态环境分区管控动态更新成果公告》的相关要求。</w:t>
            </w:r>
          </w:p>
          <w:p w14:paraId="5112A000">
            <w:pPr>
              <w:spacing w:line="360" w:lineRule="auto"/>
              <w:ind w:firstLine="482"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②与《韶关市“三线一单”生态环境分区管控方案》（韶府〔2021〕10号）和《韶关市生态环境分区管控动态更新成果》的相符性分析</w:t>
            </w:r>
          </w:p>
          <w:p w14:paraId="37EF6427">
            <w:pPr>
              <w:spacing w:line="360" w:lineRule="auto"/>
              <w:ind w:firstLine="480"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本项目所在环境管控单位为乐昌经济开发区重点管控单元（编号：ZH44028120003）</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，本项目与所在区域的生态保护红线、环境质量底线、资源利用上线</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如下表所示。</w:t>
            </w:r>
          </w:p>
          <w:p w14:paraId="71334135">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与《韶关市“三线一单”生态环境分区管控方案》（韶府</w:t>
            </w:r>
            <w:r>
              <w:rPr>
                <w:rFonts w:hint="eastAsia"/>
                <w:color w:val="000000" w:themeColor="text1"/>
                <w:sz w:val="21"/>
                <w:szCs w:val="21"/>
                <w:highlight w:val="none"/>
                <w:lang w:val="en-US" w:eastAsia="zh-CN"/>
                <w14:textFill>
                  <w14:solidFill>
                    <w14:schemeClr w14:val="tx1"/>
                  </w14:solidFill>
                </w14:textFill>
              </w:rPr>
              <w:br w:type="textWrapping"/>
            </w:r>
            <w:r>
              <w:rPr>
                <w:rFonts w:hint="eastAsia"/>
                <w:color w:val="000000" w:themeColor="text1"/>
                <w:sz w:val="21"/>
                <w:szCs w:val="21"/>
                <w:highlight w:val="none"/>
                <w:lang w:val="en-US" w:eastAsia="zh-CN"/>
                <w14:textFill>
                  <w14:solidFill>
                    <w14:schemeClr w14:val="tx1"/>
                  </w14:solidFill>
                </w14:textFill>
              </w:rPr>
              <w:t>〔2021〕10号）和《韶关市生态环境分区管控动态更新成果》</w:t>
            </w:r>
            <w:r>
              <w:rPr>
                <w:rFonts w:hint="eastAsia"/>
                <w:color w:val="000000" w:themeColor="text1"/>
                <w:sz w:val="21"/>
                <w:szCs w:val="21"/>
                <w:highlight w:val="none"/>
                <w14:textFill>
                  <w14:solidFill>
                    <w14:schemeClr w14:val="tx1"/>
                  </w14:solidFill>
                </w14:textFill>
              </w:rPr>
              <w:t>相符性分析一览表</w:t>
            </w:r>
          </w:p>
          <w:tbl>
            <w:tblPr>
              <w:tblStyle w:val="4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9"/>
              <w:gridCol w:w="3565"/>
              <w:gridCol w:w="2148"/>
              <w:gridCol w:w="503"/>
            </w:tblGrid>
            <w:tr w14:paraId="5C7B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17701220">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类别</w:t>
                  </w:r>
                </w:p>
              </w:tc>
              <w:tc>
                <w:tcPr>
                  <w:tcW w:w="2673" w:type="pct"/>
                  <w:noWrap w:val="0"/>
                  <w:vAlign w:val="center"/>
                </w:tcPr>
                <w:p w14:paraId="25BBF3FB">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文件要求</w:t>
                  </w:r>
                </w:p>
              </w:tc>
              <w:tc>
                <w:tcPr>
                  <w:tcW w:w="1611" w:type="pct"/>
                  <w:noWrap w:val="0"/>
                  <w:vAlign w:val="center"/>
                </w:tcPr>
                <w:p w14:paraId="4FAE7A8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本项目情况</w:t>
                  </w:r>
                </w:p>
              </w:tc>
              <w:tc>
                <w:tcPr>
                  <w:tcW w:w="377" w:type="pct"/>
                  <w:noWrap w:val="0"/>
                  <w:vAlign w:val="center"/>
                </w:tcPr>
                <w:p w14:paraId="1E1430C4">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符合性</w:t>
                  </w:r>
                </w:p>
              </w:tc>
            </w:tr>
            <w:tr w14:paraId="7C00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2164DEEA">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生态保护红线</w:t>
                  </w:r>
                </w:p>
              </w:tc>
              <w:tc>
                <w:tcPr>
                  <w:tcW w:w="2673" w:type="pct"/>
                  <w:noWrap w:val="0"/>
                  <w:vAlign w:val="center"/>
                </w:tcPr>
                <w:p w14:paraId="1D8D77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生态保护红线及一般生态空间。全市陆域生态保护红线面积5827.58平方千米，占全市陆域国土面积的31.65%；一般生态空间面积4951.43平方千米。</w:t>
                  </w:r>
                </w:p>
                <w:p w14:paraId="38B064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上述允许的有限人为活动之外，确需占用生态保护红线的国家重大项目，按照有关规定办理用地审批。</w:t>
                  </w:r>
                </w:p>
              </w:tc>
              <w:tc>
                <w:tcPr>
                  <w:tcW w:w="1611" w:type="pct"/>
                  <w:noWrap w:val="0"/>
                  <w:vAlign w:val="center"/>
                </w:tcPr>
                <w:p w14:paraId="22F4B905">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本项目选址不涉及自然保护区、风景名胜区、饮用水源保护区、基本农田保护区</w:t>
                  </w:r>
                  <w:r>
                    <w:rPr>
                      <w:rFonts w:hint="eastAsia" w:ascii="Times New Roman" w:hAnsi="Times New Roman" w:cs="Times New Roman"/>
                      <w:color w:val="000000" w:themeColor="text1"/>
                      <w:kern w:val="0"/>
                      <w:sz w:val="21"/>
                      <w:szCs w:val="21"/>
                      <w:highlight w:val="none"/>
                      <w:lang w:eastAsia="zh-CN"/>
                      <w14:textFill>
                        <w14:solidFill>
                          <w14:schemeClr w14:val="tx1"/>
                        </w14:solidFill>
                      </w14:textFill>
                    </w:rPr>
                    <w:t>及其他</w:t>
                  </w:r>
                  <w:r>
                    <w:rPr>
                      <w:rFonts w:hint="default" w:ascii="Times New Roman" w:hAnsi="Times New Roman" w:cs="Times New Roman"/>
                      <w:color w:val="000000" w:themeColor="text1"/>
                      <w:kern w:val="0"/>
                      <w:sz w:val="21"/>
                      <w:szCs w:val="21"/>
                      <w:highlight w:val="none"/>
                      <w14:textFill>
                        <w14:solidFill>
                          <w14:schemeClr w14:val="tx1"/>
                        </w14:solidFill>
                      </w14:textFill>
                    </w:rPr>
                    <w:t>需要特殊保护的敏感区域，项目位于</w:t>
                  </w:r>
                  <w:r>
                    <w:rPr>
                      <w:rFonts w:hint="eastAsia" w:ascii="Times New Roman" w:hAnsi="Times New Roman" w:cs="Times New Roman"/>
                      <w:color w:val="000000" w:themeColor="text1"/>
                      <w:kern w:val="0"/>
                      <w:sz w:val="21"/>
                      <w:szCs w:val="21"/>
                      <w:highlight w:val="none"/>
                      <w:lang w:eastAsia="zh-CN"/>
                      <w14:textFill>
                        <w14:solidFill>
                          <w14:schemeClr w14:val="tx1"/>
                        </w14:solidFill>
                      </w14:textFill>
                    </w:rPr>
                    <w:t>韶关市乐昌市乐昌经济开发区管理委员会后座046号</w:t>
                  </w:r>
                  <w:r>
                    <w:rPr>
                      <w:rFonts w:hint="default" w:ascii="Times New Roman" w:hAnsi="Times New Roman" w:cs="Times New Roman"/>
                      <w:color w:val="000000" w:themeColor="text1"/>
                      <w:sz w:val="21"/>
                      <w:szCs w:val="21"/>
                      <w:highlight w:val="none"/>
                      <w14:textFill>
                        <w14:solidFill>
                          <w14:schemeClr w14:val="tx1"/>
                        </w14:solidFill>
                      </w14:textFill>
                    </w:rPr>
                    <w:t>，不在生态红线内。</w:t>
                  </w:r>
                </w:p>
              </w:tc>
              <w:tc>
                <w:tcPr>
                  <w:tcW w:w="377" w:type="pct"/>
                  <w:noWrap w:val="0"/>
                  <w:vAlign w:val="center"/>
                </w:tcPr>
                <w:p w14:paraId="0A08045E">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符合</w:t>
                  </w:r>
                </w:p>
              </w:tc>
            </w:tr>
            <w:tr w14:paraId="6DB5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2B66361F">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环境质量底线</w:t>
                  </w:r>
                </w:p>
              </w:tc>
              <w:tc>
                <w:tcPr>
                  <w:tcW w:w="2673" w:type="pct"/>
                  <w:noWrap w:val="0"/>
                  <w:vAlign w:val="center"/>
                </w:tcPr>
                <w:p w14:paraId="5CB2FB3B">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全市水环境质量保持优良，县级以上集中式饮用水水源水质全面稳定达到或优于Ⅲ类，考核断面优良水质比例达100%。大气环境质量持续改善，AQI和PM</w:t>
                  </w:r>
                  <w:r>
                    <w:rPr>
                      <w:rFonts w:hint="default" w:ascii="Times New Roman" w:hAnsi="Times New Roman" w:cs="Times New Roman"/>
                      <w:color w:val="000000" w:themeColor="text1"/>
                      <w:kern w:val="0"/>
                      <w:sz w:val="21"/>
                      <w:szCs w:val="21"/>
                      <w:highlight w:val="none"/>
                      <w:vertAlign w:val="subscript"/>
                      <w14:textFill>
                        <w14:solidFill>
                          <w14:schemeClr w14:val="tx1"/>
                        </w14:solidFill>
                      </w14:textFill>
                    </w:rPr>
                    <w:t>2.5</w:t>
                  </w:r>
                  <w:r>
                    <w:rPr>
                      <w:rFonts w:hint="default" w:ascii="Times New Roman" w:hAnsi="Times New Roman" w:cs="Times New Roman"/>
                      <w:color w:val="000000" w:themeColor="text1"/>
                      <w:kern w:val="0"/>
                      <w:sz w:val="21"/>
                      <w:szCs w:val="21"/>
                      <w:highlight w:val="none"/>
                      <w14:textFill>
                        <w14:solidFill>
                          <w14:schemeClr w14:val="tx1"/>
                        </w14:solidFill>
                      </w14:textFill>
                    </w:rPr>
                    <w:t>等主要指标达到省下达的任务要求，臭氧污染得到有效遏制。土壤环境质量稳中向好，土壤环境风险得到管控。</w:t>
                  </w:r>
                </w:p>
              </w:tc>
              <w:tc>
                <w:tcPr>
                  <w:tcW w:w="1611" w:type="pct"/>
                  <w:noWrap w:val="0"/>
                  <w:vAlign w:val="center"/>
                </w:tcPr>
                <w:p w14:paraId="4610A2BD">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项目所在区域的声环境质量能够符合相应的标准要求；地表水质量达标；根据《</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2024</w:t>
                  </w:r>
                  <w:r>
                    <w:rPr>
                      <w:rFonts w:hint="default" w:ascii="Times New Roman" w:hAnsi="Times New Roman" w:cs="Times New Roman"/>
                      <w:color w:val="000000" w:themeColor="text1"/>
                      <w:kern w:val="0"/>
                      <w:sz w:val="21"/>
                      <w:szCs w:val="21"/>
                      <w:highlight w:val="none"/>
                      <w14:textFill>
                        <w14:solidFill>
                          <w14:schemeClr w14:val="tx1"/>
                        </w14:solidFill>
                      </w14:textFill>
                    </w:rPr>
                    <w:t>年韶关市生态环境状况公报》</w:t>
                  </w:r>
                  <w:r>
                    <w:rPr>
                      <w:rFonts w:hint="default" w:ascii="Times New Roman" w:hAnsi="Times New Roman" w:cs="Times New Roman"/>
                      <w:bCs/>
                      <w:color w:val="000000" w:themeColor="text1"/>
                      <w:sz w:val="21"/>
                      <w:szCs w:val="21"/>
                      <w:highlight w:val="none"/>
                      <w14:textFill>
                        <w14:solidFill>
                          <w14:schemeClr w14:val="tx1"/>
                        </w14:solidFill>
                      </w14:textFill>
                    </w:rPr>
                    <w:t>，乐昌市</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各项基本污染物</w:t>
                  </w:r>
                  <w:r>
                    <w:rPr>
                      <w:rFonts w:hint="default" w:ascii="Times New Roman" w:hAnsi="Times New Roman" w:cs="Times New Roman"/>
                      <w:bCs/>
                      <w:color w:val="000000" w:themeColor="text1"/>
                      <w:sz w:val="21"/>
                      <w:szCs w:val="21"/>
                      <w:highlight w:val="none"/>
                      <w14:textFill>
                        <w14:solidFill>
                          <w14:schemeClr w14:val="tx1"/>
                        </w14:solidFill>
                      </w14:textFill>
                    </w:rPr>
                    <w:t>均满足《环境空气质量标准》（GB3095-2026）过渡阶段浓度限值二级标准，由此说明</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韶关市</w:t>
                  </w:r>
                  <w:r>
                    <w:rPr>
                      <w:rFonts w:hint="default" w:ascii="Times New Roman" w:hAnsi="Times New Roman" w:cs="Times New Roman"/>
                      <w:bCs/>
                      <w:color w:val="000000" w:themeColor="text1"/>
                      <w:sz w:val="21"/>
                      <w:szCs w:val="21"/>
                      <w:highlight w:val="none"/>
                      <w14:textFill>
                        <w14:solidFill>
                          <w14:schemeClr w14:val="tx1"/>
                        </w14:solidFill>
                      </w14:textFill>
                    </w:rPr>
                    <w:t>乐昌市属于环境空气质量达标区</w:t>
                  </w:r>
                  <w:r>
                    <w:rPr>
                      <w:rFonts w:hint="default" w:ascii="Times New Roman" w:hAnsi="Times New Roman" w:cs="Times New Roman"/>
                      <w:color w:val="000000" w:themeColor="text1"/>
                      <w:kern w:val="0"/>
                      <w:sz w:val="21"/>
                      <w:szCs w:val="21"/>
                      <w:highlight w:val="none"/>
                      <w14:textFill>
                        <w14:solidFill>
                          <w14:schemeClr w14:val="tx1"/>
                        </w14:solidFill>
                      </w14:textFill>
                    </w:rPr>
                    <w:t>。本项目排放的大气污染物</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为颗粒物、二氧化硫、氮氧化物</w:t>
                  </w:r>
                  <w:r>
                    <w:rPr>
                      <w:rFonts w:hint="eastAsia" w:cs="Times New Roman"/>
                      <w:color w:val="000000" w:themeColor="text1"/>
                      <w:kern w:val="0"/>
                      <w:sz w:val="21"/>
                      <w:szCs w:val="21"/>
                      <w:highlight w:val="none"/>
                      <w:lang w:val="en-US" w:eastAsia="zh-CN"/>
                      <w14:textFill>
                        <w14:solidFill>
                          <w14:schemeClr w14:val="tx1"/>
                        </w14:solidFill>
                      </w14:textFill>
                    </w:rPr>
                    <w:t>、非甲烷总烃、苯系物、油烟、臭气浓度等</w:t>
                  </w:r>
                  <w:r>
                    <w:rPr>
                      <w:rFonts w:hint="default" w:ascii="Times New Roman" w:hAnsi="Times New Roman" w:cs="Times New Roman"/>
                      <w:color w:val="000000" w:themeColor="text1"/>
                      <w:kern w:val="0"/>
                      <w:sz w:val="21"/>
                      <w:szCs w:val="21"/>
                      <w:highlight w:val="none"/>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项目废气排放量较少</w:t>
                  </w:r>
                  <w:r>
                    <w:rPr>
                      <w:rFonts w:hint="default" w:ascii="Times New Roman" w:hAnsi="Times New Roman" w:cs="Times New Roman"/>
                      <w:color w:val="000000" w:themeColor="text1"/>
                      <w:kern w:val="0"/>
                      <w:sz w:val="21"/>
                      <w:szCs w:val="21"/>
                      <w:highlight w:val="none"/>
                      <w14:textFill>
                        <w14:solidFill>
                          <w14:schemeClr w14:val="tx1"/>
                        </w14:solidFill>
                      </w14:textFill>
                    </w:rPr>
                    <w:t>，对周围大气环境影响不大。项目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生产废水、</w:t>
                  </w:r>
                  <w:r>
                    <w:rPr>
                      <w:rFonts w:hint="default" w:ascii="Times New Roman" w:hAnsi="Times New Roman" w:cs="Times New Roman"/>
                      <w:color w:val="000000" w:themeColor="text1"/>
                      <w:sz w:val="21"/>
                      <w:szCs w:val="21"/>
                      <w:highlight w:val="none"/>
                      <w14:textFill>
                        <w14:solidFill>
                          <w14:schemeClr w14:val="tx1"/>
                        </w14:solidFill>
                      </w14:textFill>
                    </w:rPr>
                    <w:t>生活污水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经处理达标后排入园区污水处理厂处理</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377" w:type="pct"/>
                  <w:noWrap w:val="0"/>
                  <w:vAlign w:val="center"/>
                </w:tcPr>
                <w:p w14:paraId="22408099">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符合</w:t>
                  </w:r>
                </w:p>
              </w:tc>
            </w:tr>
            <w:tr w14:paraId="4B7B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6C39F21B">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资源利用上线</w:t>
                  </w:r>
                </w:p>
              </w:tc>
              <w:tc>
                <w:tcPr>
                  <w:tcW w:w="2673" w:type="pct"/>
                  <w:noWrap w:val="0"/>
                  <w:vAlign w:val="center"/>
                </w:tcPr>
                <w:p w14:paraId="732A8A7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强化节约集约利用，持续提升资源能源利用效率，水资源、土地资源、岸线资源、能源消耗等达到或优于国家、省下达的总量和强度控制目标。水资源利用效率持续提高。到2025年，全市用水总量控制在19.71亿立方米以内，万元地区生产总值用水量较2020年降幅不低于24%，万元工业增加值用水量较2020年降幅不低于20%。</w:t>
                  </w:r>
                </w:p>
                <w:p w14:paraId="250C1748">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土地资源集约化利用水平不断提升。耕地保有量、永久基本农田保护面积、建设用地总规模、城乡建设用地规模等严格落实国家和省下达的总量和强度控制指标。</w:t>
                  </w:r>
                </w:p>
                <w:p w14:paraId="044D4580">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岸线资源得到有效保护。自然岸线保有率达到省级考核要求。</w:t>
                  </w:r>
                </w:p>
                <w:p w14:paraId="1F46E6E2">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能源利用效率持续提升，能源结构不断优化。到2025年，全市单位地区生产总值能源消耗比2020年下降15.5%。碳排放控制步伐加快推进，与全省同步达峰。</w:t>
                  </w:r>
                </w:p>
              </w:tc>
              <w:tc>
                <w:tcPr>
                  <w:tcW w:w="1611" w:type="pct"/>
                  <w:noWrap w:val="0"/>
                  <w:vAlign w:val="center"/>
                </w:tcPr>
                <w:p w14:paraId="36FC6EB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本项目营运过程中消耗一定量的电能</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天然气</w:t>
                  </w:r>
                  <w:r>
                    <w:rPr>
                      <w:rFonts w:hint="default" w:ascii="Times New Roman" w:hAnsi="Times New Roman" w:cs="Times New Roman"/>
                      <w:color w:val="000000" w:themeColor="text1"/>
                      <w:kern w:val="0"/>
                      <w:sz w:val="21"/>
                      <w:szCs w:val="21"/>
                      <w:highlight w:val="none"/>
                      <w14:textFill>
                        <w14:solidFill>
                          <w14:schemeClr w14:val="tx1"/>
                        </w14:solidFill>
                      </w14:textFill>
                    </w:rPr>
                    <w:t>、水资源，项目资源消耗量相对区域</w:t>
                  </w:r>
                  <w:r>
                    <w:rPr>
                      <w:rFonts w:hint="eastAsia" w:ascii="Times New Roman" w:hAnsi="Times New Roman" w:cs="Times New Roman"/>
                      <w:color w:val="000000" w:themeColor="text1"/>
                      <w:kern w:val="0"/>
                      <w:sz w:val="21"/>
                      <w:szCs w:val="21"/>
                      <w:highlight w:val="none"/>
                      <w:lang w:eastAsia="zh-CN"/>
                      <w14:textFill>
                        <w14:solidFill>
                          <w14:schemeClr w14:val="tx1"/>
                        </w14:solidFill>
                      </w14:textFill>
                    </w:rPr>
                    <w:t>资源</w:t>
                  </w:r>
                  <w:r>
                    <w:rPr>
                      <w:rFonts w:hint="default" w:ascii="Times New Roman" w:hAnsi="Times New Roman" w:cs="Times New Roman"/>
                      <w:color w:val="000000" w:themeColor="text1"/>
                      <w:kern w:val="0"/>
                      <w:sz w:val="21"/>
                      <w:szCs w:val="21"/>
                      <w:highlight w:val="none"/>
                      <w14:textFill>
                        <w14:solidFill>
                          <w14:schemeClr w14:val="tx1"/>
                        </w14:solidFill>
                      </w14:textFill>
                    </w:rPr>
                    <w:t>利用总量较少，符合资源利用上限的要求。</w:t>
                  </w:r>
                </w:p>
              </w:tc>
              <w:tc>
                <w:tcPr>
                  <w:tcW w:w="377" w:type="pct"/>
                  <w:noWrap w:val="0"/>
                  <w:vAlign w:val="center"/>
                </w:tcPr>
                <w:p w14:paraId="4305ED57">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符合</w:t>
                  </w:r>
                </w:p>
              </w:tc>
            </w:tr>
          </w:tbl>
          <w:p w14:paraId="146722E7">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000000" w:themeColor="text1"/>
                <w:highlight w:val="none"/>
                <w14:textFill>
                  <w14:solidFill>
                    <w14:schemeClr w14:val="tx1"/>
                  </w14:solidFill>
                </w14:textFill>
              </w:rPr>
            </w:pPr>
          </w:p>
          <w:p w14:paraId="196B03A1">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本项目与</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韶关市</w:t>
            </w:r>
            <w:r>
              <w:rPr>
                <w:rFonts w:hint="eastAsia" w:cs="Times New Roman"/>
                <w:b w:val="0"/>
                <w:bCs w:val="0"/>
                <w:color w:val="000000" w:themeColor="text1"/>
                <w:sz w:val="24"/>
                <w:szCs w:val="24"/>
                <w:highlight w:val="none"/>
                <w:lang w:val="en-US" w:eastAsia="zh-CN"/>
                <w14:textFill>
                  <w14:solidFill>
                    <w14:schemeClr w14:val="tx1"/>
                  </w14:solidFill>
                </w14:textFill>
              </w:rPr>
              <w:t>生态环境分区管控方案</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全市管控要求如下表所示：</w:t>
            </w:r>
          </w:p>
          <w:p w14:paraId="61FEE978">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与韶关市生态环境分区管控方案相符性分析</w:t>
            </w:r>
          </w:p>
          <w:tbl>
            <w:tblPr>
              <w:tblStyle w:val="4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7"/>
              <w:gridCol w:w="3439"/>
              <w:gridCol w:w="1944"/>
              <w:gridCol w:w="428"/>
            </w:tblGrid>
            <w:tr w14:paraId="425A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39" w:type="pct"/>
                  <w:gridSpan w:val="2"/>
                  <w:tcBorders>
                    <w:tl2br w:val="nil"/>
                    <w:tr2bl w:val="nil"/>
                  </w:tcBorders>
                  <w:noWrap w:val="0"/>
                  <w:vAlign w:val="center"/>
                </w:tcPr>
                <w:p w14:paraId="588019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内容</w:t>
                  </w:r>
                </w:p>
              </w:tc>
              <w:tc>
                <w:tcPr>
                  <w:tcW w:w="2978" w:type="pct"/>
                  <w:tcBorders>
                    <w:tl2br w:val="nil"/>
                    <w:tr2bl w:val="nil"/>
                  </w:tcBorders>
                  <w:noWrap w:val="0"/>
                  <w:vAlign w:val="center"/>
                </w:tcPr>
                <w:p w14:paraId="03C30D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要求</w:t>
                  </w:r>
                </w:p>
              </w:tc>
              <w:tc>
                <w:tcPr>
                  <w:tcW w:w="999" w:type="pct"/>
                  <w:tcBorders>
                    <w:tl2br w:val="nil"/>
                    <w:tr2bl w:val="nil"/>
                  </w:tcBorders>
                  <w:noWrap w:val="0"/>
                  <w:vAlign w:val="center"/>
                </w:tcPr>
                <w:p w14:paraId="024A59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相符性分析</w:t>
                  </w:r>
                </w:p>
              </w:tc>
              <w:tc>
                <w:tcPr>
                  <w:tcW w:w="382" w:type="pct"/>
                  <w:tcBorders>
                    <w:tl2br w:val="nil"/>
                    <w:tr2bl w:val="nil"/>
                  </w:tcBorders>
                  <w:noWrap w:val="0"/>
                  <w:vAlign w:val="center"/>
                </w:tcPr>
                <w:p w14:paraId="798B1A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结论</w:t>
                  </w:r>
                </w:p>
              </w:tc>
            </w:tr>
            <w:tr w14:paraId="664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restart"/>
                  <w:tcBorders>
                    <w:tl2br w:val="nil"/>
                    <w:tr2bl w:val="nil"/>
                  </w:tcBorders>
                  <w:noWrap w:val="0"/>
                  <w:vAlign w:val="center"/>
                </w:tcPr>
                <w:p w14:paraId="4A4801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全市总体管控</w:t>
                  </w:r>
                </w:p>
              </w:tc>
              <w:tc>
                <w:tcPr>
                  <w:tcW w:w="320" w:type="pct"/>
                  <w:tcBorders>
                    <w:tl2br w:val="nil"/>
                    <w:tr2bl w:val="nil"/>
                  </w:tcBorders>
                  <w:noWrap w:val="0"/>
                  <w:vAlign w:val="center"/>
                </w:tcPr>
                <w:p w14:paraId="50BE07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bidi="ar"/>
                      <w14:textFill>
                        <w14:solidFill>
                          <w14:schemeClr w14:val="tx1"/>
                        </w14:solidFill>
                      </w14:textFill>
                    </w:rPr>
                    <w:t>区域布局管控</w:t>
                  </w:r>
                </w:p>
              </w:tc>
              <w:tc>
                <w:tcPr>
                  <w:tcW w:w="2978" w:type="pct"/>
                  <w:tcBorders>
                    <w:tl2br w:val="nil"/>
                    <w:tr2bl w:val="nil"/>
                  </w:tcBorders>
                  <w:noWrap w:val="0"/>
                  <w:vAlign w:val="center"/>
                </w:tcPr>
                <w:p w14:paraId="301344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丰城街道、梅坑镇、黄礤镇、马头镇）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999" w:type="pct"/>
                  <w:tcBorders>
                    <w:tl2br w:val="nil"/>
                    <w:tr2bl w:val="nil"/>
                  </w:tcBorders>
                  <w:noWrap w:val="0"/>
                  <w:vAlign w:val="center"/>
                </w:tcPr>
                <w:p w14:paraId="3CC97F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主要从事金属表面处理及热处理加工行业，不涉重金属，不属于高污染高耗能行业，项目位于乐昌产业转移工业园，园区已开展规划环境评价，项目符合园区准入条件。项目所在地属于环境功能二类区、水环境质量达标区。</w:t>
                  </w:r>
                </w:p>
              </w:tc>
              <w:tc>
                <w:tcPr>
                  <w:tcW w:w="382" w:type="pct"/>
                  <w:tcBorders>
                    <w:tl2br w:val="nil"/>
                    <w:tr2bl w:val="nil"/>
                  </w:tcBorders>
                  <w:noWrap w:val="0"/>
                  <w:vAlign w:val="center"/>
                </w:tcPr>
                <w:p w14:paraId="02F0AA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7778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4B27B6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320" w:type="pct"/>
                  <w:tcBorders>
                    <w:tl2br w:val="nil"/>
                    <w:tr2bl w:val="nil"/>
                  </w:tcBorders>
                  <w:noWrap w:val="0"/>
                  <w:vAlign w:val="center"/>
                </w:tcPr>
                <w:p w14:paraId="180505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能源资源利用</w:t>
                  </w:r>
                </w:p>
              </w:tc>
              <w:tc>
                <w:tcPr>
                  <w:tcW w:w="2978" w:type="pct"/>
                  <w:tcBorders>
                    <w:tl2br w:val="nil"/>
                    <w:tr2bl w:val="nil"/>
                  </w:tcBorders>
                  <w:noWrap w:val="0"/>
                  <w:vAlign w:val="center"/>
                </w:tcPr>
                <w:p w14:paraId="1EC3EC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原则上不再新建小水电以及除国家和省规划外的风电项目，对不符合生态环境要求的小水电进行清理整改。严格落实东江、北江流域等重要控制断面生态流量保障目标。加强城市节水，提高水资源的利用效率和效益。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999" w:type="pct"/>
                  <w:tcBorders>
                    <w:tl2br w:val="nil"/>
                    <w:tr2bl w:val="nil"/>
                  </w:tcBorders>
                  <w:noWrap w:val="0"/>
                  <w:vAlign w:val="center"/>
                </w:tcPr>
                <w:p w14:paraId="210D8F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default" w:ascii="Times New Roman" w:hAnsi="Times New Roman" w:cs="Times New Roman"/>
                      <w:color w:val="000000" w:themeColor="text1"/>
                      <w:sz w:val="21"/>
                      <w:szCs w:val="21"/>
                      <w:highlight w:val="none"/>
                      <w:lang w:eastAsia="zh-CN"/>
                      <w14:textFill>
                        <w14:solidFill>
                          <w14:schemeClr w14:val="tx1"/>
                        </w14:solidFill>
                      </w14:textFill>
                    </w:rPr>
                    <w:t>属于</w:t>
                  </w:r>
                  <w:r>
                    <w:rPr>
                      <w:rFonts w:hint="default" w:ascii="Times New Roman" w:hAnsi="Times New Roman" w:cs="Times New Roman"/>
                      <w:color w:val="000000" w:themeColor="text1"/>
                      <w:sz w:val="21"/>
                      <w:szCs w:val="21"/>
                      <w:highlight w:val="none"/>
                      <w14:textFill>
                        <w14:solidFill>
                          <w14:schemeClr w14:val="tx1"/>
                        </w14:solidFill>
                      </w14:textFill>
                    </w:rPr>
                    <w:t>金属表面处理及热处理加工行业，不属于电力、建材、冶炼等重点耗能行业，不涉及水电、风电、矿产资源开发。项目</w:t>
                  </w:r>
                  <w:r>
                    <w:rPr>
                      <w:rFonts w:hint="eastAsia" w:cs="Times New Roman"/>
                      <w:color w:val="000000" w:themeColor="text1"/>
                      <w:sz w:val="21"/>
                      <w:szCs w:val="21"/>
                      <w:highlight w:val="none"/>
                      <w:lang w:val="en-US" w:eastAsia="zh-CN"/>
                      <w14:textFill>
                        <w14:solidFill>
                          <w14:schemeClr w14:val="tx1"/>
                        </w14:solidFill>
                      </w14:textFill>
                    </w:rPr>
                    <w:t>固化炉</w:t>
                  </w:r>
                  <w:r>
                    <w:rPr>
                      <w:rFonts w:hint="default" w:ascii="Times New Roman" w:hAnsi="Times New Roman" w:cs="Times New Roman"/>
                      <w:color w:val="000000" w:themeColor="text1"/>
                      <w:sz w:val="21"/>
                      <w:szCs w:val="21"/>
                      <w:highlight w:val="none"/>
                      <w14:textFill>
                        <w14:solidFill>
                          <w14:schemeClr w14:val="tx1"/>
                        </w14:solidFill>
                      </w14:textFill>
                    </w:rPr>
                    <w:t>能源使用天然气，天然气属于清洁能源。</w:t>
                  </w:r>
                </w:p>
              </w:tc>
              <w:tc>
                <w:tcPr>
                  <w:tcW w:w="382" w:type="pct"/>
                  <w:tcBorders>
                    <w:tl2br w:val="nil"/>
                    <w:tr2bl w:val="nil"/>
                  </w:tcBorders>
                  <w:noWrap w:val="0"/>
                  <w:vAlign w:val="center"/>
                </w:tcPr>
                <w:p w14:paraId="12AA96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79D5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7C7C9C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320" w:type="pct"/>
                  <w:tcBorders>
                    <w:tl2br w:val="nil"/>
                    <w:tr2bl w:val="nil"/>
                  </w:tcBorders>
                  <w:noWrap w:val="0"/>
                  <w:vAlign w:val="center"/>
                </w:tcPr>
                <w:p w14:paraId="61B351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污染物排放管控</w:t>
                  </w:r>
                </w:p>
              </w:tc>
              <w:tc>
                <w:tcPr>
                  <w:tcW w:w="2978" w:type="pct"/>
                  <w:tcBorders>
                    <w:tl2br w:val="nil"/>
                    <w:tr2bl w:val="nil"/>
                  </w:tcBorders>
                  <w:noWrap w:val="0"/>
                  <w:vAlign w:val="center"/>
                </w:tcPr>
                <w:p w14:paraId="26A390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实施低挥发性有机物（VOCs）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14825C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5F716E9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46749E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999" w:type="pct"/>
                  <w:tcBorders>
                    <w:tl2br w:val="nil"/>
                    <w:tr2bl w:val="nil"/>
                  </w:tcBorders>
                  <w:noWrap w:val="0"/>
                  <w:vAlign w:val="center"/>
                </w:tcPr>
                <w:p w14:paraId="1678F2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本项目为金属表面处理及热处理加工行业，不属于造纸、焦化、有色金属、印染、农副食品加工、原料药制造、制革、农药、电镀等行业，不属于“两高”项目。氮氧化物</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VOCs实行总量控制。项目所在地不涉及饮用水水源保护区，生产废水经自建污水处理站处理后排入园区污水处理厂</w:t>
                  </w:r>
                  <w:r>
                    <w:rPr>
                      <w:rFonts w:hint="eastAsia"/>
                      <w:color w:val="000000" w:themeColor="text1"/>
                      <w:sz w:val="21"/>
                      <w:szCs w:val="21"/>
                      <w:highlight w:val="none"/>
                      <w:lang w:val="en-US" w:eastAsia="zh-CN"/>
                      <w14:textFill>
                        <w14:solidFill>
                          <w14:schemeClr w14:val="tx1"/>
                        </w14:solidFill>
                      </w14:textFill>
                    </w:rPr>
                    <w:t>深度处理</w:t>
                  </w:r>
                  <w:r>
                    <w:rPr>
                      <w:rFonts w:hint="default" w:ascii="Times New Roman" w:hAnsi="Times New Roman" w:cs="Times New Roman"/>
                      <w:color w:val="000000" w:themeColor="text1"/>
                      <w:sz w:val="21"/>
                      <w:szCs w:val="21"/>
                      <w:highlight w:val="none"/>
                      <w14:textFill>
                        <w14:solidFill>
                          <w14:schemeClr w14:val="tx1"/>
                        </w14:solidFill>
                      </w14:textFill>
                    </w:rPr>
                    <w:t>；生活污水经三级化粪池</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+隔油隔渣池</w:t>
                  </w:r>
                  <w:r>
                    <w:rPr>
                      <w:rFonts w:hint="default" w:ascii="Times New Roman" w:hAnsi="Times New Roman" w:cs="Times New Roman"/>
                      <w:color w:val="000000" w:themeColor="text1"/>
                      <w:sz w:val="21"/>
                      <w:szCs w:val="21"/>
                      <w:highlight w:val="none"/>
                      <w14:textFill>
                        <w14:solidFill>
                          <w14:schemeClr w14:val="tx1"/>
                        </w14:solidFill>
                      </w14:textFill>
                    </w:rPr>
                    <w:t>处理后排入园区污水处理厂</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污水处理厂废水</w:t>
                  </w:r>
                  <w:r>
                    <w:rPr>
                      <w:rFonts w:hint="eastAsia"/>
                      <w:color w:val="000000" w:themeColor="text1"/>
                      <w:sz w:val="21"/>
                      <w:szCs w:val="21"/>
                      <w:highlight w:val="none"/>
                      <w:lang w:val="en-US" w:eastAsia="zh-CN"/>
                      <w14:textFill>
                        <w14:solidFill>
                          <w14:schemeClr w14:val="tx1"/>
                        </w14:solidFill>
                      </w14:textFill>
                    </w:rPr>
                    <w:t>处理</w:t>
                  </w:r>
                  <w:r>
                    <w:rPr>
                      <w:rFonts w:hint="eastAsia"/>
                      <w:color w:val="000000" w:themeColor="text1"/>
                      <w:sz w:val="21"/>
                      <w:szCs w:val="21"/>
                      <w:highlight w:val="none"/>
                      <w14:textFill>
                        <w14:solidFill>
                          <w14:schemeClr w14:val="tx1"/>
                        </w14:solidFill>
                      </w14:textFill>
                    </w:rPr>
                    <w:t>达标后通过出水管道输送</w:t>
                  </w:r>
                  <w:r>
                    <w:rPr>
                      <w:rFonts w:hint="eastAsia"/>
                      <w:color w:val="000000" w:themeColor="text1"/>
                      <w:sz w:val="21"/>
                      <w:szCs w:val="21"/>
                      <w:highlight w:val="none"/>
                      <w:lang w:val="en-US" w:eastAsia="zh-CN"/>
                      <w14:textFill>
                        <w14:solidFill>
                          <w14:schemeClr w14:val="tx1"/>
                        </w14:solidFill>
                      </w14:textFill>
                    </w:rPr>
                    <w:t>尾水</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经</w:t>
                  </w:r>
                  <w:r>
                    <w:rPr>
                      <w:rFonts w:hint="eastAsia"/>
                      <w:color w:val="000000" w:themeColor="text1"/>
                      <w:sz w:val="21"/>
                      <w:szCs w:val="21"/>
                      <w:highlight w:val="none"/>
                      <w14:textFill>
                        <w14:solidFill>
                          <w14:schemeClr w14:val="tx1"/>
                        </w14:solidFill>
                      </w14:textFill>
                    </w:rPr>
                    <w:t>废水排放口</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WS-LC005001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排放至</w:t>
                  </w:r>
                  <w:r>
                    <w:rPr>
                      <w:rFonts w:hint="eastAsia"/>
                      <w:color w:val="000000" w:themeColor="text1"/>
                      <w:sz w:val="21"/>
                      <w:szCs w:val="21"/>
                      <w:highlight w:val="none"/>
                      <w14:textFill>
                        <w14:solidFill>
                          <w14:schemeClr w14:val="tx1"/>
                        </w14:solidFill>
                      </w14:textFill>
                    </w:rPr>
                    <w:t>榴村霜降坑河</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最终</w:t>
                  </w:r>
                  <w:r>
                    <w:rPr>
                      <w:rFonts w:hint="eastAsia"/>
                      <w:color w:val="000000" w:themeColor="text1"/>
                      <w:sz w:val="21"/>
                      <w:szCs w:val="21"/>
                      <w:highlight w:val="none"/>
                      <w14:textFill>
                        <w14:solidFill>
                          <w14:schemeClr w14:val="tx1"/>
                        </w14:solidFill>
                      </w14:textFill>
                    </w:rPr>
                    <w:t>流入武江</w:t>
                  </w:r>
                  <w:r>
                    <w:rPr>
                      <w:rFonts w:hint="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园区污水处理厂执行《城镇污水处理厂污染物排放标准》</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GB18918-2002</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中一级B标准和广东省《水污染物排放限值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（DB44/26-2001）中的第二时段一级排放标准中严者。</w:t>
                  </w:r>
                </w:p>
              </w:tc>
              <w:tc>
                <w:tcPr>
                  <w:tcW w:w="382" w:type="pct"/>
                  <w:tcBorders>
                    <w:tl2br w:val="nil"/>
                    <w:tr2bl w:val="nil"/>
                  </w:tcBorders>
                  <w:noWrap w:val="0"/>
                  <w:vAlign w:val="center"/>
                </w:tcPr>
                <w:p w14:paraId="767952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0875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569C32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20" w:type="pct"/>
                  <w:tcBorders>
                    <w:tl2br w:val="nil"/>
                    <w:tr2bl w:val="nil"/>
                  </w:tcBorders>
                  <w:noWrap w:val="0"/>
                  <w:vAlign w:val="center"/>
                </w:tcPr>
                <w:p w14:paraId="7BBDD9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环境风险管控</w:t>
                  </w:r>
                </w:p>
              </w:tc>
              <w:tc>
                <w:tcPr>
                  <w:tcW w:w="2978" w:type="pct"/>
                  <w:tcBorders>
                    <w:tl2br w:val="nil"/>
                    <w:tr2bl w:val="nil"/>
                  </w:tcBorders>
                  <w:noWrap w:val="0"/>
                  <w:vAlign w:val="center"/>
                </w:tcPr>
                <w:p w14:paraId="2E9496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事件）引发的次生环境风险事故（事件）。</w:t>
                  </w:r>
                </w:p>
              </w:tc>
              <w:tc>
                <w:tcPr>
                  <w:tcW w:w="999" w:type="pct"/>
                  <w:tcBorders>
                    <w:tl2br w:val="nil"/>
                    <w:tr2bl w:val="nil"/>
                  </w:tcBorders>
                  <w:noWrap w:val="0"/>
                  <w:vAlign w:val="center"/>
                </w:tcPr>
                <w:p w14:paraId="06509B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382" w:type="pct"/>
                  <w:tcBorders>
                    <w:tl2br w:val="nil"/>
                    <w:tr2bl w:val="nil"/>
                  </w:tcBorders>
                  <w:noWrap w:val="0"/>
                  <w:vAlign w:val="center"/>
                </w:tcPr>
                <w:p w14:paraId="739830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bl>
          <w:p w14:paraId="269E8D61">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000000" w:themeColor="text1"/>
                <w:highlight w:val="none"/>
                <w14:textFill>
                  <w14:solidFill>
                    <w14:schemeClr w14:val="tx1"/>
                  </w14:solidFill>
                </w14:textFill>
              </w:rPr>
            </w:pPr>
          </w:p>
          <w:p w14:paraId="3079D600">
            <w:pPr>
              <w:spacing w:line="360" w:lineRule="auto"/>
              <w:ind w:firstLine="480"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本项目位于韶关市乐昌市乐昌经济开发区管理委员会后座046号，根据广东省</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三线一单</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应用平台的查询结果，涉及5个单元，根据单元准入要求分析，总计发现需关注的准入要求16条，其他准入要求22条。其中：</w:t>
            </w:r>
          </w:p>
          <w:p w14:paraId="45D5B892">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（1）本项目</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陆域环境管控单元为</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ZH44028120003乐昌经济开发区重点管控单元</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见附图</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14-1</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p>
          <w:p w14:paraId="35AFE4C9">
            <w:pPr>
              <w:spacing w:line="360" w:lineRule="auto"/>
              <w:ind w:firstLine="480"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生态空间分区为YS4402813110001乐昌市生态空间一般管控区，</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见附图</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14-2。</w:t>
            </w:r>
          </w:p>
          <w:p w14:paraId="302E22D0">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水环境管控分区为YS4402813210013廊田水韶关市长来-廊田-五山镇控制单元，</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见附图</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14-3</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p>
          <w:p w14:paraId="75268DCC">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大气环境管控分区为YS4402812310002大气环境高排放重点管控区，</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见附图</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14-4</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p>
          <w:p w14:paraId="3A8D73ED">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w:t>
            </w:r>
            <w:r>
              <w:rPr>
                <w:rFonts w:hint="eastAsia" w:cs="Times New Roman"/>
                <w:b w:val="0"/>
                <w:bCs w:val="0"/>
                <w:color w:val="000000" w:themeColor="text1"/>
                <w:kern w:val="0"/>
                <w:sz w:val="24"/>
                <w:highlight w:val="none"/>
                <w:lang w:val="en-US" w:eastAsia="zh-CN"/>
                <w14:textFill>
                  <w14:solidFill>
                    <w14:schemeClr w14:val="tx1"/>
                  </w14:solidFill>
                </w14:textFill>
              </w:rPr>
              <w:t>所在区域</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为YS4402812540001乐昌市高污染燃料禁燃区，</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见附图</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14-5</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p>
          <w:p w14:paraId="653B1AEA">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其具体管控要求相符性分析详见下表。</w:t>
            </w:r>
          </w:p>
          <w:p w14:paraId="14550C00">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与</w:t>
            </w:r>
            <w:r>
              <w:rPr>
                <w:rFonts w:hint="eastAsia"/>
                <w:b/>
                <w:bCs/>
                <w:color w:val="000000" w:themeColor="text1"/>
                <w:sz w:val="21"/>
                <w:szCs w:val="21"/>
                <w:highlight w:val="none"/>
                <w14:textFill>
                  <w14:solidFill>
                    <w14:schemeClr w14:val="tx1"/>
                  </w14:solidFill>
                </w14:textFill>
              </w:rPr>
              <w:t>生态环境准入清单</w:t>
            </w:r>
            <w:r>
              <w:rPr>
                <w:rFonts w:hint="eastAsia"/>
                <w:color w:val="000000" w:themeColor="text1"/>
                <w:sz w:val="21"/>
                <w:szCs w:val="21"/>
                <w:highlight w:val="none"/>
                <w:lang w:val="en-US" w:eastAsia="zh-CN"/>
                <w14:textFill>
                  <w14:solidFill>
                    <w14:schemeClr w14:val="tx1"/>
                  </w14:solidFill>
                </w14:textFill>
              </w:rPr>
              <w:t>相符性分析</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708"/>
              <w:gridCol w:w="554"/>
              <w:gridCol w:w="2605"/>
              <w:gridCol w:w="1519"/>
              <w:gridCol w:w="91"/>
              <w:gridCol w:w="24"/>
              <w:gridCol w:w="20"/>
              <w:gridCol w:w="482"/>
            </w:tblGrid>
            <w:tr w14:paraId="3551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9"/>
                  <w:tcBorders>
                    <w:tl2br w:val="nil"/>
                    <w:tr2bl w:val="nil"/>
                  </w:tcBorders>
                  <w:noWrap w:val="0"/>
                  <w:vAlign w:val="center"/>
                </w:tcPr>
                <w:p w14:paraId="60E8D2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与</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乐昌经济开发区重点管控单元（ZH44028120003）要求相符性分析</w:t>
                  </w:r>
                </w:p>
              </w:tc>
            </w:tr>
            <w:tr w14:paraId="1FFF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restart"/>
                  <w:tcBorders>
                    <w:tl2br w:val="nil"/>
                    <w:tr2bl w:val="nil"/>
                  </w:tcBorders>
                  <w:noWrap w:val="0"/>
                  <w:vAlign w:val="center"/>
                </w:tcPr>
                <w:p w14:paraId="400A0F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生态环境准入清单</w:t>
                  </w:r>
                </w:p>
              </w:tc>
              <w:tc>
                <w:tcPr>
                  <w:tcW w:w="306" w:type="pct"/>
                  <w:tcBorders>
                    <w:tl2br w:val="nil"/>
                    <w:tr2bl w:val="nil"/>
                  </w:tcBorders>
                  <w:noWrap w:val="0"/>
                  <w:vAlign w:val="center"/>
                </w:tcPr>
                <w:p w14:paraId="075BF1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区域布局管控</w:t>
                  </w:r>
                </w:p>
              </w:tc>
              <w:tc>
                <w:tcPr>
                  <w:tcW w:w="2714" w:type="pct"/>
                  <w:gridSpan w:val="2"/>
                  <w:tcBorders>
                    <w:tl2br w:val="nil"/>
                    <w:tr2bl w:val="nil"/>
                  </w:tcBorders>
                  <w:noWrap w:val="0"/>
                  <w:vAlign w:val="center"/>
                </w:tcPr>
                <w:p w14:paraId="46D9B2A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1-1.【产业/鼓励引导类】重点发展现代轻工产业（消费电子等）、先进装备制造业等产业，优先引进无污染物或轻污染项目。</w:t>
                  </w:r>
                </w:p>
                <w:p w14:paraId="137999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1-2.【产业/禁止类】园区禁止引入专业电镀、化学制浆、鞣革等水污染物排放量大或排放一类污染物、持久性有机污染物的项目。</w:t>
                  </w:r>
                </w:p>
                <w:p w14:paraId="3282AA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1-3.【产业/限制类】严格限制不符合园区发展定位的项目入驻。</w:t>
                  </w:r>
                </w:p>
                <w:p w14:paraId="303A75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1-4.【产业/综合类】居民区、学校等环境敏感点邻近地块优先布局废气排放量小、工业噪声影响小的产业。</w:t>
                  </w:r>
                </w:p>
              </w:tc>
              <w:tc>
                <w:tcPr>
                  <w:tcW w:w="1317" w:type="pct"/>
                  <w:gridSpan w:val="3"/>
                  <w:tcBorders>
                    <w:tl2br w:val="nil"/>
                    <w:tr2bl w:val="nil"/>
                  </w:tcBorders>
                  <w:noWrap w:val="0"/>
                  <w:vAlign w:val="center"/>
                </w:tcPr>
                <w:p w14:paraId="18102F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本项目为金属表面处理及热处理加工行业，不属于专业电镀、化学制浆、鞣革等水污染物排放量大或排放一类污染物、持久性有机污染物的项目；项目符合园区发展定位；</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本项目废气排放量较小，涉及环境敏感点为居民区，符合布局要求</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374" w:type="pct"/>
                  <w:gridSpan w:val="2"/>
                  <w:tcBorders>
                    <w:tl2br w:val="nil"/>
                    <w:tr2bl w:val="nil"/>
                  </w:tcBorders>
                  <w:noWrap w:val="0"/>
                  <w:vAlign w:val="center"/>
                </w:tcPr>
                <w:p w14:paraId="373289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00C7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7DF952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06" w:type="pct"/>
                  <w:tcBorders>
                    <w:tl2br w:val="nil"/>
                    <w:tr2bl w:val="nil"/>
                  </w:tcBorders>
                  <w:noWrap w:val="0"/>
                  <w:vAlign w:val="center"/>
                </w:tcPr>
                <w:p w14:paraId="794F00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能源资源利用</w:t>
                  </w:r>
                </w:p>
              </w:tc>
              <w:tc>
                <w:tcPr>
                  <w:tcW w:w="2714" w:type="pct"/>
                  <w:gridSpan w:val="2"/>
                  <w:tcBorders>
                    <w:tl2br w:val="nil"/>
                    <w:tr2bl w:val="nil"/>
                  </w:tcBorders>
                  <w:noWrap w:val="0"/>
                  <w:vAlign w:val="center"/>
                </w:tcPr>
                <w:p w14:paraId="4EC6C6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2-1.【能源/鼓励引导类】园区内能源结构应以电能、燃气等清洁能源为主。</w:t>
                  </w:r>
                </w:p>
                <w:p w14:paraId="2D95B6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2-2.【水资源/综合类】提高园区水资源利用效率，加快中水回用系统建设。</w:t>
                  </w:r>
                </w:p>
                <w:p w14:paraId="41F37F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2-3.【其他/综合类】有行业清洁生产标准的新引进项目清洁生产水平须达到本行业国内先进水平。</w:t>
                  </w:r>
                </w:p>
              </w:tc>
              <w:tc>
                <w:tcPr>
                  <w:tcW w:w="1317" w:type="pct"/>
                  <w:gridSpan w:val="3"/>
                  <w:tcBorders>
                    <w:tl2br w:val="nil"/>
                    <w:tr2bl w:val="nil"/>
                  </w:tcBorders>
                  <w:noWrap w:val="0"/>
                  <w:vAlign w:val="center"/>
                </w:tcPr>
                <w:p w14:paraId="589FA2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项目主要以电能、天然气作为生产能源，属于清洁能源；项目生产废水经自建污水处理站处理后排入园区污水处理厂。</w:t>
                  </w:r>
                </w:p>
              </w:tc>
              <w:tc>
                <w:tcPr>
                  <w:tcW w:w="374" w:type="pct"/>
                  <w:gridSpan w:val="2"/>
                  <w:tcBorders>
                    <w:tl2br w:val="nil"/>
                    <w:tr2bl w:val="nil"/>
                  </w:tcBorders>
                  <w:noWrap w:val="0"/>
                  <w:vAlign w:val="center"/>
                </w:tcPr>
                <w:p w14:paraId="6143D6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116F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6AC29E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06" w:type="pct"/>
                  <w:tcBorders>
                    <w:tl2br w:val="nil"/>
                    <w:tr2bl w:val="nil"/>
                  </w:tcBorders>
                  <w:noWrap w:val="0"/>
                  <w:vAlign w:val="center"/>
                </w:tcPr>
                <w:p w14:paraId="2A069CF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污染物排放管控</w:t>
                  </w:r>
                </w:p>
              </w:tc>
              <w:tc>
                <w:tcPr>
                  <w:tcW w:w="2714" w:type="pct"/>
                  <w:gridSpan w:val="2"/>
                  <w:tcBorders>
                    <w:tl2br w:val="nil"/>
                    <w:tr2bl w:val="nil"/>
                  </w:tcBorders>
                  <w:noWrap w:val="0"/>
                  <w:vAlign w:val="center"/>
                </w:tcPr>
                <w:p w14:paraId="056600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3-1.【水、大气/限制类】园区各项污染物排放总量不得突破园区规划环评核定的污染物排放总量管控要求。</w:t>
                  </w:r>
                </w:p>
                <w:p w14:paraId="20E7E3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-2.【水/限制类】实行重点重金属污染物（铅、砷、汞、镉、铬）等量替代。严格控制涉重金属及有毒有害污染物排放的项目建设，新建、改建、扩建涉重金属重点行业的项目应明确重金属污染物总量来源。3-3.【大气/限制类】新建项目原则上实施氮氧化物、挥发性有机物排放量等量替代。</w:t>
                  </w:r>
                </w:p>
                <w:p w14:paraId="7BAF4A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3-4.【其它/鼓励引导类】支持危险废物专业收集转运和利用处置单位建设区域性收集网点和贮存设施。</w:t>
                  </w:r>
                </w:p>
              </w:tc>
              <w:tc>
                <w:tcPr>
                  <w:tcW w:w="1317" w:type="pct"/>
                  <w:gridSpan w:val="3"/>
                  <w:tcBorders>
                    <w:tl2br w:val="nil"/>
                    <w:tr2bl w:val="nil"/>
                  </w:tcBorders>
                  <w:noWrap w:val="0"/>
                  <w:vAlign w:val="center"/>
                </w:tcPr>
                <w:p w14:paraId="6DF3EC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本项目实施后园区的总量指标依然没有超规划环评的总量指标</w:t>
                  </w:r>
                  <w:r>
                    <w:rPr>
                      <w:rFonts w:hint="default" w:ascii="Times New Roman" w:hAnsi="Times New Roman" w:cs="Times New Roman"/>
                      <w:color w:val="000000" w:themeColor="text1"/>
                      <w:sz w:val="21"/>
                      <w:szCs w:val="21"/>
                      <w:highlight w:val="none"/>
                      <w14:textFill>
                        <w14:solidFill>
                          <w14:schemeClr w14:val="tx1"/>
                        </w14:solidFill>
                      </w14:textFill>
                    </w:rPr>
                    <w:t>，需向韶关市生态环境局乐昌分局申请分配实行等量代替，</w:t>
                  </w:r>
                  <w:r>
                    <w:rPr>
                      <w:rFonts w:hint="eastAsia" w:cs="Times New Roman"/>
                      <w:color w:val="000000" w:themeColor="text1"/>
                      <w:sz w:val="21"/>
                      <w:szCs w:val="21"/>
                      <w:highlight w:val="none"/>
                      <w:lang w:val="en-US" w:eastAsia="zh-CN"/>
                      <w14:textFill>
                        <w14:solidFill>
                          <w14:schemeClr w14:val="tx1"/>
                        </w14:solidFill>
                      </w14:textFill>
                    </w:rPr>
                    <w:t>申请总量为VOCs1.022t/a、氮氧化物0.341t/a（详见附件9）。</w:t>
                  </w:r>
                  <w:r>
                    <w:rPr>
                      <w:rFonts w:hint="default" w:ascii="Times New Roman" w:hAnsi="Times New Roman" w:cs="Times New Roman"/>
                      <w:color w:val="000000" w:themeColor="text1"/>
                      <w:sz w:val="21"/>
                      <w:szCs w:val="21"/>
                      <w:highlight w:val="none"/>
                      <w14:textFill>
                        <w14:solidFill>
                          <w14:schemeClr w14:val="tx1"/>
                        </w14:solidFill>
                      </w14:textFill>
                    </w:rPr>
                    <w:t>项目不涉及重金属污染物，危险废物贮存在厂区</w:t>
                  </w:r>
                  <w:r>
                    <w:rPr>
                      <w:rFonts w:hint="eastAsia" w:cs="Times New Roman"/>
                      <w:color w:val="000000" w:themeColor="text1"/>
                      <w:sz w:val="21"/>
                      <w:szCs w:val="21"/>
                      <w:highlight w:val="none"/>
                      <w:lang w:eastAsia="zh-CN"/>
                      <w14:textFill>
                        <w14:solidFill>
                          <w14:schemeClr w14:val="tx1"/>
                        </w14:solidFill>
                      </w14:textFill>
                    </w:rPr>
                    <w:t>危险废物贮存间</w:t>
                  </w:r>
                  <w:r>
                    <w:rPr>
                      <w:rFonts w:hint="default" w:ascii="Times New Roman" w:hAnsi="Times New Roman" w:cs="Times New Roman"/>
                      <w:color w:val="000000" w:themeColor="text1"/>
                      <w:sz w:val="21"/>
                      <w:szCs w:val="21"/>
                      <w:highlight w:val="none"/>
                      <w14:textFill>
                        <w14:solidFill>
                          <w14:schemeClr w14:val="tx1"/>
                        </w14:solidFill>
                      </w14:textFill>
                    </w:rPr>
                    <w:t>，统一收集后交有资质的单位处理。</w:t>
                  </w:r>
                </w:p>
              </w:tc>
              <w:tc>
                <w:tcPr>
                  <w:tcW w:w="374" w:type="pct"/>
                  <w:gridSpan w:val="2"/>
                  <w:tcBorders>
                    <w:tl2br w:val="nil"/>
                    <w:tr2bl w:val="nil"/>
                  </w:tcBorders>
                  <w:noWrap w:val="0"/>
                  <w:vAlign w:val="center"/>
                </w:tcPr>
                <w:p w14:paraId="0D0D6C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4786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0F8D0C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06" w:type="pct"/>
                  <w:tcBorders>
                    <w:tl2br w:val="nil"/>
                    <w:tr2bl w:val="nil"/>
                  </w:tcBorders>
                  <w:noWrap w:val="0"/>
                  <w:vAlign w:val="center"/>
                </w:tcPr>
                <w:p w14:paraId="4F391C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环境风险防控</w:t>
                  </w:r>
                </w:p>
              </w:tc>
              <w:tc>
                <w:tcPr>
                  <w:tcW w:w="2714" w:type="pct"/>
                  <w:gridSpan w:val="2"/>
                  <w:tcBorders>
                    <w:tl2br w:val="nil"/>
                    <w:tr2bl w:val="nil"/>
                  </w:tcBorders>
                  <w:noWrap w:val="0"/>
                  <w:vAlign w:val="center"/>
                </w:tcPr>
                <w:p w14:paraId="55A4FC8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w:t>
                  </w:r>
                  <w:r>
                    <w:rPr>
                      <w:rFonts w:hint="default" w:ascii="Times New Roman" w:hAnsi="Times New Roman" w:cs="Times New Roman"/>
                      <w:color w:val="000000" w:themeColor="text1"/>
                      <w:sz w:val="21"/>
                      <w:szCs w:val="21"/>
                      <w:highlight w:val="none"/>
                      <w:lang w:eastAsia="zh-CN"/>
                      <w14:textFill>
                        <w14:solidFill>
                          <w14:schemeClr w14:val="tx1"/>
                        </w14:solidFill>
                      </w14:textFill>
                    </w:rPr>
                    <w:t>水</w:t>
                  </w:r>
                  <w:r>
                    <w:rPr>
                      <w:rFonts w:hint="default" w:ascii="Times New Roman" w:hAnsi="Times New Roman" w:cs="Times New Roman"/>
                      <w:color w:val="000000" w:themeColor="text1"/>
                      <w:sz w:val="21"/>
                      <w:szCs w:val="21"/>
                      <w:highlight w:val="none"/>
                      <w14:textFill>
                        <w14:solidFill>
                          <w14:schemeClr w14:val="tx1"/>
                        </w14:solidFill>
                      </w14:textFill>
                    </w:rPr>
                    <w:t>处理厂设置足够容积的事故应急池，纳污水体设置水质监控断面，发现问题，及时采取限制废水排放等措施。</w:t>
                  </w:r>
                </w:p>
              </w:tc>
              <w:tc>
                <w:tcPr>
                  <w:tcW w:w="1317" w:type="pct"/>
                  <w:gridSpan w:val="3"/>
                  <w:tcBorders>
                    <w:tl2br w:val="nil"/>
                    <w:tr2bl w:val="nil"/>
                  </w:tcBorders>
                  <w:noWrap w:val="0"/>
                  <w:vAlign w:val="center"/>
                </w:tcPr>
                <w:p w14:paraId="47C0A7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项目位于</w:t>
                  </w:r>
                  <w:r>
                    <w:rPr>
                      <w:rFonts w:hint="default" w:ascii="Times New Roman" w:hAnsi="Times New Roman" w:cs="Times New Roman"/>
                      <w:color w:val="000000" w:themeColor="text1"/>
                      <w:sz w:val="21"/>
                      <w:szCs w:val="21"/>
                      <w:highlight w:val="none"/>
                      <w:lang w:eastAsia="zh-CN"/>
                      <w14:textFill>
                        <w14:solidFill>
                          <w14:schemeClr w14:val="tx1"/>
                        </w14:solidFill>
                      </w14:textFill>
                    </w:rPr>
                    <w:t>乐昌产业转移工业园</w:t>
                  </w:r>
                  <w:r>
                    <w:rPr>
                      <w:rFonts w:hint="default" w:ascii="Times New Roman" w:hAnsi="Times New Roman" w:cs="Times New Roman"/>
                      <w:color w:val="000000" w:themeColor="text1"/>
                      <w:sz w:val="21"/>
                      <w:szCs w:val="21"/>
                      <w:highlight w:val="none"/>
                      <w14:textFill>
                        <w14:solidFill>
                          <w14:schemeClr w14:val="tx1"/>
                        </w14:solidFill>
                      </w14:textFill>
                    </w:rPr>
                    <w:t>内，</w:t>
                  </w:r>
                  <w:r>
                    <w:rPr>
                      <w:rFonts w:hint="default" w:ascii="Times New Roman" w:hAnsi="Times New Roman" w:cs="Times New Roman"/>
                      <w:color w:val="000000" w:themeColor="text1"/>
                      <w:sz w:val="21"/>
                      <w:szCs w:val="21"/>
                      <w:highlight w:val="none"/>
                      <w:lang w:eastAsia="zh-CN"/>
                      <w14:textFill>
                        <w14:solidFill>
                          <w14:schemeClr w14:val="tx1"/>
                        </w14:solidFill>
                      </w14:textFill>
                    </w:rPr>
                    <w:t>乐昌产业转移工业园</w:t>
                  </w:r>
                  <w:r>
                    <w:rPr>
                      <w:rFonts w:hint="default" w:ascii="Times New Roman" w:hAnsi="Times New Roman" w:cs="Times New Roman"/>
                      <w:color w:val="000000" w:themeColor="text1"/>
                      <w:sz w:val="21"/>
                      <w:szCs w:val="21"/>
                      <w:highlight w:val="none"/>
                      <w14:textFill>
                        <w14:solidFill>
                          <w14:schemeClr w14:val="tx1"/>
                        </w14:solidFill>
                      </w14:textFill>
                    </w:rPr>
                    <w:t>已完善相关环保手续，并制定了事故风险防范和应急措施，能够满足项目环境风险防控的要求。</w:t>
                  </w:r>
                </w:p>
              </w:tc>
              <w:tc>
                <w:tcPr>
                  <w:tcW w:w="374" w:type="pct"/>
                  <w:gridSpan w:val="2"/>
                  <w:tcBorders>
                    <w:tl2br w:val="nil"/>
                    <w:tr2bl w:val="nil"/>
                  </w:tcBorders>
                  <w:noWrap w:val="0"/>
                  <w:vAlign w:val="center"/>
                </w:tcPr>
                <w:p w14:paraId="54B6BA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03EA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D9BEE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环境管控单元编码</w:t>
                  </w:r>
                </w:p>
              </w:tc>
              <w:tc>
                <w:tcPr>
                  <w:tcW w:w="2475" w:type="pct"/>
                  <w:tcBorders>
                    <w:tl2br w:val="nil"/>
                    <w:tr2bl w:val="nil"/>
                  </w:tcBorders>
                  <w:noWrap w:val="0"/>
                  <w:vAlign w:val="center"/>
                </w:tcPr>
                <w:p w14:paraId="6BFFF4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环境管控单元名称</w:t>
                  </w:r>
                </w:p>
              </w:tc>
              <w:tc>
                <w:tcPr>
                  <w:tcW w:w="1692" w:type="pct"/>
                  <w:gridSpan w:val="5"/>
                  <w:tcBorders>
                    <w:tl2br w:val="nil"/>
                    <w:tr2bl w:val="nil"/>
                  </w:tcBorders>
                  <w:noWrap w:val="0"/>
                  <w:vAlign w:val="center"/>
                </w:tcPr>
                <w:p w14:paraId="3EC5DB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管控单元分类</w:t>
                  </w:r>
                </w:p>
              </w:tc>
            </w:tr>
            <w:tr w14:paraId="316A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2EB03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YS4402813110001</w:t>
                  </w:r>
                </w:p>
              </w:tc>
              <w:tc>
                <w:tcPr>
                  <w:tcW w:w="2475" w:type="pct"/>
                  <w:tcBorders>
                    <w:tl2br w:val="nil"/>
                    <w:tr2bl w:val="nil"/>
                  </w:tcBorders>
                  <w:noWrap w:val="0"/>
                  <w:vAlign w:val="center"/>
                </w:tcPr>
                <w:p w14:paraId="30E857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乐昌市生态空间一般管控区</w:t>
                  </w:r>
                </w:p>
              </w:tc>
              <w:tc>
                <w:tcPr>
                  <w:tcW w:w="1692" w:type="pct"/>
                  <w:gridSpan w:val="5"/>
                  <w:tcBorders>
                    <w:tl2br w:val="nil"/>
                    <w:tr2bl w:val="nil"/>
                  </w:tcBorders>
                  <w:noWrap w:val="0"/>
                  <w:vAlign w:val="center"/>
                </w:tcPr>
                <w:p w14:paraId="452760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生态空间一般管控区</w:t>
                  </w:r>
                </w:p>
              </w:tc>
            </w:tr>
            <w:tr w14:paraId="65E4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F9216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管控维度</w:t>
                  </w:r>
                </w:p>
              </w:tc>
              <w:tc>
                <w:tcPr>
                  <w:tcW w:w="2475" w:type="pct"/>
                  <w:tcBorders>
                    <w:tl2br w:val="nil"/>
                    <w:tr2bl w:val="nil"/>
                  </w:tcBorders>
                  <w:noWrap w:val="0"/>
                  <w:vAlign w:val="center"/>
                </w:tcPr>
                <w:p w14:paraId="0AAF77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管控要求</w:t>
                  </w:r>
                </w:p>
              </w:tc>
              <w:tc>
                <w:tcPr>
                  <w:tcW w:w="1224" w:type="pct"/>
                  <w:tcBorders>
                    <w:tl2br w:val="nil"/>
                    <w:tr2bl w:val="nil"/>
                  </w:tcBorders>
                  <w:noWrap w:val="0"/>
                  <w:vAlign w:val="center"/>
                </w:tcPr>
                <w:p w14:paraId="3469C1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项目情况</w:t>
                  </w:r>
                </w:p>
              </w:tc>
              <w:tc>
                <w:tcPr>
                  <w:tcW w:w="468" w:type="pct"/>
                  <w:gridSpan w:val="4"/>
                  <w:tcBorders>
                    <w:tl2br w:val="nil"/>
                    <w:tr2bl w:val="nil"/>
                  </w:tcBorders>
                  <w:noWrap w:val="0"/>
                  <w:vAlign w:val="center"/>
                </w:tcPr>
                <w:p w14:paraId="26BB18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相符性</w:t>
                  </w:r>
                </w:p>
              </w:tc>
            </w:tr>
            <w:tr w14:paraId="3A9A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940DF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区域布局管控</w:t>
                  </w:r>
                </w:p>
              </w:tc>
              <w:tc>
                <w:tcPr>
                  <w:tcW w:w="2475" w:type="pct"/>
                  <w:tcBorders>
                    <w:tl2br w:val="nil"/>
                    <w:tr2bl w:val="nil"/>
                  </w:tcBorders>
                  <w:noWrap w:val="0"/>
                  <w:vAlign w:val="center"/>
                </w:tcPr>
                <w:p w14:paraId="093B61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按国家和省统一要求管理。</w:t>
                  </w:r>
                </w:p>
              </w:tc>
              <w:tc>
                <w:tcPr>
                  <w:tcW w:w="1224" w:type="pct"/>
                  <w:tcBorders>
                    <w:tl2br w:val="nil"/>
                    <w:tr2bl w:val="nil"/>
                  </w:tcBorders>
                  <w:noWrap w:val="0"/>
                  <w:vAlign w:val="center"/>
                </w:tcPr>
                <w:p w14:paraId="2FC92F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项目不涉及自然生态用地，合理开发，符合城市规划</w:t>
                  </w:r>
                </w:p>
              </w:tc>
              <w:tc>
                <w:tcPr>
                  <w:tcW w:w="468" w:type="pct"/>
                  <w:gridSpan w:val="4"/>
                  <w:tcBorders>
                    <w:tl2br w:val="nil"/>
                    <w:tr2bl w:val="nil"/>
                  </w:tcBorders>
                  <w:noWrap w:val="0"/>
                  <w:vAlign w:val="center"/>
                </w:tcPr>
                <w:p w14:paraId="5E8B68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277C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AC2115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环境管控单元编码</w:t>
                  </w:r>
                </w:p>
              </w:tc>
              <w:tc>
                <w:tcPr>
                  <w:tcW w:w="2475" w:type="pct"/>
                  <w:tcBorders>
                    <w:tl2br w:val="nil"/>
                    <w:tr2bl w:val="nil"/>
                  </w:tcBorders>
                  <w:noWrap w:val="0"/>
                  <w:vAlign w:val="center"/>
                </w:tcPr>
                <w:p w14:paraId="0B5B6E8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环境管控单元名称</w:t>
                  </w:r>
                </w:p>
              </w:tc>
              <w:tc>
                <w:tcPr>
                  <w:tcW w:w="1692" w:type="pct"/>
                  <w:gridSpan w:val="5"/>
                  <w:tcBorders>
                    <w:tl2br w:val="nil"/>
                    <w:tr2bl w:val="nil"/>
                  </w:tcBorders>
                  <w:noWrap w:val="0"/>
                  <w:vAlign w:val="center"/>
                </w:tcPr>
                <w:p w14:paraId="7193AE6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管控单元分类</w:t>
                  </w:r>
                </w:p>
              </w:tc>
            </w:tr>
            <w:tr w14:paraId="3F3E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8CD8B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YS440281321001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2475" w:type="pct"/>
                  <w:tcBorders>
                    <w:tl2br w:val="nil"/>
                    <w:tr2bl w:val="nil"/>
                  </w:tcBorders>
                  <w:noWrap w:val="0"/>
                  <w:vAlign w:val="center"/>
                </w:tcPr>
                <w:p w14:paraId="612A3F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廊田水韶关市长来-廊田-五山镇控制单元</w:t>
                  </w:r>
                </w:p>
              </w:tc>
              <w:tc>
                <w:tcPr>
                  <w:tcW w:w="1692" w:type="pct"/>
                  <w:gridSpan w:val="5"/>
                  <w:tcBorders>
                    <w:tl2br w:val="nil"/>
                    <w:tr2bl w:val="nil"/>
                  </w:tcBorders>
                  <w:noWrap w:val="0"/>
                  <w:vAlign w:val="center"/>
                </w:tcPr>
                <w:p w14:paraId="2B2A30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水环境一般管控区</w:t>
                  </w:r>
                </w:p>
              </w:tc>
            </w:tr>
            <w:tr w14:paraId="5074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678C29B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管控维度</w:t>
                  </w:r>
                </w:p>
              </w:tc>
              <w:tc>
                <w:tcPr>
                  <w:tcW w:w="2475" w:type="pct"/>
                  <w:tcBorders>
                    <w:tl2br w:val="nil"/>
                    <w:tr2bl w:val="nil"/>
                  </w:tcBorders>
                  <w:noWrap w:val="0"/>
                  <w:vAlign w:val="center"/>
                </w:tcPr>
                <w:p w14:paraId="73453EB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管控要求</w:t>
                  </w:r>
                </w:p>
              </w:tc>
              <w:tc>
                <w:tcPr>
                  <w:tcW w:w="1297" w:type="pct"/>
                  <w:gridSpan w:val="2"/>
                  <w:tcBorders>
                    <w:tl2br w:val="nil"/>
                    <w:tr2bl w:val="nil"/>
                  </w:tcBorders>
                  <w:noWrap w:val="0"/>
                  <w:vAlign w:val="center"/>
                </w:tcPr>
                <w:p w14:paraId="14BF244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项目情况</w:t>
                  </w:r>
                </w:p>
              </w:tc>
              <w:tc>
                <w:tcPr>
                  <w:tcW w:w="394" w:type="pct"/>
                  <w:gridSpan w:val="3"/>
                  <w:tcBorders>
                    <w:tl2br w:val="nil"/>
                    <w:tr2bl w:val="nil"/>
                  </w:tcBorders>
                  <w:noWrap w:val="0"/>
                  <w:vAlign w:val="center"/>
                </w:tcPr>
                <w:p w14:paraId="320A8E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相</w:t>
                  </w:r>
                  <w:r>
                    <w:rPr>
                      <w:rFonts w:hint="default" w:ascii="Times New Roman" w:hAnsi="Times New Roman" w:cs="Times New Roman"/>
                      <w:b/>
                      <w:bCs/>
                      <w:color w:val="000000" w:themeColor="text1"/>
                      <w:sz w:val="21"/>
                      <w:szCs w:val="21"/>
                      <w:highlight w:val="none"/>
                      <w14:textFill>
                        <w14:solidFill>
                          <w14:schemeClr w14:val="tx1"/>
                        </w14:solidFill>
                      </w14:textFill>
                    </w:rPr>
                    <w:t>符性</w:t>
                  </w:r>
                </w:p>
              </w:tc>
            </w:tr>
            <w:tr w14:paraId="7285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7D46A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区域布局管控</w:t>
                  </w:r>
                </w:p>
              </w:tc>
              <w:tc>
                <w:tcPr>
                  <w:tcW w:w="2475" w:type="pct"/>
                  <w:tcBorders>
                    <w:tl2br w:val="nil"/>
                    <w:tr2bl w:val="nil"/>
                  </w:tcBorders>
                  <w:noWrap w:val="0"/>
                  <w:vAlign w:val="center"/>
                </w:tcPr>
                <w:p w14:paraId="530FFC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严格执行畜禽养殖禁养区管理要求，畜禽养殖禁养区内严禁建设规模化畜禽养殖场和规模化畜禽养殖小区，禁养区外的养殖场应配套污染防治设施</w:t>
                  </w:r>
                </w:p>
              </w:tc>
              <w:tc>
                <w:tcPr>
                  <w:tcW w:w="1297" w:type="pct"/>
                  <w:gridSpan w:val="2"/>
                  <w:tcBorders>
                    <w:tl2br w:val="nil"/>
                    <w:tr2bl w:val="nil"/>
                  </w:tcBorders>
                  <w:noWrap w:val="0"/>
                  <w:vAlign w:val="center"/>
                </w:tcPr>
                <w:p w14:paraId="6E2BE3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本项目不涉及畜禽养殖。</w:t>
                  </w:r>
                </w:p>
              </w:tc>
              <w:tc>
                <w:tcPr>
                  <w:tcW w:w="394" w:type="pct"/>
                  <w:gridSpan w:val="3"/>
                  <w:tcBorders>
                    <w:tl2br w:val="nil"/>
                    <w:tr2bl w:val="nil"/>
                  </w:tcBorders>
                  <w:noWrap w:val="0"/>
                  <w:vAlign w:val="center"/>
                </w:tcPr>
                <w:p w14:paraId="3998F6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27EF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9436E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环境风险防控</w:t>
                  </w:r>
                </w:p>
              </w:tc>
              <w:tc>
                <w:tcPr>
                  <w:tcW w:w="2475" w:type="pct"/>
                  <w:tcBorders>
                    <w:tl2br w:val="nil"/>
                    <w:tr2bl w:val="nil"/>
                  </w:tcBorders>
                  <w:noWrap w:val="0"/>
                  <w:vAlign w:val="center"/>
                </w:tcPr>
                <w:p w14:paraId="3FFAEC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集中式污水处理厂应采取有效措施，防止事故废水直接排入水体</w:t>
                  </w:r>
                </w:p>
              </w:tc>
              <w:tc>
                <w:tcPr>
                  <w:tcW w:w="1297" w:type="pct"/>
                  <w:gridSpan w:val="2"/>
                  <w:tcBorders>
                    <w:tl2br w:val="nil"/>
                    <w:tr2bl w:val="nil"/>
                  </w:tcBorders>
                  <w:noWrap w:val="0"/>
                  <w:vAlign w:val="center"/>
                </w:tcPr>
                <w:p w14:paraId="190CA4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本项目不属于集中式污水处理厂，</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且</w:t>
                  </w:r>
                  <w:r>
                    <w:rPr>
                      <w:rFonts w:hint="default" w:ascii="Times New Roman" w:hAnsi="Times New Roman" w:cs="Times New Roman"/>
                      <w:color w:val="000000" w:themeColor="text1"/>
                      <w:sz w:val="21"/>
                      <w:szCs w:val="21"/>
                      <w:highlight w:val="none"/>
                      <w14:textFill>
                        <w14:solidFill>
                          <w14:schemeClr w14:val="tx1"/>
                        </w14:solidFill>
                      </w14:textFill>
                    </w:rPr>
                    <w:t>依托的园区污水处理厂设有应急措施。</w:t>
                  </w:r>
                </w:p>
              </w:tc>
              <w:tc>
                <w:tcPr>
                  <w:tcW w:w="394" w:type="pct"/>
                  <w:gridSpan w:val="3"/>
                  <w:tcBorders>
                    <w:tl2br w:val="nil"/>
                    <w:tr2bl w:val="nil"/>
                  </w:tcBorders>
                  <w:noWrap w:val="0"/>
                  <w:vAlign w:val="center"/>
                </w:tcPr>
                <w:p w14:paraId="42D488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5908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164051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环境管控单元编码</w:t>
                  </w:r>
                </w:p>
              </w:tc>
              <w:tc>
                <w:tcPr>
                  <w:tcW w:w="2475" w:type="pct"/>
                  <w:tcBorders>
                    <w:tl2br w:val="nil"/>
                    <w:tr2bl w:val="nil"/>
                  </w:tcBorders>
                  <w:noWrap w:val="0"/>
                  <w:vAlign w:val="center"/>
                </w:tcPr>
                <w:p w14:paraId="4726D1C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环境管控单元名称</w:t>
                  </w:r>
                </w:p>
              </w:tc>
              <w:tc>
                <w:tcPr>
                  <w:tcW w:w="1692" w:type="pct"/>
                  <w:gridSpan w:val="5"/>
                  <w:tcBorders>
                    <w:tl2br w:val="nil"/>
                    <w:tr2bl w:val="nil"/>
                  </w:tcBorders>
                  <w:noWrap w:val="0"/>
                  <w:vAlign w:val="center"/>
                </w:tcPr>
                <w:p w14:paraId="55B517C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管控单元分类</w:t>
                  </w:r>
                </w:p>
              </w:tc>
            </w:tr>
            <w:tr w14:paraId="402F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6FA5E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YS4402812310002</w:t>
                  </w:r>
                </w:p>
              </w:tc>
              <w:tc>
                <w:tcPr>
                  <w:tcW w:w="2475" w:type="pct"/>
                  <w:tcBorders>
                    <w:tl2br w:val="nil"/>
                    <w:tr2bl w:val="nil"/>
                  </w:tcBorders>
                  <w:noWrap w:val="0"/>
                  <w:vAlign w:val="center"/>
                </w:tcPr>
                <w:p w14:paraId="13E3A4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大气环境高排放重点管控区</w:t>
                  </w:r>
                </w:p>
              </w:tc>
              <w:tc>
                <w:tcPr>
                  <w:tcW w:w="1692" w:type="pct"/>
                  <w:gridSpan w:val="5"/>
                  <w:tcBorders>
                    <w:tl2br w:val="nil"/>
                    <w:tr2bl w:val="nil"/>
                  </w:tcBorders>
                  <w:noWrap w:val="0"/>
                  <w:vAlign w:val="center"/>
                </w:tcPr>
                <w:p w14:paraId="38C6B4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重点管控区</w:t>
                  </w:r>
                </w:p>
              </w:tc>
            </w:tr>
            <w:tr w14:paraId="775C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CB73DB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管控维度</w:t>
                  </w:r>
                </w:p>
              </w:tc>
              <w:tc>
                <w:tcPr>
                  <w:tcW w:w="2475" w:type="pct"/>
                  <w:tcBorders>
                    <w:tl2br w:val="nil"/>
                    <w:tr2bl w:val="nil"/>
                  </w:tcBorders>
                  <w:noWrap w:val="0"/>
                  <w:vAlign w:val="center"/>
                </w:tcPr>
                <w:p w14:paraId="134A499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管控要求</w:t>
                  </w:r>
                </w:p>
              </w:tc>
              <w:tc>
                <w:tcPr>
                  <w:tcW w:w="1332" w:type="pct"/>
                  <w:gridSpan w:val="4"/>
                  <w:tcBorders>
                    <w:tl2br w:val="nil"/>
                    <w:tr2bl w:val="nil"/>
                  </w:tcBorders>
                  <w:noWrap w:val="0"/>
                  <w:vAlign w:val="center"/>
                </w:tcPr>
                <w:p w14:paraId="7FC5DF1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项目情况</w:t>
                  </w:r>
                </w:p>
              </w:tc>
              <w:tc>
                <w:tcPr>
                  <w:tcW w:w="359" w:type="pct"/>
                  <w:tcBorders>
                    <w:tl2br w:val="nil"/>
                    <w:tr2bl w:val="nil"/>
                  </w:tcBorders>
                  <w:noWrap w:val="0"/>
                  <w:vAlign w:val="center"/>
                </w:tcPr>
                <w:p w14:paraId="574D52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相</w:t>
                  </w:r>
                  <w:r>
                    <w:rPr>
                      <w:rFonts w:hint="default" w:ascii="Times New Roman" w:hAnsi="Times New Roman" w:cs="Times New Roman"/>
                      <w:b/>
                      <w:bCs/>
                      <w:color w:val="000000" w:themeColor="text1"/>
                      <w:sz w:val="21"/>
                      <w:szCs w:val="21"/>
                      <w:highlight w:val="none"/>
                      <w14:textFill>
                        <w14:solidFill>
                          <w14:schemeClr w14:val="tx1"/>
                        </w14:solidFill>
                      </w14:textFill>
                    </w:rPr>
                    <w:t>符性</w:t>
                  </w:r>
                </w:p>
              </w:tc>
            </w:tr>
            <w:tr w14:paraId="4631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46FEE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区域布局管控</w:t>
                  </w:r>
                </w:p>
              </w:tc>
              <w:tc>
                <w:tcPr>
                  <w:tcW w:w="2475" w:type="pct"/>
                  <w:tcBorders>
                    <w:tl2br w:val="nil"/>
                    <w:tr2bl w:val="nil"/>
                  </w:tcBorders>
                  <w:noWrap w:val="0"/>
                  <w:vAlign w:val="center"/>
                </w:tcPr>
                <w:p w14:paraId="5971F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1-1.引导工业项目科学布局，新建项目原则上入园管理，推动现有工业项目集中进园。</w:t>
                  </w:r>
                </w:p>
                <w:p w14:paraId="46951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1-2.严格控制涉重金属及有毒有害污染物排放的项目建设，新建、改建、扩建涉重金属重点行业的项目应明确重金属污染物总量来源。</w:t>
                  </w:r>
                </w:p>
                <w:p w14:paraId="3115CB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1-3.严格限制新建除热电联产以外的煤电项目；严格限制新（改、扩）建钢铁、建材（水泥、平板玻璃）、焦化、有色金属冶炼、石化等高污染行业项目。</w:t>
                  </w:r>
                </w:p>
                <w:p w14:paraId="521AB9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1-4.禁止违法露天焚烧秸秆等产生烟尘污染物质以及焚烧垃圾等产生有毒有害烟尘、恶臭气体物质的行为。</w:t>
                  </w:r>
                </w:p>
              </w:tc>
              <w:tc>
                <w:tcPr>
                  <w:tcW w:w="1332" w:type="pct"/>
                  <w:gridSpan w:val="4"/>
                  <w:tcBorders>
                    <w:tl2br w:val="nil"/>
                    <w:tr2bl w:val="nil"/>
                  </w:tcBorders>
                  <w:noWrap w:val="0"/>
                  <w:vAlign w:val="center"/>
                </w:tcPr>
                <w:p w14:paraId="5C27F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本项目选址位于乐昌产业转移工业园，属于入园管理项目；</w:t>
                  </w:r>
                </w:p>
                <w:p w14:paraId="64A93C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本项目为金属表面处理及热处理加工行业</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不属于严格限制的项目</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且废气排放不涉及</w:t>
                  </w:r>
                  <w:r>
                    <w:rPr>
                      <w:rFonts w:hint="default" w:ascii="Times New Roman" w:hAnsi="Times New Roman" w:eastAsia="宋体" w:cs="Times New Roman"/>
                      <w:color w:val="000000" w:themeColor="text1"/>
                      <w:sz w:val="21"/>
                      <w:szCs w:val="21"/>
                      <w:highlight w:val="none"/>
                      <w14:textFill>
                        <w14:solidFill>
                          <w14:schemeClr w14:val="tx1"/>
                        </w14:solidFill>
                      </w14:textFill>
                    </w:rPr>
                    <w:t>重金属及有毒有害污染物</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359" w:type="pct"/>
                  <w:tcBorders>
                    <w:tl2br w:val="nil"/>
                    <w:tr2bl w:val="nil"/>
                  </w:tcBorders>
                  <w:noWrap w:val="0"/>
                  <w:vAlign w:val="center"/>
                </w:tcPr>
                <w:p w14:paraId="79BB68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2D14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7F376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能源资源利用</w:t>
                  </w:r>
                </w:p>
              </w:tc>
              <w:tc>
                <w:tcPr>
                  <w:tcW w:w="2475" w:type="pct"/>
                  <w:tcBorders>
                    <w:tl2br w:val="nil"/>
                    <w:tr2bl w:val="nil"/>
                  </w:tcBorders>
                  <w:noWrap w:val="0"/>
                  <w:vAlign w:val="center"/>
                </w:tcPr>
                <w:p w14:paraId="00F690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4-1.推广节能技术，加快发展绿色货运与现代物流。</w:t>
                  </w:r>
                </w:p>
                <w:p w14:paraId="66E99D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4-2.禁燃区内，禁止新建、扩建燃用高污染燃料的设施；已有使用高污染燃料设施改用清洁能源。</w:t>
                  </w:r>
                </w:p>
                <w:p w14:paraId="403A0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4-3.科学实施能源消费总量和强度“双控”，新建高能耗项目单位产品</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产值</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能耗达到国际国内先进水平。</w:t>
                  </w:r>
                </w:p>
              </w:tc>
              <w:tc>
                <w:tcPr>
                  <w:tcW w:w="1332" w:type="pct"/>
                  <w:gridSpan w:val="4"/>
                  <w:tcBorders>
                    <w:tl2br w:val="nil"/>
                    <w:tr2bl w:val="nil"/>
                  </w:tcBorders>
                  <w:noWrap w:val="0"/>
                  <w:vAlign w:val="center"/>
                </w:tcPr>
                <w:p w14:paraId="5565FB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本项目主要能源使用天然气和电能，不涉及高污染燃料且项目不属于高能耗类型项目</w:t>
                  </w:r>
                </w:p>
              </w:tc>
              <w:tc>
                <w:tcPr>
                  <w:tcW w:w="359" w:type="pct"/>
                  <w:tcBorders>
                    <w:tl2br w:val="nil"/>
                    <w:tr2bl w:val="nil"/>
                  </w:tcBorders>
                  <w:noWrap w:val="0"/>
                  <w:vAlign w:val="center"/>
                </w:tcPr>
                <w:p w14:paraId="5A2DAE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2ED3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2ECD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污染物排放管控</w:t>
                  </w:r>
                </w:p>
              </w:tc>
              <w:tc>
                <w:tcPr>
                  <w:tcW w:w="2475" w:type="pct"/>
                  <w:tcBorders>
                    <w:tl2br w:val="nil"/>
                    <w:tr2bl w:val="nil"/>
                  </w:tcBorders>
                  <w:noWrap w:val="0"/>
                  <w:vAlign w:val="center"/>
                </w:tcPr>
                <w:p w14:paraId="3F0E7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2-1.园区各项污染物排放总量不得突破园区规划环评核定的污染物排放总量管控要求。</w:t>
                  </w:r>
                </w:p>
                <w:p w14:paraId="7D9C53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2-2.实行重点重金属污染物（铅、砷、汞、镉、铬）等量替代。严格控制涉重金属及有毒有害污染物排放的项目建设，新建、改建、扩建涉重金属重点行业的项目应明确重金属污染物总量来源。</w:t>
                  </w:r>
                </w:p>
                <w:p w14:paraId="52D81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2-3.新建项目原则上实施氮氧化物、挥发性有机物排放量等量替代。</w:t>
                  </w:r>
                </w:p>
                <w:p w14:paraId="32508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2-4.支持危险废物专业收集转运和利用处置单位建设区域性收集网点和贮存设施。</w:t>
                  </w:r>
                </w:p>
                <w:p w14:paraId="6950F3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2-5.积极实行集中供热，应尽快关停现有企业小锅炉。</w:t>
                  </w:r>
                </w:p>
              </w:tc>
              <w:tc>
                <w:tcPr>
                  <w:tcW w:w="1332" w:type="pct"/>
                  <w:gridSpan w:val="4"/>
                  <w:tcBorders>
                    <w:tl2br w:val="nil"/>
                    <w:tr2bl w:val="nil"/>
                  </w:tcBorders>
                  <w:noWrap w:val="0"/>
                  <w:vAlign w:val="center"/>
                </w:tcPr>
                <w:p w14:paraId="660EE3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本项目所在园区污染物排放总量未超过核定总量。本项目不涉及重金属污染物排放。本项目不涉及危险废物专业收集转运和利用处置。</w:t>
                  </w:r>
                </w:p>
              </w:tc>
              <w:tc>
                <w:tcPr>
                  <w:tcW w:w="359" w:type="pct"/>
                  <w:tcBorders>
                    <w:tl2br w:val="nil"/>
                    <w:tr2bl w:val="nil"/>
                  </w:tcBorders>
                  <w:noWrap w:val="0"/>
                  <w:vAlign w:val="center"/>
                </w:tcPr>
                <w:p w14:paraId="312B5E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4E51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983B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环境风险防控</w:t>
                  </w:r>
                </w:p>
              </w:tc>
              <w:tc>
                <w:tcPr>
                  <w:tcW w:w="2475" w:type="pct"/>
                  <w:tcBorders>
                    <w:tl2br w:val="nil"/>
                    <w:tr2bl w:val="nil"/>
                  </w:tcBorders>
                  <w:noWrap w:val="0"/>
                  <w:vAlign w:val="center"/>
                </w:tcPr>
                <w:p w14:paraId="51850A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4-1.集中式污水处理厂应采取有效措施，防止事故废水直接排入水体。</w:t>
                  </w:r>
                </w:p>
                <w:p w14:paraId="226ADE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-2.有水环境污染风险的企事业单位，应当制定有关水污染事故的应急方案，做好应急准备，并定期进行演练，做好突发水污染事故应急处置和事后恢复等工作。有水环境污染风险的企事业单位，生产、储存危险化学品的企事业单位，应当采取措施，防止在应急处置过程中产生的消防废水、废液直接排入水体。</w:t>
                  </w:r>
                </w:p>
              </w:tc>
              <w:tc>
                <w:tcPr>
                  <w:tcW w:w="1332" w:type="pct"/>
                  <w:gridSpan w:val="4"/>
                  <w:tcBorders>
                    <w:tl2br w:val="nil"/>
                    <w:tr2bl w:val="nil"/>
                  </w:tcBorders>
                  <w:noWrap w:val="0"/>
                  <w:vAlign w:val="center"/>
                </w:tcPr>
                <w:p w14:paraId="52740A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项目建设完成后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按照相关规定完善环境风险应急措施</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，与园区、政府构成三级环境风险防控体系</w:t>
                  </w:r>
                </w:p>
              </w:tc>
              <w:tc>
                <w:tcPr>
                  <w:tcW w:w="359" w:type="pct"/>
                  <w:tcBorders>
                    <w:tl2br w:val="nil"/>
                    <w:tr2bl w:val="nil"/>
                  </w:tcBorders>
                  <w:noWrap w:val="0"/>
                  <w:vAlign w:val="center"/>
                </w:tcPr>
                <w:p w14:paraId="4F846B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6E45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23C543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环境管控单元编码</w:t>
                  </w:r>
                </w:p>
              </w:tc>
              <w:tc>
                <w:tcPr>
                  <w:tcW w:w="2475" w:type="pct"/>
                  <w:tcBorders>
                    <w:tl2br w:val="nil"/>
                    <w:tr2bl w:val="nil"/>
                  </w:tcBorders>
                  <w:noWrap w:val="0"/>
                  <w:vAlign w:val="center"/>
                </w:tcPr>
                <w:p w14:paraId="5FB181F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环境管控单元名称</w:t>
                  </w:r>
                </w:p>
              </w:tc>
              <w:tc>
                <w:tcPr>
                  <w:tcW w:w="1692" w:type="pct"/>
                  <w:gridSpan w:val="5"/>
                  <w:tcBorders>
                    <w:tl2br w:val="nil"/>
                    <w:tr2bl w:val="nil"/>
                  </w:tcBorders>
                  <w:noWrap w:val="0"/>
                  <w:vAlign w:val="center"/>
                </w:tcPr>
                <w:p w14:paraId="0ACD636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管控单元分类</w:t>
                  </w:r>
                </w:p>
              </w:tc>
            </w:tr>
            <w:tr w14:paraId="5540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21AAAC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YS4402812540001</w:t>
                  </w:r>
                </w:p>
              </w:tc>
              <w:tc>
                <w:tcPr>
                  <w:tcW w:w="2475" w:type="pct"/>
                  <w:tcBorders>
                    <w:tl2br w:val="nil"/>
                    <w:tr2bl w:val="nil"/>
                  </w:tcBorders>
                  <w:noWrap w:val="0"/>
                  <w:vAlign w:val="center"/>
                </w:tcPr>
                <w:p w14:paraId="1228750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乐昌市高污染燃料禁燃区</w:t>
                  </w:r>
                </w:p>
              </w:tc>
              <w:tc>
                <w:tcPr>
                  <w:tcW w:w="1692" w:type="pct"/>
                  <w:gridSpan w:val="5"/>
                  <w:tcBorders>
                    <w:tl2br w:val="nil"/>
                    <w:tr2bl w:val="nil"/>
                  </w:tcBorders>
                  <w:noWrap w:val="0"/>
                  <w:vAlign w:val="center"/>
                </w:tcPr>
                <w:p w14:paraId="18B9229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重点管控区</w:t>
                  </w:r>
                </w:p>
              </w:tc>
            </w:tr>
            <w:tr w14:paraId="29E3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61B062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管控维度</w:t>
                  </w:r>
                </w:p>
              </w:tc>
              <w:tc>
                <w:tcPr>
                  <w:tcW w:w="2475" w:type="pct"/>
                  <w:tcBorders>
                    <w:tl2br w:val="nil"/>
                    <w:tr2bl w:val="nil"/>
                  </w:tcBorders>
                  <w:noWrap w:val="0"/>
                  <w:vAlign w:val="center"/>
                </w:tcPr>
                <w:p w14:paraId="59BFF17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管控要求</w:t>
                  </w:r>
                </w:p>
              </w:tc>
              <w:tc>
                <w:tcPr>
                  <w:tcW w:w="1332" w:type="pct"/>
                  <w:gridSpan w:val="4"/>
                  <w:tcBorders>
                    <w:tl2br w:val="nil"/>
                    <w:tr2bl w:val="nil"/>
                  </w:tcBorders>
                  <w:noWrap w:val="0"/>
                  <w:vAlign w:val="center"/>
                </w:tcPr>
                <w:p w14:paraId="310CCA8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项目情况</w:t>
                  </w:r>
                </w:p>
              </w:tc>
              <w:tc>
                <w:tcPr>
                  <w:tcW w:w="359" w:type="pct"/>
                  <w:tcBorders>
                    <w:tl2br w:val="nil"/>
                    <w:tr2bl w:val="nil"/>
                  </w:tcBorders>
                  <w:noWrap w:val="0"/>
                  <w:vAlign w:val="center"/>
                </w:tcPr>
                <w:p w14:paraId="588E38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相</w:t>
                  </w:r>
                  <w:r>
                    <w:rPr>
                      <w:rFonts w:hint="default" w:ascii="Times New Roman" w:hAnsi="Times New Roman" w:cs="Times New Roman"/>
                      <w:b/>
                      <w:bCs/>
                      <w:color w:val="000000" w:themeColor="text1"/>
                      <w:sz w:val="21"/>
                      <w:szCs w:val="21"/>
                      <w:highlight w:val="none"/>
                      <w14:textFill>
                        <w14:solidFill>
                          <w14:schemeClr w14:val="tx1"/>
                        </w14:solidFill>
                      </w14:textFill>
                    </w:rPr>
                    <w:t>符性</w:t>
                  </w:r>
                </w:p>
              </w:tc>
            </w:tr>
            <w:tr w14:paraId="151F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643AB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区域布局管控</w:t>
                  </w:r>
                </w:p>
              </w:tc>
              <w:tc>
                <w:tcPr>
                  <w:tcW w:w="2475" w:type="pct"/>
                  <w:tcBorders>
                    <w:tl2br w:val="nil"/>
                    <w:tr2bl w:val="nil"/>
                  </w:tcBorders>
                  <w:noWrap w:val="0"/>
                  <w:vAlign w:val="center"/>
                </w:tcPr>
                <w:p w14:paraId="1F2D59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禁止新、扩建燃用高污染燃料的设施</w:t>
                  </w:r>
                </w:p>
              </w:tc>
              <w:tc>
                <w:tcPr>
                  <w:tcW w:w="1332" w:type="pct"/>
                  <w:gridSpan w:val="4"/>
                  <w:tcBorders>
                    <w:tl2br w:val="nil"/>
                    <w:tr2bl w:val="nil"/>
                  </w:tcBorders>
                  <w:noWrap w:val="0"/>
                  <w:vAlign w:val="center"/>
                </w:tcPr>
                <w:p w14:paraId="6D177F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本项目使用电能、天然气，不使用高污染燃料。</w:t>
                  </w:r>
                </w:p>
              </w:tc>
              <w:tc>
                <w:tcPr>
                  <w:tcW w:w="359" w:type="pct"/>
                  <w:tcBorders>
                    <w:tl2br w:val="nil"/>
                    <w:tr2bl w:val="nil"/>
                  </w:tcBorders>
                  <w:noWrap w:val="0"/>
                  <w:vAlign w:val="center"/>
                </w:tcPr>
                <w:p w14:paraId="40C4414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679F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5CAE0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能源资源利用</w:t>
                  </w:r>
                </w:p>
              </w:tc>
              <w:tc>
                <w:tcPr>
                  <w:tcW w:w="2475" w:type="pct"/>
                  <w:tcBorders>
                    <w:tl2br w:val="nil"/>
                    <w:tr2bl w:val="nil"/>
                  </w:tcBorders>
                  <w:noWrap w:val="0"/>
                  <w:vAlign w:val="center"/>
                </w:tcPr>
                <w:p w14:paraId="00AA1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在禁燃区内，禁止销售、燃用高污染燃料；已建成的高污染燃料设施应当改用天然气、页岩气、液化石油气、电等清洁能源。</w:t>
                  </w:r>
                </w:p>
              </w:tc>
              <w:tc>
                <w:tcPr>
                  <w:tcW w:w="1332" w:type="pct"/>
                  <w:gridSpan w:val="4"/>
                  <w:tcBorders>
                    <w:tl2br w:val="nil"/>
                    <w:tr2bl w:val="nil"/>
                  </w:tcBorders>
                  <w:noWrap w:val="0"/>
                  <w:vAlign w:val="center"/>
                </w:tcPr>
                <w:p w14:paraId="5643D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本项目使用电能和天然气，不销售、不使用高污染燃料。</w:t>
                  </w:r>
                </w:p>
              </w:tc>
              <w:tc>
                <w:tcPr>
                  <w:tcW w:w="359" w:type="pct"/>
                  <w:tcBorders>
                    <w:tl2br w:val="nil"/>
                    <w:tr2bl w:val="nil"/>
                  </w:tcBorders>
                  <w:noWrap w:val="0"/>
                  <w:vAlign w:val="center"/>
                </w:tcPr>
                <w:p w14:paraId="681500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r w14:paraId="2CD5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EB86A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污染物排放管控</w:t>
                  </w:r>
                </w:p>
              </w:tc>
              <w:tc>
                <w:tcPr>
                  <w:tcW w:w="2475" w:type="pct"/>
                  <w:tcBorders>
                    <w:tl2br w:val="nil"/>
                    <w:tr2bl w:val="nil"/>
                  </w:tcBorders>
                  <w:noWrap w:val="0"/>
                  <w:vAlign w:val="center"/>
                </w:tcPr>
                <w:p w14:paraId="66E9B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禁燃区内使用生物质成型燃料锅炉和气化供热项目的，污染物排放浓度要达到或优于</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天然气</w:t>
                  </w:r>
                  <w:r>
                    <w:rPr>
                      <w:rFonts w:hint="default" w:ascii="Times New Roman" w:hAnsi="Times New Roman" w:eastAsia="宋体" w:cs="Times New Roman"/>
                      <w:color w:val="000000" w:themeColor="text1"/>
                      <w:sz w:val="21"/>
                      <w:szCs w:val="21"/>
                      <w:highlight w:val="none"/>
                      <w14:textFill>
                        <w14:solidFill>
                          <w14:schemeClr w14:val="tx1"/>
                        </w14:solidFill>
                      </w14:textFill>
                    </w:rPr>
                    <w:t>锅炉对应的大气污染物排放标准（折算基准氧含量排放浓度时，生物质成型燃料锅炉按9%执行，生物质气化供热项目按3.5%执行）。</w:t>
                  </w:r>
                </w:p>
              </w:tc>
              <w:tc>
                <w:tcPr>
                  <w:tcW w:w="1332" w:type="pct"/>
                  <w:gridSpan w:val="4"/>
                  <w:tcBorders>
                    <w:tl2br w:val="nil"/>
                    <w:tr2bl w:val="nil"/>
                  </w:tcBorders>
                  <w:noWrap w:val="0"/>
                  <w:vAlign w:val="center"/>
                </w:tcPr>
                <w:p w14:paraId="1CE55E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本项目不涉及</w:t>
                  </w:r>
                </w:p>
              </w:tc>
              <w:tc>
                <w:tcPr>
                  <w:tcW w:w="359" w:type="pct"/>
                  <w:tcBorders>
                    <w:tl2br w:val="nil"/>
                    <w:tr2bl w:val="nil"/>
                  </w:tcBorders>
                  <w:noWrap w:val="0"/>
                  <w:vAlign w:val="center"/>
                </w:tcPr>
                <w:p w14:paraId="7FCF07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w:t>
                  </w:r>
                </w:p>
              </w:tc>
            </w:tr>
          </w:tbl>
          <w:p w14:paraId="580E9C77">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000000" w:themeColor="text1"/>
                <w:highlight w:val="none"/>
                <w14:textFill>
                  <w14:solidFill>
                    <w14:schemeClr w14:val="tx1"/>
                  </w14:solidFill>
                </w14:textFill>
              </w:rPr>
            </w:pPr>
          </w:p>
          <w:p w14:paraId="0C2ADE5E">
            <w:pPr>
              <w:spacing w:line="360" w:lineRule="auto"/>
              <w:ind w:firstLine="480"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综上，项目符合《韶关市人民政府关于印发韶关市“三线一单”生态环境分区管控方案的通知》（韶府〔2021〕10号）、《韶关市生态环境分区管控动态更新成果》的相关要求。</w:t>
            </w:r>
          </w:p>
          <w:p w14:paraId="37F7D133">
            <w:pPr>
              <w:spacing w:line="360" w:lineRule="auto"/>
              <w:ind w:firstLine="482" w:firstLineChars="200"/>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7、与</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《关于印发</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广东省生态环境保护“十四五”规划</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〉的通知》</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（粤环〔2021〕10号）</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相符性</w:t>
            </w:r>
          </w:p>
          <w:p w14:paraId="002370F2">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广东省生态环境保护“十四五”规划》要求：新建高能耗项目单位产品（产值）能耗达到国际国内先进水平。大力推进低VOCs含量原辅材料源头替代，严格落实国家和地方产品VOCs含量限值质量标准，禁止建设生产和使用高VOCs含量的溶剂型涂料、油墨、胶粘剂等项目。强化对企业涉VOCs生产车间/工序废气的收集管理，推动企业开展治理设施升级改造。</w:t>
            </w:r>
          </w:p>
          <w:p w14:paraId="28756D26">
            <w:pPr>
              <w:pStyle w:val="19"/>
              <w:ind w:firstLine="482"/>
              <w:rPr>
                <w:rFonts w:hint="eastAsia" w:eastAsia="宋体"/>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项目使用</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的</w:t>
            </w:r>
            <w:r>
              <w:rPr>
                <w:rFonts w:hint="eastAsia" w:cs="Times New Roman"/>
                <w:b w:val="0"/>
                <w:bCs w:val="0"/>
                <w:color w:val="000000" w:themeColor="text1"/>
                <w:kern w:val="0"/>
                <w:sz w:val="24"/>
                <w:highlight w:val="none"/>
                <w:lang w:val="en-US" w:eastAsia="zh-CN"/>
                <w14:textFill>
                  <w14:solidFill>
                    <w14:schemeClr w14:val="tx1"/>
                  </w14:solidFill>
                </w14:textFill>
              </w:rPr>
              <w:t>油漆符合《低挥发性有机化合物含量涂料产品技术要求》（GB/T38597-2020）溶剂型涂料-工业防护涂料-金属基层防腐涂料-单组分：≤500g/L限值要求，</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不属于</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高VOCs含量的溶剂型涂料。</w:t>
            </w:r>
            <w:r>
              <w:rPr>
                <w:rFonts w:hint="eastAsia" w:eastAsia="宋体"/>
                <w:b w:val="0"/>
                <w:bCs w:val="0"/>
                <w:color w:val="000000" w:themeColor="text1"/>
                <w:sz w:val="24"/>
                <w:highlight w:val="none"/>
                <w:lang w:val="en-US" w:eastAsia="zh-CN"/>
                <w14:textFill>
                  <w14:solidFill>
                    <w14:schemeClr w14:val="tx1"/>
                  </w14:solidFill>
                </w14:textFill>
              </w:rPr>
              <w:t>本项目</w:t>
            </w:r>
            <w:r>
              <w:rPr>
                <w:rFonts w:hint="eastAsia"/>
                <w:b w:val="0"/>
                <w:bCs w:val="0"/>
                <w:color w:val="000000" w:themeColor="text1"/>
                <w:sz w:val="24"/>
                <w:highlight w:val="none"/>
                <w:lang w:val="en-US" w:eastAsia="zh-CN"/>
                <w14:textFill>
                  <w14:solidFill>
                    <w14:schemeClr w14:val="tx1"/>
                  </w14:solidFill>
                </w14:textFill>
              </w:rPr>
              <w:t>需使用</w:t>
            </w:r>
            <w:r>
              <w:rPr>
                <w:rFonts w:hint="eastAsia" w:eastAsia="宋体"/>
                <w:b w:val="0"/>
                <w:bCs w:val="0"/>
                <w:color w:val="000000" w:themeColor="text1"/>
                <w:sz w:val="24"/>
                <w:highlight w:val="none"/>
                <w:lang w:val="en-US" w:eastAsia="zh-CN"/>
                <w14:textFill>
                  <w14:solidFill>
                    <w14:schemeClr w14:val="tx1"/>
                  </w14:solidFill>
                </w14:textFill>
              </w:rPr>
              <w:t>喷枪清洗剂，</w:t>
            </w:r>
            <w:r>
              <w:rPr>
                <w:rFonts w:hint="eastAsia"/>
                <w:b w:val="0"/>
                <w:bCs w:val="0"/>
                <w:color w:val="000000" w:themeColor="text1"/>
                <w:sz w:val="24"/>
                <w:highlight w:val="none"/>
                <w:lang w:val="en-US" w:eastAsia="zh-CN"/>
                <w14:textFill>
                  <w14:solidFill>
                    <w14:schemeClr w14:val="tx1"/>
                  </w14:solidFill>
                </w14:textFill>
              </w:rPr>
              <w:t>根据物料MSDS，主要成分为乙酸乙酯、乙酸正丁酯，不含苯、甲苯、乙苯、二甲苯、二氯甲烷、三氯甲烷、三氯乙烯、四氯乙烯和甲醛。清洗剂</w:t>
            </w:r>
            <w:r>
              <w:rPr>
                <w:rFonts w:hint="eastAsia" w:eastAsia="宋体"/>
                <w:b w:val="0"/>
                <w:bCs w:val="0"/>
                <w:color w:val="000000" w:themeColor="text1"/>
                <w:sz w:val="24"/>
                <w:highlight w:val="none"/>
                <w:lang w:val="en-US" w:eastAsia="zh-CN"/>
                <w14:textFill>
                  <w14:solidFill>
                    <w14:schemeClr w14:val="tx1"/>
                  </w14:solidFill>
                </w14:textFill>
              </w:rPr>
              <w:t>相对密度</w:t>
            </w:r>
            <w:r>
              <w:rPr>
                <w:rFonts w:hint="eastAsia"/>
                <w:b w:val="0"/>
                <w:bCs w:val="0"/>
                <w:color w:val="000000" w:themeColor="text1"/>
                <w:sz w:val="24"/>
                <w:highlight w:val="none"/>
                <w:lang w:val="en-US" w:eastAsia="zh-CN"/>
                <w14:textFill>
                  <w14:solidFill>
                    <w14:schemeClr w14:val="tx1"/>
                  </w14:solidFill>
                </w14:textFill>
              </w:rPr>
              <w:t>为0.828</w:t>
            </w:r>
            <w:r>
              <w:rPr>
                <w:rFonts w:hint="eastAsia" w:eastAsia="宋体"/>
                <w:b w:val="0"/>
                <w:bCs w:val="0"/>
                <w:color w:val="000000" w:themeColor="text1"/>
                <w:sz w:val="24"/>
                <w:highlight w:val="none"/>
                <w:lang w:val="en-US" w:eastAsia="zh-CN"/>
                <w14:textFill>
                  <w14:solidFill>
                    <w14:schemeClr w14:val="tx1"/>
                  </w14:solidFill>
                </w14:textFill>
              </w:rPr>
              <w:t>；按其有机物组分 100%挥发计算， VOC 含量约</w:t>
            </w:r>
            <w:r>
              <w:rPr>
                <w:rFonts w:hint="eastAsia"/>
                <w:b w:val="0"/>
                <w:bCs w:val="0"/>
                <w:color w:val="000000" w:themeColor="text1"/>
                <w:sz w:val="24"/>
                <w:highlight w:val="none"/>
                <w:lang w:val="en-US" w:eastAsia="zh-CN"/>
                <w14:textFill>
                  <w14:solidFill>
                    <w14:schemeClr w14:val="tx1"/>
                  </w14:solidFill>
                </w14:textFill>
              </w:rPr>
              <w:t>为828</w:t>
            </w:r>
            <w:r>
              <w:rPr>
                <w:rFonts w:hint="eastAsia" w:eastAsia="宋体"/>
                <w:b w:val="0"/>
                <w:bCs w:val="0"/>
                <w:color w:val="000000" w:themeColor="text1"/>
                <w:sz w:val="24"/>
                <w:highlight w:val="none"/>
                <w:lang w:val="en-US" w:eastAsia="zh-CN"/>
                <w14:textFill>
                  <w14:solidFill>
                    <w14:schemeClr w14:val="tx1"/>
                  </w14:solidFill>
                </w14:textFill>
              </w:rPr>
              <w:t>g/L</w:t>
            </w:r>
            <w:r>
              <w:rPr>
                <w:rFonts w:hint="eastAsia"/>
                <w:b w:val="0"/>
                <w:bCs w:val="0"/>
                <w:color w:val="000000" w:themeColor="text1"/>
                <w:sz w:val="24"/>
                <w:highlight w:val="none"/>
                <w:lang w:val="en-US" w:eastAsia="zh-CN"/>
                <w14:textFill>
                  <w14:solidFill>
                    <w14:schemeClr w14:val="tx1"/>
                  </w14:solidFill>
                </w14:textFill>
              </w:rPr>
              <w:t>，</w:t>
            </w:r>
            <w:r>
              <w:rPr>
                <w:rFonts w:hint="eastAsia" w:eastAsia="宋体"/>
                <w:b w:val="0"/>
                <w:bCs w:val="0"/>
                <w:color w:val="000000" w:themeColor="text1"/>
                <w:sz w:val="24"/>
                <w:highlight w:val="none"/>
                <w:lang w:val="en-US" w:eastAsia="zh-CN"/>
                <w14:textFill>
                  <w14:solidFill>
                    <w14:schemeClr w14:val="tx1"/>
                  </w14:solidFill>
                </w14:textFill>
              </w:rPr>
              <w:t>可以满足《清洗剂挥发性有机化合物含量限值》（GB38508-2020）中有机溶剂清洗剂 VOC 含量限值（≤ 900g/L）</w:t>
            </w:r>
            <w:r>
              <w:rPr>
                <w:rFonts w:hint="eastAsia"/>
                <w:b w:val="0"/>
                <w:bCs w:val="0"/>
                <w:color w:val="000000" w:themeColor="text1"/>
                <w:sz w:val="24"/>
                <w:highlight w:val="none"/>
                <w:lang w:val="en-US" w:eastAsia="zh-CN"/>
                <w14:textFill>
                  <w14:solidFill>
                    <w14:schemeClr w14:val="tx1"/>
                  </w14:solidFill>
                </w14:textFill>
              </w:rPr>
              <w:t>等相关</w:t>
            </w:r>
            <w:r>
              <w:rPr>
                <w:rFonts w:hint="eastAsia" w:eastAsia="宋体"/>
                <w:b w:val="0"/>
                <w:bCs w:val="0"/>
                <w:color w:val="000000" w:themeColor="text1"/>
                <w:sz w:val="24"/>
                <w:highlight w:val="none"/>
                <w:lang w:val="en-US" w:eastAsia="zh-CN"/>
                <w14:textFill>
                  <w14:solidFill>
                    <w14:schemeClr w14:val="tx1"/>
                  </w14:solidFill>
                </w14:textFill>
              </w:rPr>
              <w:t>要求。</w:t>
            </w:r>
          </w:p>
          <w:p w14:paraId="684FA9AC">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固化</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工序采用天然气加热，产生的污染物主要有</w:t>
            </w:r>
            <w:r>
              <w:rPr>
                <w:rFonts w:hint="eastAsia" w:cs="Times New Roman"/>
                <w:b w:val="0"/>
                <w:bCs w:val="0"/>
                <w:color w:val="000000" w:themeColor="text1"/>
                <w:kern w:val="0"/>
                <w:sz w:val="24"/>
                <w:highlight w:val="none"/>
                <w:lang w:val="en-US" w:eastAsia="zh-CN"/>
                <w14:textFill>
                  <w14:solidFill>
                    <w14:schemeClr w14:val="tx1"/>
                  </w14:solidFill>
                </w14:textFill>
              </w:rPr>
              <w:t>非甲烷总烃、苯系物、臭气浓度、</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颗粒物、二氧化硫、氮氧化物。</w:t>
            </w:r>
            <w:r>
              <w:rPr>
                <w:rFonts w:hint="eastAsia" w:cs="Times New Roman"/>
                <w:b w:val="0"/>
                <w:bCs w:val="0"/>
                <w:color w:val="000000" w:themeColor="text1"/>
                <w:kern w:val="0"/>
                <w:sz w:val="24"/>
                <w:highlight w:val="none"/>
                <w:lang w:val="en-US" w:eastAsia="zh-CN"/>
                <w14:textFill>
                  <w14:solidFill>
                    <w14:schemeClr w14:val="tx1"/>
                  </w14:solidFill>
                </w14:textFill>
              </w:rPr>
              <w:t>非甲烷总烃、</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氮氧化物等量替代，</w:t>
            </w:r>
            <w:r>
              <w:rPr>
                <w:rFonts w:hint="eastAsia" w:cs="Times New Roman"/>
                <w:b w:val="0"/>
                <w:bCs w:val="0"/>
                <w:color w:val="000000" w:themeColor="text1"/>
                <w:kern w:val="0"/>
                <w:sz w:val="24"/>
                <w:highlight w:val="none"/>
                <w:lang w:val="en-US" w:eastAsia="zh-CN"/>
                <w14:textFill>
                  <w14:solidFill>
                    <w14:schemeClr w14:val="tx1"/>
                  </w14:solidFill>
                </w14:textFill>
              </w:rPr>
              <w:t>喷漆废气通过喷淋+干式过滤器+活性炭吸脱附+催化燃烧+活性炭吸附处理后，引至15m高的排气筒（DA001）排放；固化废气通过喷淋+干式过滤器+二级活性炭吸附处理后，引至15m高的排气筒（DA002）排放</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p>
          <w:p w14:paraId="35585BF1">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综上所述，本项目与《关于印发</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广东省生态环境保护“十四五”规划</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〉的通知》</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（粤环〔2021〕10号）相符。</w:t>
            </w:r>
          </w:p>
          <w:p w14:paraId="0E77C60F">
            <w:pPr>
              <w:spacing w:line="360" w:lineRule="auto"/>
              <w:ind w:firstLine="482" w:firstLineChars="200"/>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与</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《韶关市人民政府办公室关于印发</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韶关市生态环境保护“十四五”规划</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〉的通知》</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（韶府办〔2022〕1号）</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相符性</w:t>
            </w:r>
          </w:p>
          <w:p w14:paraId="1F98F474">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文件要求：深化工业源污染治理。以挥发性有机物、工业炉窑和锅炉综合治理为重点，深化工业源污染防治，健全分级管控体系，提升重点行业企业深度治理水平。深化工业炉窑和锅炉排放治理。加大工业锅炉整治力度，禁止新建35蒸吨/小时以下燃煤锅炉；推进陶瓷等行业实施深度治理，持续开展生物质成型燃料锅炉整治，推动实施燃气锅炉低氮燃烧改造。严格实施工业炉窑分级管控，全面推动B级以下工业炉窑的清洁低碳化改造、废气治理设施升级改造、全过程无组织排放管控。</w:t>
            </w:r>
          </w:p>
          <w:p w14:paraId="77213523">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项目不涉及锅炉。</w:t>
            </w:r>
            <w:r>
              <w:rPr>
                <w:rFonts w:hint="eastAsia" w:cs="Times New Roman"/>
                <w:b w:val="0"/>
                <w:bCs w:val="0"/>
                <w:color w:val="000000" w:themeColor="text1"/>
                <w:kern w:val="0"/>
                <w:sz w:val="24"/>
                <w:highlight w:val="none"/>
                <w:lang w:val="en-US" w:eastAsia="zh-CN"/>
                <w14:textFill>
                  <w14:solidFill>
                    <w14:schemeClr w14:val="tx1"/>
                  </w14:solidFill>
                </w14:textFill>
              </w:rPr>
              <w:t>固化</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工序采用天然气</w:t>
            </w:r>
            <w:r>
              <w:rPr>
                <w:rFonts w:hint="eastAsia" w:cs="Times New Roman"/>
                <w:b w:val="0"/>
                <w:bCs w:val="0"/>
                <w:color w:val="000000" w:themeColor="text1"/>
                <w:kern w:val="0"/>
                <w:sz w:val="24"/>
                <w:highlight w:val="none"/>
                <w:lang w:val="en-US" w:eastAsia="zh-CN"/>
                <w14:textFill>
                  <w14:solidFill>
                    <w14:schemeClr w14:val="tx1"/>
                  </w14:solidFill>
                </w14:textFill>
              </w:rPr>
              <w:t>燃料</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，产生的污染物主要有颗粒物、二氧化硫、氮氧化物。燃烧废气收集后经15m高排气筒</w:t>
            </w:r>
            <w:r>
              <w:rPr>
                <w:rFonts w:hint="eastAsia" w:cs="Times New Roman"/>
                <w:b w:val="0"/>
                <w:bCs w:val="0"/>
                <w:color w:val="000000" w:themeColor="text1"/>
                <w:kern w:val="0"/>
                <w:sz w:val="24"/>
                <w:highlight w:val="none"/>
                <w:lang w:val="en-US" w:eastAsia="zh-CN"/>
                <w14:textFill>
                  <w14:solidFill>
                    <w14:schemeClr w14:val="tx1"/>
                  </w14:solidFill>
                </w14:textFill>
              </w:rPr>
              <w:t>DA002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高空排放。本项目产生的工业固体废物均得到妥善处置。故本项目与韶关市人民政府办公室《关于印发</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韶关市生态环境保护“十四五”规划</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〉的通知》</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（韶府办〔2022〕1号）相符。</w:t>
            </w:r>
          </w:p>
          <w:p w14:paraId="497C0737">
            <w:pPr>
              <w:spacing w:line="360" w:lineRule="auto"/>
              <w:ind w:firstLine="482" w:firstLineChars="200"/>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与</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《乐昌市人民政府办公室关于印发</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乐昌市生态环境保护“十四五”规划</w:t>
            </w:r>
            <w:r>
              <w:rPr>
                <w:rFonts w:hint="eastAsia" w:cs="Times New Roman"/>
                <w:b/>
                <w:bCs/>
                <w:color w:val="000000" w:themeColor="text1"/>
                <w:kern w:val="0"/>
                <w:sz w:val="24"/>
                <w:highlight w:val="none"/>
                <w:lang w:val="en-US" w:eastAsia="zh-CN"/>
                <w14:textFill>
                  <w14:solidFill>
                    <w14:schemeClr w14:val="tx1"/>
                  </w14:solidFill>
                </w14:textFill>
              </w:rPr>
              <w:t>&gt;</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的通知》（乐府办〔2022〕16号）</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相符性</w:t>
            </w:r>
          </w:p>
          <w:p w14:paraId="35CE9F32">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深化重点污染源治理，推进污染物减排。在水泥、化工、火电等行业全面执行大气污染物特别排放限值。逐步推进水泥行业实施超低排放改造，力争到2025年全市水泥（熟料）制造企业的水泥窑及窑尾余热利用系统烟气NOx排放浓度不高于100mg/m</w:t>
            </w:r>
            <w:r>
              <w:rPr>
                <w:rFonts w:hint="default" w:ascii="Times New Roman" w:hAnsi="Times New Roman" w:eastAsia="宋体" w:cs="Times New Roman"/>
                <w:b w:val="0"/>
                <w:bCs w:val="0"/>
                <w:color w:val="000000" w:themeColor="text1"/>
                <w:kern w:val="0"/>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。持续开展生物质成型燃料锅炉整治，推动实施燃气锅炉低氮燃烧改造。严格实施工业炉窑分级管控，全面推动B级以下企业工业炉窑的燃料清洁低碳化替代、废气治理设施升级改造、全过程无组织排放管控。</w:t>
            </w:r>
          </w:p>
          <w:p w14:paraId="42575D7D">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项目不涉及锅炉。工业炉窑</w:t>
            </w:r>
            <w:r>
              <w:rPr>
                <w:rFonts w:hint="eastAsia" w:cs="Times New Roman"/>
                <w:b w:val="0"/>
                <w:bCs w:val="0"/>
                <w:color w:val="000000" w:themeColor="text1"/>
                <w:kern w:val="0"/>
                <w:sz w:val="24"/>
                <w:highlight w:val="none"/>
                <w:lang w:val="en-US" w:eastAsia="zh-CN"/>
                <w14:textFill>
                  <w14:solidFill>
                    <w14:schemeClr w14:val="tx1"/>
                  </w14:solidFill>
                </w14:textFill>
              </w:rPr>
              <w:t>固化</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工序采用天然气加热，产生的污染物主要有颗粒物、二氧化硫、氮氧化物。燃烧废气收集后经排气筒</w:t>
            </w:r>
            <w:r>
              <w:rPr>
                <w:rFonts w:hint="eastAsia" w:cs="Times New Roman"/>
                <w:b w:val="0"/>
                <w:bCs w:val="0"/>
                <w:color w:val="000000" w:themeColor="text1"/>
                <w:kern w:val="0"/>
                <w:sz w:val="24"/>
                <w:highlight w:val="none"/>
                <w:lang w:val="en-US" w:eastAsia="zh-CN"/>
                <w14:textFill>
                  <w14:solidFill>
                    <w14:schemeClr w14:val="tx1"/>
                  </w14:solidFill>
                </w14:textFill>
              </w:rPr>
              <w:t>DA002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高空排放。故本项目与乐昌市人民政府办公室《关于印发</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乐昌市生态环境保护“十四五”规划的通知》（乐府办〔2022〕16号）相符。</w:t>
            </w:r>
          </w:p>
          <w:p w14:paraId="7D41F57A">
            <w:pPr>
              <w:spacing w:line="360" w:lineRule="auto"/>
              <w:ind w:firstLine="482" w:firstLineChars="200"/>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10</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w:t>
            </w:r>
            <w:r>
              <w:rPr>
                <w:rFonts w:hint="eastAsia" w:cs="Times New Roman"/>
                <w:b/>
                <w:bCs/>
                <w:color w:val="000000" w:themeColor="text1"/>
                <w:kern w:val="0"/>
                <w:sz w:val="24"/>
                <w:highlight w:val="none"/>
                <w:lang w:val="en-US" w:eastAsia="zh-CN"/>
                <w14:textFill>
                  <w14:solidFill>
                    <w14:schemeClr w14:val="tx1"/>
                  </w14:solidFill>
                </w14:textFill>
              </w:rPr>
              <w:t>与</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环境保护部《关于印发</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重点行业挥发性有机物综合治理方案</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〉的通知》</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（环大气〔2019〕53号）</w:t>
            </w:r>
            <w:r>
              <w:rPr>
                <w:rFonts w:hint="eastAsia" w:cs="Times New Roman"/>
                <w:b/>
                <w:bCs/>
                <w:color w:val="000000" w:themeColor="text1"/>
                <w:kern w:val="0"/>
                <w:sz w:val="24"/>
                <w:highlight w:val="none"/>
                <w:lang w:val="en-US" w:eastAsia="zh-CN"/>
                <w14:textFill>
                  <w14:solidFill>
                    <w14:schemeClr w14:val="tx1"/>
                  </w14:solidFill>
                </w14:textFill>
              </w:rPr>
              <w:t>相符性</w:t>
            </w:r>
          </w:p>
          <w:p w14:paraId="446DBFF0">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文件中提出：“大力推进源头替代。化工行业要推广使用低（无）VOCs含量、低反应活性的原辅材料。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推进建设适宜高效的治污设施。”</w:t>
            </w:r>
          </w:p>
          <w:p w14:paraId="151C3D5D">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w:t>
            </w:r>
            <w:r>
              <w:rPr>
                <w:rFonts w:hint="eastAsia" w:cs="Times New Roman"/>
                <w:b w:val="0"/>
                <w:bCs w:val="0"/>
                <w:color w:val="000000" w:themeColor="text1"/>
                <w:kern w:val="0"/>
                <w:sz w:val="24"/>
                <w:highlight w:val="none"/>
                <w:lang w:val="en-US" w:eastAsia="zh-CN"/>
                <w14:textFill>
                  <w14:solidFill>
                    <w14:schemeClr w14:val="tx1"/>
                  </w14:solidFill>
                </w14:textFill>
              </w:rPr>
              <w:t>所用涉VOCs的</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原料</w:t>
            </w:r>
            <w:r>
              <w:rPr>
                <w:rFonts w:hint="eastAsia" w:cs="Times New Roman"/>
                <w:b w:val="0"/>
                <w:bCs w:val="0"/>
                <w:color w:val="000000" w:themeColor="text1"/>
                <w:kern w:val="0"/>
                <w:sz w:val="24"/>
                <w:highlight w:val="none"/>
                <w:lang w:val="en-US" w:eastAsia="zh-CN"/>
                <w14:textFill>
                  <w14:solidFill>
                    <w14:schemeClr w14:val="tx1"/>
                  </w14:solidFill>
                </w14:textFill>
              </w:rPr>
              <w:t>为低</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VOCs</w:t>
            </w:r>
            <w:r>
              <w:rPr>
                <w:rFonts w:hint="eastAsia" w:cs="Times New Roman"/>
                <w:b w:val="0"/>
                <w:bCs w:val="0"/>
                <w:color w:val="000000" w:themeColor="text1"/>
                <w:kern w:val="0"/>
                <w:sz w:val="24"/>
                <w:highlight w:val="none"/>
                <w:lang w:val="en-US" w:eastAsia="zh-CN"/>
                <w14:textFill>
                  <w14:solidFill>
                    <w14:schemeClr w14:val="tx1"/>
                  </w14:solidFill>
                </w14:textFill>
              </w:rPr>
              <w:t>含量</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物料，可从源头有效控制VOCs排放，</w:t>
            </w:r>
            <w:r>
              <w:rPr>
                <w:rFonts w:hint="eastAsia" w:cs="Times New Roman"/>
                <w:b w:val="0"/>
                <w:bCs w:val="0"/>
                <w:color w:val="000000" w:themeColor="text1"/>
                <w:kern w:val="0"/>
                <w:sz w:val="24"/>
                <w:highlight w:val="none"/>
                <w:lang w:val="en-US" w:eastAsia="zh-CN"/>
                <w14:textFill>
                  <w14:solidFill>
                    <w14:schemeClr w14:val="tx1"/>
                  </w14:solidFill>
                </w14:textFill>
              </w:rPr>
              <w:t>固化工序</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采用天然气加热，产生的污染物主要有颗粒物、二氧化硫、氮氧化物，收集后经排气筒</w:t>
            </w:r>
            <w:r>
              <w:rPr>
                <w:rFonts w:hint="eastAsia" w:cs="Times New Roman"/>
                <w:b w:val="0"/>
                <w:bCs w:val="0"/>
                <w:color w:val="000000" w:themeColor="text1"/>
                <w:kern w:val="0"/>
                <w:sz w:val="24"/>
                <w:highlight w:val="none"/>
                <w:lang w:val="en-US" w:eastAsia="zh-CN"/>
                <w14:textFill>
                  <w14:solidFill>
                    <w14:schemeClr w14:val="tx1"/>
                  </w14:solidFill>
                </w14:textFill>
              </w:rPr>
              <w:t>DA002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高空排放。综上，本项目与环境保护部《关于印发</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重点行业挥发性有机物综合治理方案</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〉的通知》</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（环大气〔2019〕53号）相符。</w:t>
            </w:r>
          </w:p>
          <w:p w14:paraId="6F7B4F9F">
            <w:pPr>
              <w:spacing w:line="360" w:lineRule="auto"/>
              <w:ind w:firstLine="482" w:firstLineChars="200"/>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1</w:t>
            </w:r>
            <w:r>
              <w:rPr>
                <w:rFonts w:hint="eastAsia" w:cs="Times New Roman"/>
                <w:b/>
                <w:bCs/>
                <w:color w:val="000000" w:themeColor="text1"/>
                <w:kern w:val="0"/>
                <w:sz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、与《广东省2023年土壤与地下水污染防治工作方案》（粤环〔2023〕3号）的相符性</w:t>
            </w:r>
          </w:p>
          <w:p w14:paraId="3218A8B6">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方案要求：</w:t>
            </w:r>
          </w:p>
          <w:p w14:paraId="20B641B2">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三、系统推进土壤污染源头防控</w:t>
            </w:r>
          </w:p>
          <w:p w14:paraId="36BCEEF8">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一）加强涉重金属行业污染防控。深化涉镉等重点行业企业污染源排查整治，动态更新污染源排查整治清单。韶关、阳江、清远市要督促有关涉重金属污染物排放企业严格执行特别排放限值相关规定。2023年底前，各地要督促纳入大气环境重点排污单位名录的涉镉等重金属排放企业实现大气污染物中的颗粒物自动监测、监控设备联网。（省生态环境厅牵头，省自然资源厅等按职责分工负责）</w:t>
            </w:r>
          </w:p>
          <w:p w14:paraId="70311D93">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二）严格监管土壤污染重点监管单位。更新并公布土壤污染重点监管单位名录，督促重点监管单位落实法定义务，原则上新纳入的重点监管单位应在当年完成隐患排查，所有重点监管单位完成一轮土壤和地下水自行监测。各地级以上市要组织对重点监管单位开展周边监测，完成比例不低于40%；督促50%已开展隐患排查的重点监管单位开展隐患排查“回头看”。省市两级对“回头看”工作开展质量控制抽查，省级抽查比例不低于10%，市级抽查比例不低于20%（省生态环境厅负责）。</w:t>
            </w:r>
          </w:p>
          <w:p w14:paraId="22EC179B">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六、有序推进地下水污染防治</w:t>
            </w:r>
          </w:p>
          <w:p w14:paraId="4359EDDE">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一）加强地下水环境质量目标管理和分区管理。各地级以上市加快印发并实施“十四五”国家地下水环境质量考核点位水质达标保持方案，省生态环境厅定期组织对各地级以上市达标保持方案重点工作实施情况开展评估。湛江等市开展地下水国考点位、地下水型农村“千吨万人”饮用水源环境背景值调查研究。实施地下水环境分区管理、分级防治，完成珠三角整体区域及佛山、韶关、河源、东莞、湛江、云浮等市地下水污染防治重点区划定工作。（省生态环境厅牵头，省发展改革委、自然资源厅、水利厅、地质局等按职责分工负责）</w:t>
            </w:r>
          </w:p>
          <w:p w14:paraId="11A5585D">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 xml:space="preserve">（三）加强地下水污染防治重点排污单位管理。各地级以上市建立并公布地下水污染防治重点排污单位名录，参照生态环境 </w:t>
            </w:r>
          </w:p>
          <w:p w14:paraId="7615557C">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部制定的重点监管单位土壤污染隐患排查技术指南、地下水污染源防渗技术指南等，指导重点排污单位开展地下水污染渗漏排查，存在问题的单位应开展防渗改造。（省生态环境厅牵头，省住房城乡建设厅等按职责分工负责）</w:t>
            </w:r>
          </w:p>
          <w:p w14:paraId="4FA0CD90">
            <w:pPr>
              <w:spacing w:line="360" w:lineRule="auto"/>
              <w:ind w:firstLine="482"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相符性分析：</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生产运营过程不涉及重金属排放，生产废水经自建污水处理站处理后排入园区污水处理厂；生活污水经三级化粪池+隔油隔渣池处理后排入园区污水处理厂。项目对危废仓进行防渗漏、防扬散、防流失等措施，防止危险废物暂存过程对土壤环境造成影响。因此，项目的建设符合《广东省2023年土壤与地下水污染防治工作方案》的相关要求。</w:t>
            </w:r>
          </w:p>
          <w:p w14:paraId="02FD415A">
            <w:pPr>
              <w:spacing w:line="360" w:lineRule="auto"/>
              <w:ind w:firstLine="482" w:firstLineChars="200"/>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1</w:t>
            </w:r>
            <w:r>
              <w:rPr>
                <w:rFonts w:hint="eastAsia" w:cs="Times New Roman"/>
                <w:b/>
                <w:bCs/>
                <w:color w:val="000000" w:themeColor="text1"/>
                <w:kern w:val="0"/>
                <w:sz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、与《广东省生态环境厅关于2021年工业炉窑、锅炉综合整治重点工作的通知》（粤环函〔2021〕461号）相符性</w:t>
            </w:r>
          </w:p>
          <w:p w14:paraId="5E0D4FF9">
            <w:pPr>
              <w:spacing w:line="360" w:lineRule="auto"/>
              <w:ind w:firstLine="480" w:firstLineChars="200"/>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根据通知：珠三角各地应按照《广东省人民政府关于印发广东省“三线一单”生态环境分区管控方案的通知》：“一、推进钢铁行业超低排放改造；二、鼓励水泥行业超低排放改造；三、推进钢压延、铝型材行业清洁能源改造；四、收严燃气锅炉大气污染物排放标准；五、珠三角地区逐步淘汰生物质锅炉；六、动态更新工业炉窑综合整治清单；七、完成70%以上涉工业炉窑企业综合整治工作；八、公开综合整治相关信息；九、加强监督执法；十、做好企业整治提升资金保障。”</w:t>
            </w:r>
          </w:p>
          <w:p w14:paraId="5065167B">
            <w:pPr>
              <w:adjustRightInd w:val="0"/>
              <w:snapToGrid w:val="0"/>
              <w:spacing w:line="360" w:lineRule="auto"/>
              <w:ind w:firstLine="480"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项目使用天然气作为</w:t>
            </w:r>
            <w:r>
              <w:rPr>
                <w:rFonts w:hint="eastAsia" w:cs="Times New Roman"/>
                <w:b w:val="0"/>
                <w:bCs w:val="0"/>
                <w:color w:val="000000" w:themeColor="text1"/>
                <w:kern w:val="0"/>
                <w:sz w:val="24"/>
                <w:highlight w:val="none"/>
                <w:lang w:val="en-US" w:eastAsia="zh-CN"/>
                <w14:textFill>
                  <w14:solidFill>
                    <w14:schemeClr w14:val="tx1"/>
                  </w14:solidFill>
                </w14:textFill>
              </w:rPr>
              <w:t>固化炉</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的燃料。</w:t>
            </w:r>
            <w:r>
              <w:rPr>
                <w:rFonts w:hint="eastAsia" w:cs="Times New Roman"/>
                <w:b w:val="0"/>
                <w:bCs w:val="0"/>
                <w:color w:val="000000" w:themeColor="text1"/>
                <w:kern w:val="0"/>
                <w:sz w:val="24"/>
                <w:highlight w:val="none"/>
                <w:lang w:val="en-US" w:eastAsia="zh-CN"/>
                <w14:textFill>
                  <w14:solidFill>
                    <w14:schemeClr w14:val="tx1"/>
                  </w14:solidFill>
                </w14:textFill>
              </w:rPr>
              <w:t>固化炉</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天然气燃烧排放的污染物为颗粒物、SO</w:t>
            </w:r>
            <w:r>
              <w:rPr>
                <w:rFonts w:hint="default" w:ascii="Times New Roman" w:hAnsi="Times New Roman" w:eastAsia="宋体" w:cs="Times New Roman"/>
                <w:b w:val="0"/>
                <w:bCs w:val="0"/>
                <w:color w:val="000000" w:themeColor="text1"/>
                <w:kern w:val="0"/>
                <w:sz w:val="24"/>
                <w:highlight w:val="none"/>
                <w:vertAlign w:val="sub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、NO</w:t>
            </w:r>
            <w:r>
              <w:rPr>
                <w:rFonts w:hint="eastAsia" w:ascii="Times New Roman" w:hAnsi="Times New Roman" w:eastAsia="宋体" w:cs="Times New Roman"/>
                <w:b w:val="0"/>
                <w:bCs w:val="0"/>
                <w:color w:val="000000" w:themeColor="text1"/>
                <w:kern w:val="0"/>
                <w:sz w:val="24"/>
                <w:highlight w:val="none"/>
                <w:vertAlign w:val="subscript"/>
                <w:lang w:val="en-US" w:eastAsia="zh-CN"/>
                <w14:textFill>
                  <w14:solidFill>
                    <w14:schemeClr w14:val="tx1"/>
                  </w14:solidFill>
                </w14:textFill>
              </w:rPr>
              <w:t>X</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。天然气燃烧废气排放根据《关于印发</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工业炉窑大气污染综合治理方案</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〉的通知》</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（环大气〔2019〕56号）和《关于贯彻落实</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工业炉窑大气污染物综合治理方案</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的实施意见》（粤环函〔2019〕1112号），废气按照颗粒物、二氧化硫、氮氧化物排放限值分别不高于30、200、300毫克/立方米控制要求。因此项目符合《广东省生态环境厅关于2021年工业炉窑、锅炉综合整治重点工作的通知》（粤环函〔2021〕461号）的相关要求。</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 xml:space="preserve">  </w:t>
            </w:r>
          </w:p>
          <w:p w14:paraId="6CCD919F">
            <w:pPr>
              <w:adjustRightInd w:val="0"/>
              <w:snapToGrid w:val="0"/>
              <w:spacing w:line="360" w:lineRule="auto"/>
              <w:ind w:firstLine="480"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p>
          <w:p w14:paraId="51D35B39">
            <w:pPr>
              <w:adjustRightInd w:val="0"/>
              <w:snapToGrid w:val="0"/>
              <w:spacing w:line="360" w:lineRule="auto"/>
              <w:ind w:firstLine="480" w:firstLineChars="200"/>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p>
          <w:p w14:paraId="41A8F7B2">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 xml:space="preserve">       </w:t>
            </w:r>
          </w:p>
        </w:tc>
      </w:tr>
    </w:tbl>
    <w:p w14:paraId="294316D8">
      <w:pPr>
        <w:spacing w:line="360" w:lineRule="auto"/>
        <w:outlineLvl w:val="0"/>
        <w:rPr>
          <w:rFonts w:eastAsia="黑体"/>
          <w:color w:val="000000" w:themeColor="text1"/>
          <w:sz w:val="30"/>
          <w:highlight w:val="none"/>
          <w14:textFill>
            <w14:solidFill>
              <w14:schemeClr w14:val="tx1"/>
            </w14:solidFill>
          </w14:textFill>
        </w:rPr>
        <w:sectPr>
          <w:footerReference r:id="rId1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9E428E4">
      <w:pPr>
        <w:pStyle w:val="41"/>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5" w:name="_Toc14981"/>
      <w:bookmarkStart w:id="6" w:name="_Toc14029"/>
      <w:bookmarkStart w:id="7" w:name="_Toc19853"/>
      <w:bookmarkStart w:id="8" w:name="_Toc26466"/>
      <w:r>
        <w:rPr>
          <w:rFonts w:hint="eastAsia" w:ascii="黑体" w:hAnsi="黑体" w:eastAsia="黑体"/>
          <w:snapToGrid w:val="0"/>
          <w:color w:val="000000" w:themeColor="text1"/>
          <w:sz w:val="30"/>
          <w:szCs w:val="30"/>
          <w:highlight w:val="none"/>
          <w14:textFill>
            <w14:solidFill>
              <w14:schemeClr w14:val="tx1"/>
            </w14:solidFill>
          </w14:textFill>
        </w:rPr>
        <w:t>二、建设项目工程分析</w:t>
      </w:r>
      <w:bookmarkEnd w:id="5"/>
      <w:bookmarkEnd w:id="6"/>
      <w:bookmarkEnd w:id="7"/>
      <w:bookmarkEnd w:id="8"/>
    </w:p>
    <w:tbl>
      <w:tblPr>
        <w:tblStyle w:val="4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2"/>
        <w:gridCol w:w="8608"/>
      </w:tblGrid>
      <w:tr w14:paraId="0CB252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43" w:hRule="atLeast"/>
          <w:jc w:val="center"/>
        </w:trPr>
        <w:tc>
          <w:tcPr>
            <w:tcW w:w="452" w:type="dxa"/>
            <w:noWrap w:val="0"/>
            <w:vAlign w:val="center"/>
          </w:tcPr>
          <w:p w14:paraId="206B227B">
            <w:pPr>
              <w:pStyle w:val="41"/>
              <w:adjustRightInd w:val="0"/>
              <w:snapToGrid w:val="0"/>
              <w:spacing w:before="0" w:beforeAutospacing="0" w:after="0" w:afterAutospacing="0"/>
              <w:jc w:val="center"/>
              <w:rPr>
                <w:rFonts w:hint="default" w:ascii="Times New Roman" w:hAnsi="Times New Roman" w:cs="Times New Roman"/>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建设内容</w:t>
            </w:r>
          </w:p>
        </w:tc>
        <w:tc>
          <w:tcPr>
            <w:tcW w:w="8608" w:type="dxa"/>
            <w:noWrap w:val="0"/>
            <w:vAlign w:val="top"/>
          </w:tcPr>
          <w:p w14:paraId="275730EB">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7D704207">
            <w:pPr>
              <w:pStyle w:val="39"/>
              <w:spacing w:after="0" w:line="360" w:lineRule="auto"/>
              <w:ind w:firstLine="482" w:firstLineChars="200"/>
              <w:rPr>
                <w:rFonts w:hint="default" w:ascii="Times New Roman" w:hAnsi="Times New Roman" w:cs="Times New Roman"/>
                <w:b/>
                <w:color w:val="000000" w:themeColor="text1"/>
                <w:sz w:val="24"/>
                <w:highlight w:val="none"/>
                <w14:textFill>
                  <w14:solidFill>
                    <w14:schemeClr w14:val="tx1"/>
                  </w14:solidFill>
                </w14:textFill>
              </w:rPr>
            </w:pPr>
            <w:r>
              <w:rPr>
                <w:rFonts w:hint="eastAsia" w:ascii="Times New Roman" w:hAnsi="Times New Roman" w:cs="Times New Roman"/>
                <w:b/>
                <w:bCs/>
                <w:color w:val="000000" w:themeColor="text1"/>
                <w:sz w:val="24"/>
                <w:highlight w:val="none"/>
                <w:lang w:val="en-US" w:eastAsia="zh-CN"/>
                <w14:textFill>
                  <w14:solidFill>
                    <w14:schemeClr w14:val="tx1"/>
                  </w14:solidFill>
                </w14:textFill>
              </w:rPr>
              <w:t>一</w:t>
            </w:r>
            <w:r>
              <w:rPr>
                <w:rFonts w:hint="default" w:ascii="Times New Roman" w:hAnsi="Times New Roman" w:cs="Times New Roman"/>
                <w:b/>
                <w:bCs/>
                <w:color w:val="000000" w:themeColor="text1"/>
                <w:sz w:val="24"/>
                <w:highlight w:val="none"/>
                <w14:textFill>
                  <w14:solidFill>
                    <w14:schemeClr w14:val="tx1"/>
                  </w14:solidFill>
                </w14:textFill>
              </w:rPr>
              <w:t>、</w:t>
            </w:r>
            <w:r>
              <w:rPr>
                <w:rFonts w:hint="default" w:ascii="Times New Roman" w:hAnsi="Times New Roman" w:cs="Times New Roman"/>
                <w:b/>
                <w:color w:val="000000" w:themeColor="text1"/>
                <w:sz w:val="24"/>
                <w:highlight w:val="none"/>
                <w14:textFill>
                  <w14:solidFill>
                    <w14:schemeClr w14:val="tx1"/>
                  </w14:solidFill>
                </w14:textFill>
              </w:rPr>
              <w:t>项目由来</w:t>
            </w:r>
          </w:p>
          <w:p w14:paraId="6E62C8E6">
            <w:pPr>
              <w:pStyle w:val="39"/>
              <w:spacing w:after="0" w:line="360" w:lineRule="auto"/>
              <w:ind w:firstLine="480" w:firstLineChars="200"/>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广东三筑金属制品有限公司</w:t>
            </w:r>
            <w:r>
              <w:rPr>
                <w:rFonts w:hint="default" w:ascii="Times New Roman" w:hAnsi="Times New Roman" w:eastAsia="宋体" w:cs="Times New Roman"/>
                <w:color w:val="000000" w:themeColor="text1"/>
                <w:sz w:val="24"/>
                <w:highlight w:val="none"/>
                <w14:textFill>
                  <w14:solidFill>
                    <w14:schemeClr w14:val="tx1"/>
                  </w14:solidFill>
                </w14:textFill>
              </w:rPr>
              <w:t>（以下简称</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建设单位</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）拟在</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韶关市乐昌市乐昌经济开发区管理委员会后座046号（</w:t>
            </w:r>
            <w:r>
              <w:rPr>
                <w:rFonts w:hint="default" w:ascii="Times New Roman" w:hAnsi="Times New Roman" w:eastAsia="宋体" w:cs="Times New Roman"/>
                <w:color w:val="000000" w:themeColor="text1"/>
                <w:sz w:val="24"/>
                <w:highlight w:val="none"/>
                <w14:textFill>
                  <w14:solidFill>
                    <w14:schemeClr w14:val="tx1"/>
                  </w14:solidFill>
                </w14:textFill>
              </w:rPr>
              <w:t>东经11</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4"/>
                <w:highlight w:val="none"/>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2.572</w:t>
            </w:r>
            <w:r>
              <w:rPr>
                <w:rFonts w:hint="default" w:ascii="Times New Roman" w:hAnsi="Times New Roman" w:eastAsia="宋体" w:cs="Times New Roman"/>
                <w:color w:val="000000" w:themeColor="text1"/>
                <w:sz w:val="24"/>
                <w:highlight w:val="none"/>
                <w14:textFill>
                  <w14:solidFill>
                    <w14:schemeClr w14:val="tx1"/>
                  </w14:solidFill>
                </w14:textFill>
              </w:rPr>
              <w:t>″，北纬2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09</w:t>
            </w:r>
            <w:r>
              <w:rPr>
                <w:rFonts w:hint="default" w:ascii="Times New Roman" w:hAnsi="Times New Roman" w:eastAsia="宋体" w:cs="Times New Roman"/>
                <w:color w:val="000000" w:themeColor="text1"/>
                <w:sz w:val="24"/>
                <w:highlight w:val="none"/>
                <w14:textFill>
                  <w14:solidFill>
                    <w14:schemeClr w14:val="tx1"/>
                  </w14:solidFill>
                </w14:textFill>
              </w:rPr>
              <w:t>′2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020</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投资建设</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“乐昌市三筑金属材料智造项目”</w:t>
            </w:r>
            <w:r>
              <w:rPr>
                <w:rFonts w:hint="default" w:ascii="Times New Roman" w:hAnsi="Times New Roman" w:eastAsia="宋体" w:cs="Times New Roman"/>
                <w:color w:val="000000" w:themeColor="text1"/>
                <w:sz w:val="24"/>
                <w:highlight w:val="none"/>
                <w14:textFill>
                  <w14:solidFill>
                    <w14:schemeClr w14:val="tx1"/>
                  </w14:solidFill>
                </w14:textFill>
              </w:rPr>
              <w:t>。项目</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规划总用地面积</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为</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54139.29</w:t>
            </w:r>
            <w:r>
              <w:rPr>
                <w:rFonts w:hint="default" w:ascii="Times New Roman" w:hAnsi="Times New Roman" w:eastAsia="宋体" w:cs="Times New Roman"/>
                <w:color w:val="000000" w:themeColor="text1"/>
                <w:sz w:val="24"/>
                <w:highlight w:val="none"/>
                <w14:textFill>
                  <w14:solidFill>
                    <w14:schemeClr w14:val="tx1"/>
                  </w14:solidFill>
                </w14:textFill>
              </w:rPr>
              <w:t>平方米，</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总</w:t>
            </w:r>
            <w:r>
              <w:rPr>
                <w:rFonts w:hint="default" w:ascii="Times New Roman" w:hAnsi="Times New Roman" w:eastAsia="宋体" w:cs="Times New Roman"/>
                <w:color w:val="000000" w:themeColor="text1"/>
                <w:sz w:val="24"/>
                <w:highlight w:val="none"/>
                <w14:textFill>
                  <w14:solidFill>
                    <w14:schemeClr w14:val="tx1"/>
                  </w14:solidFill>
                </w14:textFill>
              </w:rPr>
              <w:t>建筑面积</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为</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43886.37</w:t>
            </w:r>
            <w:r>
              <w:rPr>
                <w:rFonts w:hint="default" w:ascii="Times New Roman" w:hAnsi="Times New Roman" w:eastAsia="宋体" w:cs="Times New Roman"/>
                <w:color w:val="000000" w:themeColor="text1"/>
                <w:sz w:val="24"/>
                <w:highlight w:val="none"/>
                <w14:textFill>
                  <w14:solidFill>
                    <w14:schemeClr w14:val="tx1"/>
                  </w14:solidFill>
                </w14:textFill>
              </w:rPr>
              <w:t>平方米，拟建设厂房</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14:textFill>
                  <w14:solidFill>
                    <w14:schemeClr w14:val="tx1"/>
                  </w14:solidFill>
                </w14:textFill>
              </w:rPr>
              <w:t>栋，</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宿舍楼</w:t>
            </w:r>
            <w:r>
              <w:rPr>
                <w:rFonts w:hint="default" w:ascii="Times New Roman" w:hAnsi="Times New Roman" w:eastAsia="宋体" w:cs="Times New Roman"/>
                <w:color w:val="000000" w:themeColor="text1"/>
                <w:sz w:val="24"/>
                <w:highlight w:val="none"/>
                <w14:textFill>
                  <w14:solidFill>
                    <w14:schemeClr w14:val="tx1"/>
                  </w14:solidFill>
                </w14:textFill>
              </w:rPr>
              <w:t>1栋，综合楼1栋及其他辅助设施。项目总投资</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000</w:t>
            </w:r>
            <w:r>
              <w:rPr>
                <w:rFonts w:hint="default" w:ascii="Times New Roman" w:hAnsi="Times New Roman" w:eastAsia="宋体" w:cs="Times New Roman"/>
                <w:color w:val="000000" w:themeColor="text1"/>
                <w:sz w:val="24"/>
                <w:highlight w:val="none"/>
                <w14:textFill>
                  <w14:solidFill>
                    <w14:schemeClr w14:val="tx1"/>
                  </w14:solidFill>
                </w14:textFill>
              </w:rPr>
              <w:t>万元，其中环保投资</w:t>
            </w:r>
            <w:r>
              <w:rPr>
                <w:rFonts w:hint="eastAsia" w:cs="Times New Roman"/>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00万元。</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建成后年生产各类板铝制品1</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0万平方米</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p>
          <w:p w14:paraId="254FF2FD">
            <w:pPr>
              <w:pStyle w:val="39"/>
              <w:spacing w:after="0"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根据《中华人民共和国环境保护法》《中华人民共和国环境影响评价法》《建设项目环境保护管理条例》</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《广东省环境保护条例》（2022年11月30日修正）</w:t>
            </w:r>
            <w:r>
              <w:rPr>
                <w:rFonts w:hint="default" w:ascii="Times New Roman" w:hAnsi="Times New Roman" w:eastAsia="宋体" w:cs="Times New Roman"/>
                <w:color w:val="000000" w:themeColor="text1"/>
                <w:sz w:val="24"/>
                <w:highlight w:val="none"/>
                <w14:textFill>
                  <w14:solidFill>
                    <w14:schemeClr w14:val="tx1"/>
                  </w14:solidFill>
                </w14:textFill>
              </w:rPr>
              <w:t>等有关规定，建设过程中或者建成投产后可能对环境产生影响的新建、扩建、改建、迁建、技术改造项目及区域开发建设项目，必须执行环境影响评价制度。对照《国民经济行业分类》（GB/T 4754-2017，按第1号修改单修订），本项目属于C3360金属表面处理及热处理加工；对照国家环保部《建设项目环境影响评价分类管理名录》（2021年版），该项目属于“三十、33金属制品业67金属表面处理及热处理加工其他（年用非溶剂型低VOCs含量涂料10吨以下的除外）”，按要求需要编制环境影响报告表。</w:t>
            </w:r>
          </w:p>
          <w:p w14:paraId="6731BC54">
            <w:pPr>
              <w:widowControl w:val="0"/>
              <w:spacing w:line="360" w:lineRule="auto"/>
              <w:ind w:firstLine="480" w:firstLineChars="200"/>
              <w:jc w:val="both"/>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建设单位</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于2025年11月12日取得《广东三筑金属制品有限公司乐昌市三筑金属材料智造项目环境影响报告表的审查意见》（韶环乐审(2025)2</w:t>
            </w:r>
            <w:r>
              <w:rPr>
                <w:rFonts w:hint="eastAsia" w:cs="Times New Roman"/>
                <w:color w:val="000000" w:themeColor="text1"/>
                <w:kern w:val="0"/>
                <w:sz w:val="24"/>
                <w:szCs w:val="24"/>
                <w:highlight w:val="none"/>
                <w:lang w:val="en-US" w:eastAsia="zh-CN" w:bidi="ar-SA"/>
                <w14:textFill>
                  <w14:solidFill>
                    <w14:schemeClr w14:val="tx1"/>
                  </w14:solidFill>
                </w14:textFill>
              </w:rPr>
              <w:t>4</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号）批复</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后开工建设，</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尚未进行投产，</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在建设过程中受市场影响等因素对产品</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工艺</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进行调整，</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新增</w:t>
            </w:r>
            <w:r>
              <w:rPr>
                <w:rFonts w:hint="eastAsia" w:cs="Times New Roman"/>
                <w:color w:val="000000" w:themeColor="text1"/>
                <w:kern w:val="0"/>
                <w:sz w:val="24"/>
                <w:szCs w:val="24"/>
                <w:highlight w:val="none"/>
                <w:lang w:val="en-US" w:eastAsia="zh-CN" w:bidi="ar-SA"/>
                <w14:textFill>
                  <w14:solidFill>
                    <w14:schemeClr w14:val="tx1"/>
                  </w14:solidFill>
                </w14:textFill>
              </w:rPr>
              <w:t>前处理线和</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喷涂</w:t>
            </w:r>
            <w:r>
              <w:rPr>
                <w:rFonts w:hint="eastAsia" w:cs="Times New Roman"/>
                <w:color w:val="000000" w:themeColor="text1"/>
                <w:kern w:val="0"/>
                <w:sz w:val="24"/>
                <w:szCs w:val="24"/>
                <w:highlight w:val="none"/>
                <w:lang w:val="en-US" w:eastAsia="zh-CN" w:bidi="ar-SA"/>
                <w14:textFill>
                  <w14:solidFill>
                    <w14:schemeClr w14:val="tx1"/>
                  </w14:solidFill>
                </w14:textFill>
              </w:rPr>
              <w:t>线</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对照《关于印发《污染影响类建设项目重大变动清单（试行）》的通知》（环办环评函〔2020〕688号），项目</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生产工艺</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发生了重大变动</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p>
          <w:p w14:paraId="4386BC03">
            <w:pPr>
              <w:pageBreakBefore w:val="0"/>
              <w:widowControl w:val="0"/>
              <w:wordWrap w:val="0"/>
              <w:overflowPunct/>
              <w:bidi w:val="0"/>
              <w:spacing w:line="360" w:lineRule="auto"/>
              <w:ind w:firstLine="480" w:firstLineChars="200"/>
              <w:jc w:val="both"/>
              <w:rPr>
                <w:rFonts w:hint="eastAsia" w:ascii="Times New Roman" w:hAnsi="Times New Roman" w:eastAsia="宋体" w:cs="Times New Roman"/>
                <w:bCs/>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4"/>
                <w:szCs w:val="20"/>
                <w:highlight w:val="none"/>
                <w:lang w:val="en-US" w:eastAsia="zh-CN" w:bidi="ar-SA"/>
                <w14:textFill>
                  <w14:solidFill>
                    <w14:schemeClr w14:val="tx1"/>
                  </w14:solidFill>
                </w14:textFill>
              </w:rPr>
              <w:t>截至2026年4月，建设单位已完成基础厂房建设</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lang w:eastAsia="zh-CN"/>
                <w14:textFill>
                  <w14:solidFill>
                    <w14:schemeClr w14:val="tx1"/>
                  </w14:solidFill>
                </w14:textFill>
              </w:rPr>
              <w:t>广东三筑金属制品有限公司</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乐昌市三筑金属材料智造项目</w:t>
            </w:r>
            <w:r>
              <w:rPr>
                <w:rFonts w:hint="eastAsia" w:ascii="Times New Roman" w:hAnsi="Times New Roman" w:eastAsia="宋体" w:cs="Times New Roman"/>
                <w:bCs/>
                <w:color w:val="000000" w:themeColor="text1"/>
                <w:kern w:val="0"/>
                <w:sz w:val="24"/>
                <w:szCs w:val="20"/>
                <w:highlight w:val="none"/>
                <w:lang w:val="en-US" w:eastAsia="zh-CN" w:bidi="ar-SA"/>
                <w14:textFill>
                  <w14:solidFill>
                    <w14:schemeClr w14:val="tx1"/>
                  </w14:solidFill>
                </w14:textFill>
              </w:rPr>
              <w:t>在建设过程中</w:t>
            </w:r>
            <w:r>
              <w:rPr>
                <w:rFonts w:hint="eastAsia" w:ascii="Times New Roman" w:hAnsi="Times New Roman" w:eastAsia="宋体" w:cs="Times New Roman"/>
                <w:b/>
                <w:bCs w:val="0"/>
                <w:color w:val="000000" w:themeColor="text1"/>
                <w:kern w:val="0"/>
                <w:sz w:val="24"/>
                <w:szCs w:val="20"/>
                <w:highlight w:val="none"/>
                <w:lang w:val="en-US" w:eastAsia="zh-CN" w:bidi="ar-SA"/>
                <w14:textFill>
                  <w14:solidFill>
                    <w14:schemeClr w14:val="tx1"/>
                  </w14:solidFill>
                </w14:textFill>
              </w:rPr>
              <w:t>发生的重大变动</w:t>
            </w:r>
            <w:r>
              <w:rPr>
                <w:rFonts w:hint="eastAsia" w:ascii="Times New Roman" w:hAnsi="Times New Roman" w:eastAsia="宋体" w:cs="Times New Roman"/>
                <w:bCs/>
                <w:color w:val="000000" w:themeColor="text1"/>
                <w:kern w:val="0"/>
                <w:sz w:val="24"/>
                <w:szCs w:val="20"/>
                <w:highlight w:val="none"/>
                <w:lang w:val="en-US" w:eastAsia="zh-CN" w:bidi="ar-SA"/>
                <w14:textFill>
                  <w14:solidFill>
                    <w14:schemeClr w14:val="tx1"/>
                  </w14:solidFill>
                </w14:textFill>
              </w:rPr>
              <w:t>如下：</w:t>
            </w:r>
          </w:p>
          <w:p w14:paraId="7131BCCC">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项目建设内容变动情况</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一览表</w:t>
            </w:r>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2250"/>
              <w:gridCol w:w="2019"/>
              <w:gridCol w:w="1881"/>
              <w:gridCol w:w="887"/>
              <w:gridCol w:w="889"/>
            </w:tblGrid>
            <w:tr w14:paraId="3233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BB66CF5">
                  <w:pPr>
                    <w:spacing w:line="240" w:lineRule="auto"/>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序号</w:t>
                  </w:r>
                </w:p>
              </w:tc>
              <w:tc>
                <w:tcPr>
                  <w:tcW w:w="1342" w:type="pct"/>
                  <w:noWrap w:val="0"/>
                  <w:vAlign w:val="center"/>
                </w:tcPr>
                <w:p w14:paraId="016C8DA9">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文件内容</w:t>
                  </w:r>
                </w:p>
              </w:tc>
              <w:tc>
                <w:tcPr>
                  <w:tcW w:w="1204" w:type="pct"/>
                  <w:noWrap w:val="0"/>
                  <w:vAlign w:val="center"/>
                </w:tcPr>
                <w:p w14:paraId="12802CE4">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原环评项目建设内容</w:t>
                  </w:r>
                </w:p>
              </w:tc>
              <w:tc>
                <w:tcPr>
                  <w:tcW w:w="1122" w:type="pct"/>
                  <w:noWrap w:val="0"/>
                  <w:vAlign w:val="center"/>
                </w:tcPr>
                <w:p w14:paraId="0DD9C622">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实际建设情况</w:t>
                  </w:r>
                </w:p>
              </w:tc>
              <w:tc>
                <w:tcPr>
                  <w:tcW w:w="529" w:type="pct"/>
                  <w:noWrap w:val="0"/>
                  <w:vAlign w:val="center"/>
                </w:tcPr>
                <w:p w14:paraId="25E0A401">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变动情况</w:t>
                  </w:r>
                </w:p>
              </w:tc>
              <w:tc>
                <w:tcPr>
                  <w:tcW w:w="530" w:type="pct"/>
                  <w:noWrap w:val="0"/>
                  <w:vAlign w:val="center"/>
                </w:tcPr>
                <w:p w14:paraId="5BEA481B">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是否属于重大变动</w:t>
                  </w:r>
                </w:p>
              </w:tc>
            </w:tr>
            <w:tr w14:paraId="67AE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395EE0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p>
              </w:tc>
              <w:tc>
                <w:tcPr>
                  <w:tcW w:w="1342" w:type="pct"/>
                  <w:noWrap w:val="0"/>
                  <w:vAlign w:val="center"/>
                </w:tcPr>
                <w:p w14:paraId="76986FB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建设项目开发、使用功能发生变化的</w:t>
                  </w:r>
                </w:p>
              </w:tc>
              <w:tc>
                <w:tcPr>
                  <w:tcW w:w="1204" w:type="pct"/>
                  <w:noWrap w:val="0"/>
                  <w:vAlign w:val="center"/>
                </w:tcPr>
                <w:p w14:paraId="02912D54">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项目属于“三十、金属制品业 33—67、金属表面处理及热处理加工 336”</w:t>
                  </w:r>
                </w:p>
              </w:tc>
              <w:tc>
                <w:tcPr>
                  <w:tcW w:w="1122" w:type="pct"/>
                  <w:noWrap w:val="0"/>
                  <w:vAlign w:val="center"/>
                </w:tcPr>
                <w:p w14:paraId="1D2784DB">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项目属于“三十、金属制品业 33—67、金属表面处理及热处理加工 336”</w:t>
                  </w:r>
                </w:p>
              </w:tc>
              <w:tc>
                <w:tcPr>
                  <w:tcW w:w="529" w:type="pct"/>
                  <w:noWrap w:val="0"/>
                  <w:vAlign w:val="center"/>
                </w:tcPr>
                <w:p w14:paraId="5636CBF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无变动</w:t>
                  </w:r>
                </w:p>
              </w:tc>
              <w:tc>
                <w:tcPr>
                  <w:tcW w:w="530" w:type="pct"/>
                  <w:noWrap w:val="0"/>
                  <w:vAlign w:val="center"/>
                </w:tcPr>
                <w:p w14:paraId="16FAD3E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r w14:paraId="4818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A13165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w:t>
                  </w:r>
                </w:p>
              </w:tc>
              <w:tc>
                <w:tcPr>
                  <w:tcW w:w="1342" w:type="pct"/>
                  <w:noWrap w:val="0"/>
                  <w:vAlign w:val="center"/>
                </w:tcPr>
                <w:p w14:paraId="4F43466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生产、处置或储存能力增大30%及以上的</w:t>
                  </w:r>
                </w:p>
              </w:tc>
              <w:tc>
                <w:tcPr>
                  <w:tcW w:w="1204" w:type="pct"/>
                  <w:noWrap w:val="0"/>
                  <w:vAlign w:val="center"/>
                </w:tcPr>
                <w:p w14:paraId="09D9379D">
                  <w:pPr>
                    <w:spacing w:line="240" w:lineRule="auto"/>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产品方案为年产1</w:t>
                  </w:r>
                  <w:r>
                    <w:rPr>
                      <w:rFonts w:hint="eastAsia" w:cs="Times New Roman"/>
                      <w:b w:val="0"/>
                      <w:bCs w:val="0"/>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万</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钣金件</w:t>
                  </w:r>
                </w:p>
              </w:tc>
              <w:tc>
                <w:tcPr>
                  <w:tcW w:w="1122" w:type="pct"/>
                  <w:noWrap w:val="0"/>
                  <w:vAlign w:val="center"/>
                </w:tcPr>
                <w:p w14:paraId="489993C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产品方案为年产1</w:t>
                  </w:r>
                  <w:r>
                    <w:rPr>
                      <w:rFonts w:hint="eastAsia" w:cs="Times New Roman"/>
                      <w:b w:val="0"/>
                      <w:bCs w:val="0"/>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万</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钣金件</w:t>
                  </w:r>
                </w:p>
              </w:tc>
              <w:tc>
                <w:tcPr>
                  <w:tcW w:w="529" w:type="pct"/>
                  <w:noWrap w:val="0"/>
                  <w:vAlign w:val="center"/>
                </w:tcPr>
                <w:p w14:paraId="5B3AD915">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无变动</w:t>
                  </w:r>
                </w:p>
              </w:tc>
              <w:tc>
                <w:tcPr>
                  <w:tcW w:w="530" w:type="pct"/>
                  <w:noWrap w:val="0"/>
                  <w:vAlign w:val="center"/>
                </w:tcPr>
                <w:p w14:paraId="306A0E2B">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r w14:paraId="0253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64B9ED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1342" w:type="pct"/>
                  <w:noWrap w:val="0"/>
                  <w:vAlign w:val="center"/>
                </w:tcPr>
                <w:p w14:paraId="3FDFCB9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生产、处置或储存能力增大，导致废水第一类污染物排放量增加的</w:t>
                  </w:r>
                </w:p>
              </w:tc>
              <w:tc>
                <w:tcPr>
                  <w:tcW w:w="1204" w:type="pct"/>
                  <w:noWrap w:val="0"/>
                  <w:vAlign w:val="center"/>
                </w:tcPr>
                <w:p w14:paraId="06D6745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废水不涉及第一类污染物排放</w:t>
                  </w:r>
                </w:p>
              </w:tc>
              <w:tc>
                <w:tcPr>
                  <w:tcW w:w="1122" w:type="pct"/>
                  <w:noWrap w:val="0"/>
                  <w:vAlign w:val="center"/>
                </w:tcPr>
                <w:p w14:paraId="0A7489FC">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废水不涉及第一类污染物排放</w:t>
                  </w:r>
                </w:p>
              </w:tc>
              <w:tc>
                <w:tcPr>
                  <w:tcW w:w="529" w:type="pct"/>
                  <w:noWrap w:val="0"/>
                  <w:vAlign w:val="center"/>
                </w:tcPr>
                <w:p w14:paraId="1DCB74A4">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无变动</w:t>
                  </w:r>
                </w:p>
              </w:tc>
              <w:tc>
                <w:tcPr>
                  <w:tcW w:w="530" w:type="pct"/>
                  <w:noWrap w:val="0"/>
                  <w:vAlign w:val="center"/>
                </w:tcPr>
                <w:p w14:paraId="1C9BAEF7">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r w14:paraId="0E0D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A53BE76">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w:t>
                  </w:r>
                </w:p>
              </w:tc>
              <w:tc>
                <w:tcPr>
                  <w:tcW w:w="1342" w:type="pct"/>
                  <w:noWrap w:val="0"/>
                  <w:vAlign w:val="center"/>
                </w:tcPr>
                <w:p w14:paraId="12C4435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1204" w:type="pct"/>
                  <w:noWrap w:val="0"/>
                  <w:vAlign w:val="center"/>
                </w:tcPr>
                <w:p w14:paraId="7CCA2BF7">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原</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项目所在区域属于达标区，项目生产废水排放量为8128.5t/a，生活污水排放量为2070t/a，综合废水合计为10198.5t/a，均经预处理后排入园区污水处理厂进行处理，因此，CODCr（0.999t/a）、NH</w:t>
                  </w:r>
                  <w:r>
                    <w:rPr>
                      <w:rFonts w:hint="eastAsia" w:ascii="Times New Roman" w:hAnsi="Times New Roman" w:eastAsia="宋体" w:cs="Times New Roman"/>
                      <w:b w:val="0"/>
                      <w:bCs w:val="0"/>
                      <w:color w:val="000000" w:themeColor="text1"/>
                      <w:sz w:val="21"/>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-N（0.066t/a）纳入园区污水处理厂的总量控制指标，不需再增加新的总量分配指标。氮氧化物</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排放</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量</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0.089</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t/a</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小于0.1t/a，无需</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向韶关市生态环境局乐昌分局申请分配</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总量分配指标</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c>
                <w:tcPr>
                  <w:tcW w:w="1122" w:type="pct"/>
                  <w:noWrap w:val="0"/>
                  <w:vAlign w:val="center"/>
                </w:tcPr>
                <w:p w14:paraId="1A261FAB">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本项目所在区域属于达标区，项目生产废水排放量为</w:t>
                  </w:r>
                  <w:r>
                    <w:rPr>
                      <w:rFonts w:hint="eastAsia" w:cs="Times New Roman"/>
                      <w:b w:val="0"/>
                      <w:bCs w:val="0"/>
                      <w:color w:val="000000" w:themeColor="text1"/>
                      <w:sz w:val="21"/>
                      <w:szCs w:val="21"/>
                      <w:highlight w:val="none"/>
                      <w:lang w:val="en-US" w:eastAsia="zh-CN"/>
                      <w14:textFill>
                        <w14:solidFill>
                          <w14:schemeClr w14:val="tx1"/>
                        </w14:solidFill>
                      </w14:textFill>
                    </w:rPr>
                    <w:t>10010.08</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t/a，生活污水排放量为2070t/a，综合废水合计为</w:t>
                  </w:r>
                  <w:r>
                    <w:rPr>
                      <w:rFonts w:hint="eastAsia" w:cs="Times New Roman"/>
                      <w:b w:val="0"/>
                      <w:bCs w:val="0"/>
                      <w:color w:val="000000" w:themeColor="text1"/>
                      <w:sz w:val="21"/>
                      <w:szCs w:val="21"/>
                      <w:highlight w:val="none"/>
                      <w:lang w:val="en-US" w:eastAsia="zh-CN"/>
                      <w14:textFill>
                        <w14:solidFill>
                          <w14:schemeClr w14:val="tx1"/>
                        </w14:solidFill>
                      </w14:textFill>
                    </w:rPr>
                    <w:t>12080.08</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t/a，均经预处理后排入园区污水处理厂进行处理，因此，CODCr（</w:t>
                  </w:r>
                  <w:r>
                    <w:rPr>
                      <w:rFonts w:hint="eastAsia" w:cs="Times New Roman"/>
                      <w:b w:val="0"/>
                      <w:bCs w:val="0"/>
                      <w:color w:val="000000" w:themeColor="text1"/>
                      <w:sz w:val="21"/>
                      <w:szCs w:val="21"/>
                      <w:highlight w:val="none"/>
                      <w:lang w:val="en-US" w:eastAsia="zh-CN"/>
                      <w14:textFill>
                        <w14:solidFill>
                          <w14:schemeClr w14:val="tx1"/>
                        </w14:solidFill>
                      </w14:textFill>
                    </w:rPr>
                    <w:t>1.680</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t/a）、NH</w:t>
                  </w:r>
                  <w:r>
                    <w:rPr>
                      <w:rFonts w:hint="eastAsia" w:ascii="Times New Roman" w:hAnsi="Times New Roman" w:eastAsia="宋体" w:cs="Times New Roman"/>
                      <w:b w:val="0"/>
                      <w:bCs w:val="0"/>
                      <w:color w:val="000000" w:themeColor="text1"/>
                      <w:sz w:val="21"/>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-N（</w:t>
                  </w:r>
                  <w:r>
                    <w:rPr>
                      <w:rFonts w:hint="eastAsia" w:cs="Times New Roman"/>
                      <w:b w:val="0"/>
                      <w:bCs w:val="0"/>
                      <w:color w:val="000000" w:themeColor="text1"/>
                      <w:sz w:val="21"/>
                      <w:szCs w:val="21"/>
                      <w:highlight w:val="none"/>
                      <w:lang w:val="en-US" w:eastAsia="zh-CN"/>
                      <w14:textFill>
                        <w14:solidFill>
                          <w14:schemeClr w14:val="tx1"/>
                        </w14:solidFill>
                      </w14:textFill>
                    </w:rPr>
                    <w:t>0.188</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t/a）纳入园区污水处理厂的总量控制指标，不需再增加新的总量分配指标。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VOCs</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总排放量为</w:t>
                  </w:r>
                  <w:r>
                    <w:rPr>
                      <w:rFonts w:hint="eastAsia" w:cs="Times New Roman"/>
                      <w:b/>
                      <w:bCs/>
                      <w:color w:val="000000" w:themeColor="text1"/>
                      <w:sz w:val="21"/>
                      <w:szCs w:val="21"/>
                      <w:highlight w:val="none"/>
                      <w:lang w:val="en-US" w:eastAsia="zh-CN"/>
                      <w14:textFill>
                        <w14:solidFill>
                          <w14:schemeClr w14:val="tx1"/>
                        </w14:solidFill>
                      </w14:textFill>
                    </w:rPr>
                    <w:t>1.022t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其中</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VOCs</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有组织排放</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量</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0.670</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t/a，</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VOCs</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无组织排放</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量</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0.352</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t/a</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氮氧化物</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总排放量为</w:t>
                  </w:r>
                  <w:r>
                    <w:rPr>
                      <w:rFonts w:hint="eastAsia" w:cs="Times New Roman"/>
                      <w:b/>
                      <w:bCs/>
                      <w:color w:val="000000" w:themeColor="text1"/>
                      <w:sz w:val="21"/>
                      <w:szCs w:val="21"/>
                      <w:highlight w:val="none"/>
                      <w:lang w:val="en-US" w:eastAsia="zh-CN"/>
                      <w14:textFill>
                        <w14:solidFill>
                          <w14:schemeClr w14:val="tx1"/>
                        </w14:solidFill>
                      </w14:textFill>
                    </w:rPr>
                    <w:t>0.34</w:t>
                  </w:r>
                  <w:r>
                    <w:rPr>
                      <w:rFonts w:hint="eastAsia"/>
                      <w:color w:val="000000" w:themeColor="text1"/>
                      <w:lang w:val="en-US" w:eastAsia="zh-CN"/>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t/a</w:t>
                  </w: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根据总量申请结果（附件9），</w:t>
                  </w: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有机物总量指标替代来源从“广东嘉盛环保高新材料股份有限公司低效治理设施改造”计划减排量中预支。氮氧化物总量指标来源</w:t>
                  </w:r>
                  <w:r>
                    <w:rPr>
                      <w:rFonts w:hint="eastAsia" w:cs="Times New Roman"/>
                      <w:b/>
                      <w:bCs/>
                      <w:color w:val="000000" w:themeColor="text1"/>
                      <w:sz w:val="21"/>
                      <w:szCs w:val="21"/>
                      <w:highlight w:val="none"/>
                      <w:lang w:val="en-US" w:eastAsia="zh-CN"/>
                      <w14:textFill>
                        <w14:solidFill>
                          <w14:schemeClr w14:val="tx1"/>
                        </w14:solidFill>
                      </w14:textFill>
                    </w:rPr>
                    <w:t>于</w:t>
                  </w: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乐昌市俊辉木材加工厂燃生物质锅炉淘汰项目、乐昌市华翔木业有限公司燃生物质锅炉淘汰项目。</w:t>
                  </w:r>
                </w:p>
              </w:tc>
              <w:tc>
                <w:tcPr>
                  <w:tcW w:w="529" w:type="pct"/>
                  <w:noWrap w:val="0"/>
                  <w:vAlign w:val="center"/>
                </w:tcPr>
                <w:p w14:paraId="3E8BE576">
                  <w:pPr>
                    <w:spacing w:line="240" w:lineRule="auto"/>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变动</w:t>
                  </w:r>
                </w:p>
              </w:tc>
              <w:tc>
                <w:tcPr>
                  <w:tcW w:w="530" w:type="pct"/>
                  <w:noWrap w:val="0"/>
                  <w:vAlign w:val="center"/>
                </w:tcPr>
                <w:p w14:paraId="2C6DDEFE">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是</w:t>
                  </w:r>
                </w:p>
              </w:tc>
            </w:tr>
            <w:tr w14:paraId="2AAC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EBB520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w:t>
                  </w:r>
                </w:p>
              </w:tc>
              <w:tc>
                <w:tcPr>
                  <w:tcW w:w="1342" w:type="pct"/>
                  <w:noWrap w:val="0"/>
                  <w:vAlign w:val="center"/>
                </w:tcPr>
                <w:p w14:paraId="158158A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重新选址；在原厂址附近调整（包括总平面布置变化）导致环境防护距离范围变化且新增敏感点的</w:t>
                  </w:r>
                </w:p>
              </w:tc>
              <w:tc>
                <w:tcPr>
                  <w:tcW w:w="1204" w:type="pct"/>
                  <w:noWrap w:val="0"/>
                  <w:vAlign w:val="center"/>
                </w:tcPr>
                <w:p w14:paraId="340E39C0">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原项目建设地点为韶关市乐昌市乐昌经济开发区管理委员会后座04</w:t>
                  </w:r>
                  <w:r>
                    <w:rPr>
                      <w:rFonts w:hint="eastAsia" w:cs="Times New Roman"/>
                      <w:b w:val="0"/>
                      <w:bCs w:val="0"/>
                      <w:color w:val="000000" w:themeColor="text1"/>
                      <w:sz w:val="21"/>
                      <w:szCs w:val="21"/>
                      <w:highlight w:val="none"/>
                      <w:lang w:val="en-US" w:eastAsia="zh-CN"/>
                      <w14:textFill>
                        <w14:solidFill>
                          <w14:schemeClr w14:val="tx1"/>
                        </w14:solidFill>
                      </w14:textFill>
                    </w:rPr>
                    <w:t>6</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号</w:t>
                  </w:r>
                </w:p>
              </w:tc>
              <w:tc>
                <w:tcPr>
                  <w:tcW w:w="1122" w:type="pct"/>
                  <w:noWrap w:val="0"/>
                  <w:vAlign w:val="center"/>
                </w:tcPr>
                <w:p w14:paraId="2E9C167D">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本项目建设地点为韶关市乐昌市乐昌经济开发区管理委员会后座04</w:t>
                  </w:r>
                  <w:r>
                    <w:rPr>
                      <w:rFonts w:hint="eastAsia" w:cs="Times New Roman"/>
                      <w:b w:val="0"/>
                      <w:bCs w:val="0"/>
                      <w:color w:val="000000" w:themeColor="text1"/>
                      <w:sz w:val="21"/>
                      <w:szCs w:val="21"/>
                      <w:highlight w:val="none"/>
                      <w:lang w:val="en-US" w:eastAsia="zh-CN"/>
                      <w14:textFill>
                        <w14:solidFill>
                          <w14:schemeClr w14:val="tx1"/>
                        </w14:solidFill>
                      </w14:textFill>
                    </w:rPr>
                    <w:t>6</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号</w:t>
                  </w:r>
                </w:p>
              </w:tc>
              <w:tc>
                <w:tcPr>
                  <w:tcW w:w="529" w:type="pct"/>
                  <w:noWrap w:val="0"/>
                  <w:vAlign w:val="center"/>
                </w:tcPr>
                <w:p w14:paraId="0AFCAC2B">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无变化</w:t>
                  </w:r>
                </w:p>
              </w:tc>
              <w:tc>
                <w:tcPr>
                  <w:tcW w:w="530" w:type="pct"/>
                  <w:noWrap w:val="0"/>
                  <w:vAlign w:val="center"/>
                </w:tcPr>
                <w:p w14:paraId="12E52A02">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r w14:paraId="4A67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0599E5DA">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w:t>
                  </w:r>
                </w:p>
              </w:tc>
              <w:tc>
                <w:tcPr>
                  <w:tcW w:w="1342" w:type="pct"/>
                  <w:noWrap w:val="0"/>
                  <w:vAlign w:val="center"/>
                </w:tcPr>
                <w:p w14:paraId="0CD88A33">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新增产品品种或生产工艺（含主要生产装置、设备及配套设施）、主要原辅材料、燃料变化，导致以下情形之一：</w:t>
                  </w:r>
                </w:p>
                <w:p w14:paraId="0818643E">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（1）新增排放污染物种类的（毒性、挥发性降低的除外）；</w:t>
                  </w:r>
                </w:p>
                <w:p w14:paraId="6B63FEE6">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（2）位于环境质量不达标区的建设项目相应污染物排放量增加的；</w:t>
                  </w:r>
                </w:p>
                <w:p w14:paraId="559460EF">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（3）废水第一类污染物排放量增加的；</w:t>
                  </w:r>
                </w:p>
                <w:p w14:paraId="4676999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（4）其他污染物排放量增加10%及以上的</w:t>
                  </w:r>
                </w:p>
              </w:tc>
              <w:tc>
                <w:tcPr>
                  <w:tcW w:w="1204" w:type="pct"/>
                  <w:noWrap w:val="0"/>
                  <w:vAlign w:val="center"/>
                </w:tcPr>
                <w:p w14:paraId="4D17AFA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原项目年产钣金件1</w:t>
                  </w:r>
                  <w:r>
                    <w:rPr>
                      <w:rFonts w:hint="eastAsia" w:cs="Times New Roman"/>
                      <w:b w:val="0"/>
                      <w:bCs w:val="0"/>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eastAsia" w:cs="Times New Roman"/>
                      <w:b w:val="0"/>
                      <w:bCs w:val="0"/>
                      <w:color w:val="000000" w:themeColor="text1"/>
                      <w:sz w:val="21"/>
                      <w:szCs w:val="21"/>
                      <w:highlight w:val="none"/>
                      <w:lang w:val="en-US" w:eastAsia="zh-CN"/>
                      <w14:textFill>
                        <w14:solidFill>
                          <w14:schemeClr w14:val="tx1"/>
                        </w14:solidFill>
                      </w14:textFill>
                    </w:rPr>
                    <w:t>万</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；主要生产工序为开料、钣金、打磨、表面预处理、烘干等工序；主要原辅材料为铝卷、</w:t>
                  </w:r>
                  <w:r>
                    <w:rPr>
                      <w:rFonts w:hint="eastAsia" w:cs="Times New Roman"/>
                      <w:b w:val="0"/>
                      <w:bCs w:val="0"/>
                      <w:color w:val="000000" w:themeColor="text1"/>
                      <w:sz w:val="21"/>
                      <w:szCs w:val="21"/>
                      <w:highlight w:val="none"/>
                      <w:lang w:val="en-US" w:eastAsia="zh-CN"/>
                      <w14:textFill>
                        <w14:solidFill>
                          <w14:schemeClr w14:val="tx1"/>
                        </w14:solidFill>
                      </w14:textFill>
                    </w:rPr>
                    <w:t>除油剂</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等</w:t>
                  </w:r>
                </w:p>
              </w:tc>
              <w:tc>
                <w:tcPr>
                  <w:tcW w:w="1122" w:type="pct"/>
                  <w:noWrap w:val="0"/>
                  <w:vAlign w:val="center"/>
                </w:tcPr>
                <w:p w14:paraId="37146593">
                  <w:pPr>
                    <w:spacing w:line="240" w:lineRule="auto"/>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本项目年产钣金件1</w:t>
                  </w:r>
                  <w:r>
                    <w:rPr>
                      <w:rFonts w:hint="eastAsia" w:cs="Times New Roman"/>
                      <w:b w:val="0"/>
                      <w:bCs w:val="0"/>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r>
                    <w:rPr>
                      <w:rFonts w:hint="eastAsia" w:cs="Times New Roman"/>
                      <w:b w:val="0"/>
                      <w:bCs w:val="0"/>
                      <w:color w:val="000000" w:themeColor="text1"/>
                      <w:sz w:val="21"/>
                      <w:szCs w:val="21"/>
                      <w:highlight w:val="none"/>
                      <w:lang w:val="en-US" w:eastAsia="zh-CN"/>
                      <w14:textFill>
                        <w14:solidFill>
                          <w14:schemeClr w14:val="tx1"/>
                        </w14:solidFill>
                      </w14:textFill>
                    </w:rPr>
                    <w:t>万</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；主要生产工序为开料、钣金、打磨、表面预处理、烘干</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喷</w:t>
                  </w:r>
                  <w:r>
                    <w:rPr>
                      <w:rFonts w:hint="eastAsia" w:cs="Times New Roman"/>
                      <w:b/>
                      <w:bCs/>
                      <w:color w:val="000000" w:themeColor="text1"/>
                      <w:sz w:val="21"/>
                      <w:szCs w:val="21"/>
                      <w:highlight w:val="none"/>
                      <w:lang w:val="en-US" w:eastAsia="zh-CN"/>
                      <w14:textFill>
                        <w14:solidFill>
                          <w14:schemeClr w14:val="tx1"/>
                        </w14:solidFill>
                      </w14:textFill>
                    </w:rPr>
                    <w:t>粉、喷漆</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、固化</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等工序；主要原辅材料为铝卷、</w:t>
                  </w:r>
                  <w:r>
                    <w:rPr>
                      <w:rFonts w:hint="eastAsia" w:cs="Times New Roman"/>
                      <w:b w:val="0"/>
                      <w:bCs w:val="0"/>
                      <w:color w:val="000000" w:themeColor="text1"/>
                      <w:sz w:val="21"/>
                      <w:szCs w:val="21"/>
                      <w:highlight w:val="none"/>
                      <w:lang w:val="en-US" w:eastAsia="zh-CN"/>
                      <w14:textFill>
                        <w14:solidFill>
                          <w14:schemeClr w14:val="tx1"/>
                        </w14:solidFill>
                      </w14:textFill>
                    </w:rPr>
                    <w:t>除油剂</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、油漆、粉末涂料等</w:t>
                  </w:r>
                </w:p>
              </w:tc>
              <w:tc>
                <w:tcPr>
                  <w:tcW w:w="529" w:type="pct"/>
                  <w:noWrap w:val="0"/>
                  <w:vAlign w:val="center"/>
                </w:tcPr>
                <w:p w14:paraId="7DADA8B5">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有变化</w:t>
                  </w:r>
                </w:p>
              </w:tc>
              <w:tc>
                <w:tcPr>
                  <w:tcW w:w="530" w:type="pct"/>
                  <w:noWrap w:val="0"/>
                  <w:vAlign w:val="center"/>
                </w:tcPr>
                <w:p w14:paraId="304472A9">
                  <w:pPr>
                    <w:spacing w:line="240" w:lineRule="auto"/>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是</w:t>
                  </w:r>
                </w:p>
              </w:tc>
            </w:tr>
            <w:tr w14:paraId="3077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A62BBA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w:t>
                  </w:r>
                </w:p>
              </w:tc>
              <w:tc>
                <w:tcPr>
                  <w:tcW w:w="1342" w:type="pct"/>
                  <w:noWrap w:val="0"/>
                  <w:vAlign w:val="center"/>
                </w:tcPr>
                <w:p w14:paraId="4ED9800E">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物料运输、装卸、贮存方式变化，导致大气污染物无组织排放量增加10%及以上的</w:t>
                  </w:r>
                </w:p>
              </w:tc>
              <w:tc>
                <w:tcPr>
                  <w:tcW w:w="1204" w:type="pct"/>
                  <w:noWrap w:val="0"/>
                  <w:vAlign w:val="center"/>
                </w:tcPr>
                <w:p w14:paraId="43B4CC3D">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1122" w:type="pct"/>
                  <w:noWrap w:val="0"/>
                  <w:vAlign w:val="center"/>
                </w:tcPr>
                <w:p w14:paraId="2172D726">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529" w:type="pct"/>
                  <w:noWrap w:val="0"/>
                  <w:vAlign w:val="center"/>
                </w:tcPr>
                <w:p w14:paraId="14E7CE0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无变化</w:t>
                  </w:r>
                </w:p>
              </w:tc>
              <w:tc>
                <w:tcPr>
                  <w:tcW w:w="530" w:type="pct"/>
                  <w:noWrap w:val="0"/>
                  <w:vAlign w:val="center"/>
                </w:tcPr>
                <w:p w14:paraId="4B8F6AF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r w14:paraId="5544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5356BD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8</w:t>
                  </w:r>
                </w:p>
              </w:tc>
              <w:tc>
                <w:tcPr>
                  <w:tcW w:w="1342" w:type="pct"/>
                  <w:noWrap w:val="0"/>
                  <w:vAlign w:val="center"/>
                </w:tcPr>
                <w:p w14:paraId="532BB0D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废气、废水污染防治措施变化，导致第6条中所列情形之一（废气无组织排放改为有组织排放、污染防治措施强化或改进的除外）或大气污染物无组织排放量增加10%及以上的</w:t>
                  </w:r>
                </w:p>
              </w:tc>
              <w:tc>
                <w:tcPr>
                  <w:tcW w:w="1204" w:type="pct"/>
                  <w:noWrap w:val="0"/>
                  <w:vAlign w:val="center"/>
                </w:tcPr>
                <w:p w14:paraId="19FECEE2">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1、原项目</w:t>
                  </w:r>
                  <w:r>
                    <w:rPr>
                      <w:rFonts w:hint="eastAsia" w:cs="Times New Roman"/>
                      <w:b w:val="0"/>
                      <w:bCs w:val="0"/>
                      <w:color w:val="000000" w:themeColor="text1"/>
                      <w:sz w:val="21"/>
                      <w:szCs w:val="21"/>
                      <w:highlight w:val="none"/>
                      <w:lang w:val="en-US" w:eastAsia="zh-CN"/>
                      <w14:textFill>
                        <w14:solidFill>
                          <w14:schemeClr w14:val="tx1"/>
                        </w14:solidFill>
                      </w14:textFill>
                    </w:rPr>
                    <w:t>打磨粉尘经布袋除尘处理后由15m排气筒DA001排放</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p w14:paraId="7D6B0441">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2、天然气燃烧废气低氮燃烧后通过排气筒DA002排放。3、原项目无组织废气通过</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设置在密闭车间内，并加强车间管理，减少无组织排放</w:t>
                  </w:r>
                </w:p>
              </w:tc>
              <w:tc>
                <w:tcPr>
                  <w:tcW w:w="1122" w:type="pct"/>
                  <w:noWrap w:val="0"/>
                  <w:vAlign w:val="center"/>
                </w:tcPr>
                <w:p w14:paraId="5D655BB7">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1、新增3套废气治理措施，分别为“</w:t>
                  </w:r>
                  <w:r>
                    <w:rPr>
                      <w:b w:val="0"/>
                      <w:color w:val="000000" w:themeColor="text1"/>
                      <w:szCs w:val="24"/>
                      <w14:textFill>
                        <w14:solidFill>
                          <w14:schemeClr w14:val="tx1"/>
                        </w14:solidFill>
                      </w14:textFill>
                    </w:rPr>
                    <w:t>密闭车间负压收集+大旋风+滤芯式二级回收系统</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”、“水帘柜喷淋+干式过滤器+活性炭吸附脱附催化燃烧”、“</w:t>
                  </w:r>
                  <w:r>
                    <w:rPr>
                      <w:rFonts w:hint="eastAsia" w:cs="Times New Roman"/>
                      <w:b w:val="0"/>
                      <w:bCs w:val="0"/>
                      <w:color w:val="000000" w:themeColor="text1"/>
                      <w:sz w:val="21"/>
                      <w:szCs w:val="21"/>
                      <w:highlight w:val="none"/>
                      <w:lang w:val="en-US" w:eastAsia="zh-CN"/>
                      <w14:textFill>
                        <w14:solidFill>
                          <w14:schemeClr w14:val="tx1"/>
                        </w14:solidFill>
                      </w14:textFill>
                    </w:rPr>
                    <w:t>喷淋塔</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+干式过滤器+</w:t>
                  </w:r>
                  <w:r>
                    <w:rPr>
                      <w:rFonts w:hint="eastAsia" w:cs="Times New Roman"/>
                      <w:b w:val="0"/>
                      <w:bCs w:val="0"/>
                      <w:color w:val="000000" w:themeColor="text1"/>
                      <w:sz w:val="21"/>
                      <w:szCs w:val="21"/>
                      <w:highlight w:val="none"/>
                      <w:lang w:val="en-US" w:eastAsia="zh-CN"/>
                      <w14:textFill>
                        <w14:solidFill>
                          <w14:schemeClr w14:val="tx1"/>
                        </w14:solidFill>
                      </w14:textFill>
                    </w:rPr>
                    <w:t>二级</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活性炭吸附”，废气收集处理达标后通过15m高排气筒</w:t>
                  </w:r>
                  <w:r>
                    <w:rPr>
                      <w:rFonts w:hint="eastAsia" w:cs="Times New Roman"/>
                      <w:b w:val="0"/>
                      <w:bCs w:val="0"/>
                      <w:color w:val="000000" w:themeColor="text1"/>
                      <w:sz w:val="21"/>
                      <w:szCs w:val="21"/>
                      <w:highlight w:val="none"/>
                      <w:lang w:val="en-US" w:eastAsia="zh-CN"/>
                      <w14:textFill>
                        <w14:solidFill>
                          <w14:schemeClr w14:val="tx1"/>
                        </w14:solidFill>
                      </w14:textFill>
                    </w:rPr>
                    <w:t>DA001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val="en-US" w:eastAsia="zh-CN"/>
                      <w14:textFill>
                        <w14:solidFill>
                          <w14:schemeClr w14:val="tx1"/>
                        </w14:solidFill>
                      </w14:textFill>
                    </w:rPr>
                    <w:t>DA002</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高空排放；</w:t>
                  </w:r>
                </w:p>
                <w:p w14:paraId="211C987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2、新增颗粒物、非甲烷总烃、苯系物、臭气浓度</w:t>
                  </w:r>
                  <w:r>
                    <w:rPr>
                      <w:rFonts w:hint="eastAsia" w:cs="Times New Roman"/>
                      <w:b w:val="0"/>
                      <w:bCs w:val="0"/>
                      <w:color w:val="000000" w:themeColor="text1"/>
                      <w:sz w:val="21"/>
                      <w:szCs w:val="21"/>
                      <w:highlight w:val="none"/>
                      <w:lang w:val="en-US" w:eastAsia="zh-CN"/>
                      <w14:textFill>
                        <w14:solidFill>
                          <w14:schemeClr w14:val="tx1"/>
                        </w14:solidFill>
                      </w14:textFill>
                    </w:rPr>
                    <w:t>、二氧化硫、氮氧化物</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排放</w:t>
                  </w:r>
                </w:p>
              </w:tc>
              <w:tc>
                <w:tcPr>
                  <w:tcW w:w="529" w:type="pct"/>
                  <w:noWrap w:val="0"/>
                  <w:vAlign w:val="center"/>
                </w:tcPr>
                <w:p w14:paraId="4D237BA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有变化</w:t>
                  </w:r>
                </w:p>
              </w:tc>
              <w:tc>
                <w:tcPr>
                  <w:tcW w:w="530" w:type="pct"/>
                  <w:noWrap w:val="0"/>
                  <w:vAlign w:val="center"/>
                </w:tcPr>
                <w:p w14:paraId="6BD81B7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是</w:t>
                  </w:r>
                </w:p>
              </w:tc>
            </w:tr>
            <w:tr w14:paraId="71C6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B875E0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p>
              </w:tc>
              <w:tc>
                <w:tcPr>
                  <w:tcW w:w="1342" w:type="pct"/>
                  <w:noWrap w:val="0"/>
                  <w:vAlign w:val="center"/>
                </w:tcPr>
                <w:p w14:paraId="29A0C6F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新增废水直接排放口；废水由间接排放改为直接排放；废水直接排放口位置变化，导致不利环境影响加重的</w:t>
                  </w:r>
                </w:p>
              </w:tc>
              <w:tc>
                <w:tcPr>
                  <w:tcW w:w="1204" w:type="pct"/>
                  <w:noWrap w:val="0"/>
                  <w:vAlign w:val="center"/>
                </w:tcPr>
                <w:p w14:paraId="44BD771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原项目</w:t>
                  </w:r>
                  <w:r>
                    <w:rPr>
                      <w:rFonts w:hint="default" w:ascii="Times New Roman" w:hAnsi="Times New Roman" w:cs="Times New Roman"/>
                      <w:color w:val="000000" w:themeColor="text1"/>
                      <w:kern w:val="2"/>
                      <w:sz w:val="21"/>
                      <w:szCs w:val="21"/>
                      <w:highlight w:val="none"/>
                      <w14:textFill>
                        <w14:solidFill>
                          <w14:schemeClr w14:val="tx1"/>
                        </w14:solidFill>
                      </w14:textFill>
                    </w:rPr>
                    <w:t>生活污水经三级化粪池</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+隔油隔渣池</w:t>
                  </w:r>
                  <w:r>
                    <w:rPr>
                      <w:rFonts w:hint="default" w:ascii="Times New Roman" w:hAnsi="Times New Roman" w:cs="Times New Roman"/>
                      <w:color w:val="000000" w:themeColor="text1"/>
                      <w:kern w:val="2"/>
                      <w:sz w:val="21"/>
                      <w:szCs w:val="21"/>
                      <w:highlight w:val="none"/>
                      <w14:textFill>
                        <w14:solidFill>
                          <w14:schemeClr w14:val="tx1"/>
                        </w14:solidFill>
                      </w14:textFill>
                    </w:rPr>
                    <w:t>处理、生产废水经企业自建污水处理站处理后，经园区污水管网排入园区污水处理厂进一步处理后，排入武江</w:t>
                  </w:r>
                </w:p>
              </w:tc>
              <w:tc>
                <w:tcPr>
                  <w:tcW w:w="1122" w:type="pct"/>
                  <w:noWrap w:val="0"/>
                  <w:vAlign w:val="center"/>
                </w:tcPr>
                <w:p w14:paraId="56462DBF">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原项目</w:t>
                  </w:r>
                  <w:r>
                    <w:rPr>
                      <w:rFonts w:hint="default" w:ascii="Times New Roman" w:hAnsi="Times New Roman" w:cs="Times New Roman"/>
                      <w:color w:val="000000" w:themeColor="text1"/>
                      <w:kern w:val="2"/>
                      <w:sz w:val="21"/>
                      <w:szCs w:val="21"/>
                      <w:highlight w:val="none"/>
                      <w14:textFill>
                        <w14:solidFill>
                          <w14:schemeClr w14:val="tx1"/>
                        </w14:solidFill>
                      </w14:textFill>
                    </w:rPr>
                    <w:t>生活污水经三级化粪池</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+隔油隔渣池</w:t>
                  </w:r>
                  <w:r>
                    <w:rPr>
                      <w:rFonts w:hint="default" w:ascii="Times New Roman" w:hAnsi="Times New Roman" w:cs="Times New Roman"/>
                      <w:color w:val="000000" w:themeColor="text1"/>
                      <w:kern w:val="2"/>
                      <w:sz w:val="21"/>
                      <w:szCs w:val="21"/>
                      <w:highlight w:val="none"/>
                      <w14:textFill>
                        <w14:solidFill>
                          <w14:schemeClr w14:val="tx1"/>
                        </w14:solidFill>
                      </w14:textFill>
                    </w:rPr>
                    <w:t>处理、生产废水经企业自建污水处理站处理后，经园区污水管网排入园区污水处理厂进一步处理后，排入武江</w:t>
                  </w:r>
                </w:p>
              </w:tc>
              <w:tc>
                <w:tcPr>
                  <w:tcW w:w="529" w:type="pct"/>
                  <w:noWrap w:val="0"/>
                  <w:vAlign w:val="center"/>
                </w:tcPr>
                <w:p w14:paraId="6CB208E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无变化</w:t>
                  </w:r>
                </w:p>
              </w:tc>
              <w:tc>
                <w:tcPr>
                  <w:tcW w:w="530" w:type="pct"/>
                  <w:noWrap w:val="0"/>
                  <w:vAlign w:val="center"/>
                </w:tcPr>
                <w:p w14:paraId="7B88A7A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r w14:paraId="6105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7A5C90BF">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w:t>
                  </w:r>
                </w:p>
              </w:tc>
              <w:tc>
                <w:tcPr>
                  <w:tcW w:w="1342" w:type="pct"/>
                  <w:noWrap w:val="0"/>
                  <w:vAlign w:val="center"/>
                </w:tcPr>
                <w:p w14:paraId="15B61A03">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新增废气主要排放口（废气无组织排放改为有组织排放的除外）；主要排放口排气筒高度降低10%及以上的</w:t>
                  </w:r>
                </w:p>
              </w:tc>
              <w:tc>
                <w:tcPr>
                  <w:tcW w:w="1204" w:type="pct"/>
                  <w:noWrap w:val="0"/>
                  <w:vAlign w:val="center"/>
                </w:tcPr>
                <w:p w14:paraId="77C1AA0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原项目不涉及废气主要排放口</w:t>
                  </w:r>
                </w:p>
              </w:tc>
              <w:tc>
                <w:tcPr>
                  <w:tcW w:w="1122" w:type="pct"/>
                  <w:noWrap w:val="0"/>
                  <w:vAlign w:val="center"/>
                </w:tcPr>
                <w:p w14:paraId="2974A688">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本项目新增固化废气主要排放口</w:t>
                  </w:r>
                  <w:r>
                    <w:rPr>
                      <w:rFonts w:hint="eastAsia" w:cs="Times New Roman"/>
                      <w:b w:val="0"/>
                      <w:bCs w:val="0"/>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个</w:t>
                  </w:r>
                </w:p>
              </w:tc>
              <w:tc>
                <w:tcPr>
                  <w:tcW w:w="529" w:type="pct"/>
                  <w:noWrap w:val="0"/>
                  <w:vAlign w:val="center"/>
                </w:tcPr>
                <w:p w14:paraId="0407206F">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变化</w:t>
                  </w:r>
                </w:p>
              </w:tc>
              <w:tc>
                <w:tcPr>
                  <w:tcW w:w="530" w:type="pct"/>
                  <w:noWrap w:val="0"/>
                  <w:vAlign w:val="center"/>
                </w:tcPr>
                <w:p w14:paraId="73BDDA61">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是</w:t>
                  </w:r>
                </w:p>
              </w:tc>
            </w:tr>
            <w:tr w14:paraId="7E97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E359354">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11</w:t>
                  </w:r>
                </w:p>
              </w:tc>
              <w:tc>
                <w:tcPr>
                  <w:tcW w:w="1342" w:type="pct"/>
                  <w:noWrap w:val="0"/>
                  <w:vAlign w:val="center"/>
                </w:tcPr>
                <w:p w14:paraId="6135DBDC">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噪声、土壤或地下水污染防治措施变化，导致不利环境影响加重的</w:t>
                  </w:r>
                </w:p>
              </w:tc>
              <w:tc>
                <w:tcPr>
                  <w:tcW w:w="1204" w:type="pct"/>
                  <w:noWrap w:val="0"/>
                  <w:vAlign w:val="center"/>
                </w:tcPr>
                <w:p w14:paraId="523AFC8B">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原项目对生产设备采取减振、隔声、吸声、消声等治理措施；厂区地面已全部硬化，危废间、物料仓库地面硬化，并刷环氧树脂漆防渗层、设置围堰，正常情况下可有效阻止地下水污染途径</w:t>
                  </w:r>
                </w:p>
              </w:tc>
              <w:tc>
                <w:tcPr>
                  <w:tcW w:w="1122" w:type="pct"/>
                  <w:noWrap w:val="0"/>
                  <w:vAlign w:val="center"/>
                </w:tcPr>
                <w:p w14:paraId="58566E26">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本项目对生产设备采取减振、隔声、吸声、消声等治理措施；厂区地面已全部硬化，危废间、物料仓库地面硬化，并刷环氧树脂漆防渗层、设置围堰，正常情况下可有效阻止地下水污染途径</w:t>
                  </w:r>
                </w:p>
              </w:tc>
              <w:tc>
                <w:tcPr>
                  <w:tcW w:w="529" w:type="pct"/>
                  <w:noWrap w:val="0"/>
                  <w:vAlign w:val="center"/>
                </w:tcPr>
                <w:p w14:paraId="49B950A4">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无变化</w:t>
                  </w:r>
                </w:p>
              </w:tc>
              <w:tc>
                <w:tcPr>
                  <w:tcW w:w="530" w:type="pct"/>
                  <w:noWrap w:val="0"/>
                  <w:vAlign w:val="center"/>
                </w:tcPr>
                <w:p w14:paraId="29CB5D63">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r w14:paraId="0676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31B05E07">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12</w:t>
                  </w:r>
                </w:p>
              </w:tc>
              <w:tc>
                <w:tcPr>
                  <w:tcW w:w="1342" w:type="pct"/>
                  <w:noWrap w:val="0"/>
                  <w:vAlign w:val="center"/>
                </w:tcPr>
                <w:p w14:paraId="075E0E6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固体废物利用处置方式由委托外单位利用处置改为自行利用处置的（自行利用处置设施单独开展环境影响评价的除外）；固体废物自行处置方式变化，导致不利环境影响加重的</w:t>
                  </w:r>
                </w:p>
              </w:tc>
              <w:tc>
                <w:tcPr>
                  <w:tcW w:w="1204" w:type="pct"/>
                  <w:noWrap w:val="0"/>
                  <w:vAlign w:val="center"/>
                </w:tcPr>
                <w:p w14:paraId="768C4BDA">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一般工业固体废物在厂内采用库房或包装工具贮存，贮存过程应满足相应防渗漏、防雨淋、防扬尘等环境保护要求，执行《一般工业固体废物贮存和填埋污染控制标准》（GB18599-2020）控制要求；危险废物贮存过程执行《危险废物贮存污染控制标准》（GB18597-2023）和《危险废物收集贮存运输技术规范》（HJ 2025-2012）。</w:t>
                  </w:r>
                </w:p>
              </w:tc>
              <w:tc>
                <w:tcPr>
                  <w:tcW w:w="1122" w:type="pct"/>
                  <w:noWrap w:val="0"/>
                  <w:vAlign w:val="center"/>
                </w:tcPr>
                <w:p w14:paraId="65E4DA04">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529" w:type="pct"/>
                  <w:noWrap w:val="0"/>
                  <w:vAlign w:val="center"/>
                </w:tcPr>
                <w:p w14:paraId="22FB9782">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无变化</w:t>
                  </w:r>
                </w:p>
              </w:tc>
              <w:tc>
                <w:tcPr>
                  <w:tcW w:w="530" w:type="pct"/>
                  <w:noWrap w:val="0"/>
                  <w:vAlign w:val="center"/>
                </w:tcPr>
                <w:p w14:paraId="6C9C939D">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r w14:paraId="3E8C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B14EC0D">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13</w:t>
                  </w:r>
                </w:p>
              </w:tc>
              <w:tc>
                <w:tcPr>
                  <w:tcW w:w="1342" w:type="pct"/>
                  <w:noWrap w:val="0"/>
                  <w:vAlign w:val="center"/>
                </w:tcPr>
                <w:p w14:paraId="6255A085">
                  <w:pPr>
                    <w:spacing w:line="240" w:lineRule="auto"/>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事故废水暂存能力或拦截设施变化，导致环境风险防范能力弱化或降低的</w:t>
                  </w:r>
                </w:p>
              </w:tc>
              <w:tc>
                <w:tcPr>
                  <w:tcW w:w="1204" w:type="pct"/>
                  <w:noWrap w:val="0"/>
                  <w:vAlign w:val="center"/>
                </w:tcPr>
                <w:p w14:paraId="682EE648">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原项目1个有效容积为</w:t>
                  </w:r>
                  <w:r>
                    <w:rPr>
                      <w:rFonts w:hint="eastAsia" w:cs="Times New Roman"/>
                      <w:b w:val="0"/>
                      <w:bCs w:val="0"/>
                      <w:color w:val="000000" w:themeColor="text1"/>
                      <w:sz w:val="21"/>
                      <w:szCs w:val="21"/>
                      <w:highlight w:val="none"/>
                      <w:lang w:val="en-US" w:eastAsia="zh-CN"/>
                      <w14:textFill>
                        <w14:solidFill>
                          <w14:schemeClr w14:val="tx1"/>
                        </w14:solidFill>
                      </w14:textFill>
                    </w:rPr>
                    <w:t>18</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的事故应急池，当发生事故时，泄漏物料、消防废水等事故废水均能截留在厂区内</w:t>
                  </w:r>
                </w:p>
              </w:tc>
              <w:tc>
                <w:tcPr>
                  <w:tcW w:w="1122" w:type="pct"/>
                  <w:noWrap w:val="0"/>
                  <w:vAlign w:val="center"/>
                </w:tcPr>
                <w:p w14:paraId="64A8ADF4">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本项目1个有效容积为</w:t>
                  </w:r>
                  <w:r>
                    <w:rPr>
                      <w:rFonts w:hint="eastAsia" w:cs="Times New Roman"/>
                      <w:b w:val="0"/>
                      <w:bCs w:val="0"/>
                      <w:color w:val="000000" w:themeColor="text1"/>
                      <w:sz w:val="21"/>
                      <w:szCs w:val="21"/>
                      <w:highlight w:val="none"/>
                      <w:lang w:val="en-US" w:eastAsia="zh-CN"/>
                      <w14:textFill>
                        <w14:solidFill>
                          <w14:schemeClr w14:val="tx1"/>
                        </w14:solidFill>
                      </w14:textFill>
                    </w:rPr>
                    <w:t>150</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的事故应急池，当发生事故时，泄漏物料、消防废水等事故废水均能截留在厂区内</w:t>
                  </w:r>
                </w:p>
              </w:tc>
              <w:tc>
                <w:tcPr>
                  <w:tcW w:w="529" w:type="pct"/>
                  <w:noWrap w:val="0"/>
                  <w:vAlign w:val="center"/>
                </w:tcPr>
                <w:p w14:paraId="4E0B61CF">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无变化</w:t>
                  </w:r>
                </w:p>
              </w:tc>
              <w:tc>
                <w:tcPr>
                  <w:tcW w:w="530" w:type="pct"/>
                  <w:noWrap w:val="0"/>
                  <w:vAlign w:val="center"/>
                </w:tcPr>
                <w:p w14:paraId="341BE16A">
                  <w:pPr>
                    <w:spacing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否</w:t>
                  </w:r>
                </w:p>
              </w:tc>
            </w:tr>
          </w:tbl>
          <w:p w14:paraId="189A6F01">
            <w:pPr>
              <w:widowControl w:val="0"/>
              <w:spacing w:line="360" w:lineRule="auto"/>
              <w:ind w:firstLine="480" w:firstLineChars="200"/>
              <w:jc w:val="both"/>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p>
          <w:p w14:paraId="70BEADBD">
            <w:pPr>
              <w:pStyle w:val="39"/>
              <w:spacing w:after="0"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eastAsia" w:cs="Times New Roman"/>
                <w:color w:val="000000" w:themeColor="text1"/>
                <w:kern w:val="0"/>
                <w:sz w:val="24"/>
                <w:szCs w:val="24"/>
                <w:highlight w:val="none"/>
                <w:lang w:val="en-US" w:eastAsia="zh-CN" w:bidi="ar-SA"/>
                <w14:textFill>
                  <w14:solidFill>
                    <w14:schemeClr w14:val="tx1"/>
                  </w14:solidFill>
                </w14:textFill>
              </w:rPr>
              <w:t>由于发生上述重大变动，</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根据《中华人民共和国环境影响评价法》第二十四条：“建设项目的环境影响评价文件经批准后，建设项目的性质、规模、地点、采用的生产工艺或者防治污染、防止生态破坏的措施发生重大变动的，建设单位应当重新报批建设项目的环境影响评价文件。”，为此，</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建设单位根</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据相关管理部门的建议，重新报批环境影响评价文件。</w:t>
            </w:r>
          </w:p>
          <w:p w14:paraId="03A4175B">
            <w:pPr>
              <w:pStyle w:val="39"/>
              <w:spacing w:after="0" w:line="360" w:lineRule="auto"/>
              <w:ind w:firstLine="480" w:firstLineChars="200"/>
              <w:rPr>
                <w:rFonts w:hint="default" w:ascii="Times New Roman" w:hAnsi="Times New Roman" w:eastAsia="宋体" w:cs="Times New Roman"/>
                <w:b/>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因此，受</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广东三筑金属制品有限公司</w:t>
            </w:r>
            <w:r>
              <w:rPr>
                <w:rFonts w:hint="default" w:ascii="Times New Roman" w:hAnsi="Times New Roman" w:eastAsia="宋体" w:cs="Times New Roman"/>
                <w:color w:val="000000" w:themeColor="text1"/>
                <w:sz w:val="24"/>
                <w:highlight w:val="none"/>
                <w14:textFill>
                  <w14:solidFill>
                    <w14:schemeClr w14:val="tx1"/>
                  </w14:solidFill>
                </w14:textFill>
              </w:rPr>
              <w:t>委托</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，我公司承担了该项目的环境影响评价工作。接受委托后，在现场踏勘和资料收集等的基础上，根据环境影响评价技术导则</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及其他有关</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文件，编制了《</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乐昌市三筑金属材料智造项目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（重新报批）</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环境影响报告表》</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27224293">
            <w:pPr>
              <w:pStyle w:val="39"/>
              <w:spacing w:after="0"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二、</w:t>
            </w:r>
            <w:r>
              <w:rPr>
                <w:rFonts w:hint="default" w:ascii="Times New Roman" w:hAnsi="Times New Roman" w:eastAsia="宋体" w:cs="Times New Roman"/>
                <w:b/>
                <w:bCs/>
                <w:color w:val="000000" w:themeColor="text1"/>
                <w:sz w:val="24"/>
                <w:highlight w:val="none"/>
                <w14:textFill>
                  <w14:solidFill>
                    <w14:schemeClr w14:val="tx1"/>
                  </w14:solidFill>
                </w14:textFill>
              </w:rPr>
              <w:t>项目内容及规模</w:t>
            </w:r>
          </w:p>
          <w:p w14:paraId="6B494F19">
            <w:pPr>
              <w:pStyle w:val="10"/>
              <w:numPr>
                <w:ilvl w:val="3"/>
                <w:numId w:val="0"/>
              </w:numPr>
              <w:suppressLineNumbers w:val="0"/>
              <w:tabs>
                <w:tab w:val="left" w:pos="420"/>
              </w:tabs>
              <w:spacing w:before="0" w:beforeAutospacing="0" w:after="0" w:afterAutospacing="0" w:line="360" w:lineRule="auto"/>
              <w:ind w:left="-960" w:right="0" w:firstLine="144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1、工程规模</w:t>
            </w:r>
          </w:p>
          <w:p w14:paraId="72E6E5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lang w:val="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本项目位于</w:t>
            </w:r>
            <w:r>
              <w:rPr>
                <w:rFonts w:hint="eastAsia" w:cs="Times New Roman"/>
                <w:color w:val="000000" w:themeColor="text1"/>
                <w:sz w:val="24"/>
                <w:szCs w:val="24"/>
                <w:highlight w:val="none"/>
                <w:lang w:eastAsia="zh-CN"/>
                <w14:textFill>
                  <w14:solidFill>
                    <w14:schemeClr w14:val="tx1"/>
                  </w14:solidFill>
                </w14:textFill>
              </w:rPr>
              <w:t>韶关市乐昌市乐昌经济开发区管理委员会后座046号</w:t>
            </w:r>
            <w:r>
              <w:rPr>
                <w:rFonts w:hint="default" w:ascii="Times New Roman" w:hAnsi="Times New Roman" w:cs="Times New Roman"/>
                <w:color w:val="000000" w:themeColor="text1"/>
                <w:sz w:val="24"/>
                <w:szCs w:val="24"/>
                <w:highlight w:val="none"/>
                <w14:textFill>
                  <w14:solidFill>
                    <w14:schemeClr w14:val="tx1"/>
                  </w14:solidFill>
                </w14:textFill>
              </w:rPr>
              <w:t>，建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设</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栋单层厂房</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1栋</w:t>
            </w:r>
            <w:r>
              <w:rPr>
                <w:rFonts w:hint="eastAsia" w:cs="Times New Roman"/>
                <w:color w:val="000000" w:themeColor="text1"/>
                <w:sz w:val="24"/>
                <w:szCs w:val="24"/>
                <w:highlight w:val="none"/>
                <w:lang w:val="en-US" w:eastAsia="zh-CN"/>
                <w14:textFill>
                  <w14:solidFill>
                    <w14:schemeClr w14:val="tx1"/>
                  </w14:solidFill>
                </w14:textFill>
              </w:rPr>
              <w:t>5层</w:t>
            </w:r>
            <w:r>
              <w:rPr>
                <w:rFonts w:hint="default" w:ascii="Times New Roman" w:hAnsi="Times New Roman" w:cs="Times New Roman"/>
                <w:color w:val="000000" w:themeColor="text1"/>
                <w:sz w:val="24"/>
                <w:szCs w:val="24"/>
                <w:highlight w:val="none"/>
                <w14:textFill>
                  <w14:solidFill>
                    <w14:schemeClr w14:val="tx1"/>
                  </w14:solidFill>
                </w14:textFill>
              </w:rPr>
              <w:t>宿舍楼</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和1栋</w:t>
            </w:r>
            <w:r>
              <w:rPr>
                <w:rFonts w:hint="eastAsia"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层综合楼</w:t>
            </w:r>
            <w:r>
              <w:rPr>
                <w:rFonts w:hint="default" w:ascii="Times New Roman" w:hAnsi="Times New Roman" w:cs="Times New Roman"/>
                <w:color w:val="000000" w:themeColor="text1"/>
                <w:sz w:val="24"/>
                <w:szCs w:val="24"/>
                <w:highlight w:val="none"/>
                <w14:textFill>
                  <w14:solidFill>
                    <w14:schemeClr w14:val="tx1"/>
                  </w14:solidFill>
                </w14:textFill>
              </w:rPr>
              <w:t>，本项目总占地面积</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54139.29</w:t>
            </w:r>
            <w:r>
              <w:rPr>
                <w:rFonts w:hint="default" w:ascii="Times New Roman" w:hAnsi="Times New Roman" w:cs="Times New Roman"/>
                <w:color w:val="000000" w:themeColor="text1"/>
                <w:sz w:val="24"/>
                <w:szCs w:val="24"/>
                <w:highlight w:val="none"/>
                <w14:textFill>
                  <w14:solidFill>
                    <w14:schemeClr w14:val="tx1"/>
                  </w14:solidFill>
                </w14:textFill>
              </w:rPr>
              <w:t>m²，总建筑面积</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43886.37</w:t>
            </w:r>
            <w:r>
              <w:rPr>
                <w:rFonts w:hint="default" w:ascii="Times New Roman" w:hAnsi="Times New Roman" w:cs="Times New Roman"/>
                <w:color w:val="000000" w:themeColor="text1"/>
                <w:sz w:val="24"/>
                <w:szCs w:val="24"/>
                <w:highlight w:val="none"/>
                <w14:textFill>
                  <w14:solidFill>
                    <w14:schemeClr w14:val="tx1"/>
                  </w14:solidFill>
                </w14:textFill>
              </w:rPr>
              <w:t>m²。项目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主要</w:t>
            </w:r>
            <w:r>
              <w:rPr>
                <w:rFonts w:hint="default" w:ascii="Times New Roman" w:hAnsi="Times New Roman" w:cs="Times New Roman"/>
                <w:color w:val="000000" w:themeColor="text1"/>
                <w:sz w:val="24"/>
                <w:szCs w:val="24"/>
                <w:highlight w:val="none"/>
                <w14:textFill>
                  <w14:solidFill>
                    <w14:schemeClr w14:val="tx1"/>
                  </w14:solidFill>
                </w14:textFill>
              </w:rPr>
              <w:t>经济技术指标</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Cs/>
                <w:color w:val="000000" w:themeColor="text1"/>
                <w:kern w:val="0"/>
                <w:sz w:val="24"/>
                <w:szCs w:val="24"/>
                <w:highlight w:val="none"/>
                <w14:textFill>
                  <w14:solidFill>
                    <w14:schemeClr w14:val="tx1"/>
                  </w14:solidFill>
                </w14:textFill>
              </w:rPr>
              <w:t>建筑物情况</w:t>
            </w:r>
            <w:r>
              <w:rPr>
                <w:rFonts w:hint="eastAsia" w:ascii="Times New Roman" w:hAnsi="Times New Roman" w:cs="Times New Roman"/>
                <w:bCs/>
                <w:color w:val="000000" w:themeColor="text1"/>
                <w:kern w:val="0"/>
                <w:sz w:val="24"/>
                <w:szCs w:val="24"/>
                <w:highlight w:val="none"/>
                <w:lang w:val="en-US" w:eastAsia="zh-CN"/>
                <w14:textFill>
                  <w14:solidFill>
                    <w14:schemeClr w14:val="tx1"/>
                  </w14:solidFill>
                </w14:textFill>
              </w:rPr>
              <w:t>及</w:t>
            </w:r>
            <w:r>
              <w:rPr>
                <w:rFonts w:hint="default" w:ascii="Times New Roman" w:hAnsi="Times New Roman" w:cs="Times New Roman"/>
                <w:color w:val="000000" w:themeColor="text1"/>
                <w:sz w:val="24"/>
                <w:szCs w:val="24"/>
                <w:highlight w:val="none"/>
                <w14:textFill>
                  <w14:solidFill>
                    <w14:schemeClr w14:val="tx1"/>
                  </w14:solidFill>
                </w14:textFill>
              </w:rPr>
              <w:t>工程组成</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等</w:t>
            </w:r>
            <w:r>
              <w:rPr>
                <w:rFonts w:hint="default" w:ascii="Times New Roman" w:hAnsi="Times New Roman" w:cs="Times New Roman"/>
                <w:color w:val="000000" w:themeColor="text1"/>
                <w:sz w:val="24"/>
                <w:szCs w:val="24"/>
                <w:highlight w:val="none"/>
                <w14:textFill>
                  <w14:solidFill>
                    <w14:schemeClr w14:val="tx1"/>
                  </w14:solidFill>
                </w14:textFill>
              </w:rPr>
              <w:t>内容见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下表</w:t>
            </w:r>
            <w:r>
              <w:rPr>
                <w:rFonts w:hint="default" w:ascii="Times New Roman" w:hAnsi="Times New Roman" w:cs="Times New Roman"/>
                <w:color w:val="000000" w:themeColor="text1"/>
                <w:sz w:val="24"/>
                <w:szCs w:val="24"/>
                <w:highlight w:val="none"/>
                <w:lang w:val="zh-CN"/>
                <w14:textFill>
                  <w14:solidFill>
                    <w14:schemeClr w14:val="tx1"/>
                  </w14:solidFill>
                </w14:textFill>
              </w:rPr>
              <w:t>。</w:t>
            </w:r>
          </w:p>
          <w:p w14:paraId="4436A3E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主要</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经济技术指标一览表</w:t>
            </w:r>
          </w:p>
          <w:tbl>
            <w:tblPr>
              <w:tblStyle w:val="13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6"/>
              <w:gridCol w:w="468"/>
              <w:gridCol w:w="474"/>
              <w:gridCol w:w="3214"/>
              <w:gridCol w:w="1826"/>
              <w:gridCol w:w="1851"/>
            </w:tblGrid>
            <w:tr w14:paraId="59782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2805" w:type="pct"/>
                  <w:gridSpan w:val="4"/>
                  <w:noWrap w:val="0"/>
                  <w:vAlign w:val="center"/>
                </w:tcPr>
                <w:p w14:paraId="61CB39ED">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名称</w:t>
                  </w:r>
                </w:p>
              </w:tc>
              <w:tc>
                <w:tcPr>
                  <w:tcW w:w="1089" w:type="pct"/>
                  <w:noWrap w:val="0"/>
                  <w:vAlign w:val="center"/>
                </w:tcPr>
                <w:p w14:paraId="590399F6">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单位</w:t>
                  </w:r>
                </w:p>
              </w:tc>
              <w:tc>
                <w:tcPr>
                  <w:tcW w:w="1104" w:type="pct"/>
                  <w:noWrap w:val="0"/>
                  <w:vAlign w:val="center"/>
                </w:tcPr>
                <w:p w14:paraId="40F82B1F">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数值</w:t>
                  </w:r>
                </w:p>
              </w:tc>
            </w:tr>
            <w:tr w14:paraId="293CC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1FE830E4">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2479" w:type="pct"/>
                  <w:gridSpan w:val="3"/>
                  <w:noWrap w:val="0"/>
                  <w:vAlign w:val="center"/>
                </w:tcPr>
                <w:p w14:paraId="0D596660">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规划总用地面积</w:t>
                  </w:r>
                </w:p>
              </w:tc>
              <w:tc>
                <w:tcPr>
                  <w:tcW w:w="1089" w:type="pct"/>
                  <w:noWrap w:val="0"/>
                  <w:vAlign w:val="center"/>
                </w:tcPr>
                <w:p w14:paraId="05D7BBC6">
                  <w:pPr>
                    <w:spacing w:line="240" w:lineRule="auto"/>
                    <w:jc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5DC5CBD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54139.29</w:t>
                  </w:r>
                </w:p>
              </w:tc>
            </w:tr>
            <w:tr w14:paraId="5CE54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071E50D1">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2479" w:type="pct"/>
                  <w:gridSpan w:val="3"/>
                  <w:noWrap w:val="0"/>
                  <w:vAlign w:val="center"/>
                </w:tcPr>
                <w:p w14:paraId="3FBA104C">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规划建设用地面积</w:t>
                  </w:r>
                </w:p>
              </w:tc>
              <w:tc>
                <w:tcPr>
                  <w:tcW w:w="1089" w:type="pct"/>
                  <w:noWrap w:val="0"/>
                  <w:vAlign w:val="center"/>
                </w:tcPr>
                <w:p w14:paraId="57B84916">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727523F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54139.29</w:t>
                  </w:r>
                </w:p>
              </w:tc>
            </w:tr>
            <w:tr w14:paraId="13964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000AC8B">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2479" w:type="pct"/>
                  <w:gridSpan w:val="3"/>
                  <w:noWrap w:val="0"/>
                  <w:vAlign w:val="center"/>
                </w:tcPr>
                <w:p w14:paraId="1EEEB765">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总建筑基底面积</w:t>
                  </w:r>
                </w:p>
              </w:tc>
              <w:tc>
                <w:tcPr>
                  <w:tcW w:w="1089" w:type="pct"/>
                  <w:noWrap w:val="0"/>
                  <w:vAlign w:val="center"/>
                </w:tcPr>
                <w:p w14:paraId="32AA9A89">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6C61A1F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32340.05</w:t>
                  </w:r>
                </w:p>
              </w:tc>
            </w:tr>
            <w:tr w14:paraId="4B1EE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58787ED4">
                  <w:pPr>
                    <w:keepNext w:val="0"/>
                    <w:keepLines w:val="0"/>
                    <w:widowControl/>
                    <w:suppressLineNumbers w:val="0"/>
                    <w:jc w:val="center"/>
                    <w:textAlignment w:val="center"/>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2479" w:type="pct"/>
                  <w:gridSpan w:val="3"/>
                  <w:noWrap w:val="0"/>
                  <w:vAlign w:val="center"/>
                </w:tcPr>
                <w:p w14:paraId="1D2A39B8">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总建筑面积</w:t>
                  </w:r>
                </w:p>
              </w:tc>
              <w:tc>
                <w:tcPr>
                  <w:tcW w:w="1089" w:type="pct"/>
                  <w:noWrap w:val="0"/>
                  <w:vAlign w:val="center"/>
                </w:tcPr>
                <w:p w14:paraId="01921F45">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6A18847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43886.37</w:t>
                  </w:r>
                </w:p>
              </w:tc>
            </w:tr>
            <w:tr w14:paraId="572A8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5D494328">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279" w:type="pct"/>
                  <w:vMerge w:val="restart"/>
                  <w:noWrap w:val="0"/>
                  <w:vAlign w:val="center"/>
                </w:tcPr>
                <w:p w14:paraId="7ECBE1B9">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其中</w:t>
                  </w:r>
                </w:p>
              </w:tc>
              <w:tc>
                <w:tcPr>
                  <w:tcW w:w="2200" w:type="pct"/>
                  <w:gridSpan w:val="2"/>
                  <w:noWrap w:val="0"/>
                  <w:vAlign w:val="center"/>
                </w:tcPr>
                <w:p w14:paraId="2EFA7C03">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地上总建筑面积</w:t>
                  </w:r>
                </w:p>
              </w:tc>
              <w:tc>
                <w:tcPr>
                  <w:tcW w:w="1089" w:type="pct"/>
                  <w:noWrap w:val="0"/>
                  <w:vAlign w:val="center"/>
                </w:tcPr>
                <w:p w14:paraId="00D41BC6">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71BA8D0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43570.27</w:t>
                  </w:r>
                </w:p>
              </w:tc>
            </w:tr>
            <w:tr w14:paraId="7BFA4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1E87A0A">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w:t>
                  </w:r>
                </w:p>
              </w:tc>
              <w:tc>
                <w:tcPr>
                  <w:tcW w:w="279" w:type="pct"/>
                  <w:vMerge w:val="continue"/>
                  <w:noWrap w:val="0"/>
                  <w:vAlign w:val="center"/>
                </w:tcPr>
                <w:p w14:paraId="3782F292">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0579484C">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综合楼</w:t>
                  </w:r>
                </w:p>
              </w:tc>
              <w:tc>
                <w:tcPr>
                  <w:tcW w:w="1089" w:type="pct"/>
                  <w:noWrap w:val="0"/>
                  <w:vAlign w:val="center"/>
                </w:tcPr>
                <w:p w14:paraId="44AB1B4B">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18412BD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9376.38</w:t>
                  </w:r>
                </w:p>
              </w:tc>
            </w:tr>
            <w:tr w14:paraId="3D688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B6E3FAE">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w:t>
                  </w:r>
                </w:p>
              </w:tc>
              <w:tc>
                <w:tcPr>
                  <w:tcW w:w="279" w:type="pct"/>
                  <w:vMerge w:val="continue"/>
                  <w:noWrap w:val="0"/>
                  <w:vAlign w:val="center"/>
                </w:tcPr>
                <w:p w14:paraId="569431C1">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6A0E7417">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宿舍楼</w:t>
                  </w:r>
                </w:p>
              </w:tc>
              <w:tc>
                <w:tcPr>
                  <w:tcW w:w="1089" w:type="pct"/>
                  <w:noWrap w:val="0"/>
                  <w:vAlign w:val="center"/>
                </w:tcPr>
                <w:p w14:paraId="56AF2D8D">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49B317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3734.40</w:t>
                  </w:r>
                </w:p>
              </w:tc>
            </w:tr>
            <w:tr w14:paraId="17F64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4B831C26">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279" w:type="pct"/>
                  <w:vMerge w:val="continue"/>
                  <w:noWrap w:val="0"/>
                  <w:vAlign w:val="center"/>
                </w:tcPr>
                <w:p w14:paraId="15F071BC">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3FB5AF2C">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1#厂房</w:t>
                  </w:r>
                </w:p>
              </w:tc>
              <w:tc>
                <w:tcPr>
                  <w:tcW w:w="1089" w:type="pct"/>
                  <w:noWrap w:val="0"/>
                  <w:vAlign w:val="center"/>
                </w:tcPr>
                <w:p w14:paraId="54C97CC2">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6A4D607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6272.00</w:t>
                  </w:r>
                </w:p>
              </w:tc>
            </w:tr>
            <w:tr w14:paraId="4167A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7B01DA73">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w:t>
                  </w:r>
                </w:p>
              </w:tc>
              <w:tc>
                <w:tcPr>
                  <w:tcW w:w="279" w:type="pct"/>
                  <w:vMerge w:val="continue"/>
                  <w:noWrap w:val="0"/>
                  <w:vAlign w:val="center"/>
                </w:tcPr>
                <w:p w14:paraId="07D020DD">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1B20183D">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2#厂房</w:t>
                  </w:r>
                </w:p>
              </w:tc>
              <w:tc>
                <w:tcPr>
                  <w:tcW w:w="1089" w:type="pct"/>
                  <w:noWrap w:val="0"/>
                  <w:vAlign w:val="center"/>
                </w:tcPr>
                <w:p w14:paraId="7C9E83F3">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5EC330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6272.00</w:t>
                  </w:r>
                </w:p>
              </w:tc>
            </w:tr>
            <w:tr w14:paraId="3339D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jc w:val="center"/>
              </w:trPr>
              <w:tc>
                <w:tcPr>
                  <w:tcW w:w="326" w:type="pct"/>
                  <w:noWrap w:val="0"/>
                  <w:vAlign w:val="center"/>
                </w:tcPr>
                <w:p w14:paraId="23B6608C">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p>
              </w:tc>
              <w:tc>
                <w:tcPr>
                  <w:tcW w:w="279" w:type="pct"/>
                  <w:vMerge w:val="continue"/>
                  <w:noWrap w:val="0"/>
                  <w:vAlign w:val="center"/>
                </w:tcPr>
                <w:p w14:paraId="141FF55F">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393DAFF4">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3#厂房</w:t>
                  </w:r>
                </w:p>
              </w:tc>
              <w:tc>
                <w:tcPr>
                  <w:tcW w:w="1089" w:type="pct"/>
                  <w:noWrap w:val="0"/>
                  <w:vAlign w:val="center"/>
                </w:tcPr>
                <w:p w14:paraId="4CB3D729">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1E0A092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5311.49</w:t>
                  </w:r>
                </w:p>
              </w:tc>
            </w:tr>
            <w:tr w14:paraId="5929A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326" w:type="pct"/>
                  <w:noWrap w:val="0"/>
                  <w:vAlign w:val="center"/>
                </w:tcPr>
                <w:p w14:paraId="54E40932">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w:t>
                  </w:r>
                </w:p>
              </w:tc>
              <w:tc>
                <w:tcPr>
                  <w:tcW w:w="279" w:type="pct"/>
                  <w:vMerge w:val="continue"/>
                  <w:noWrap w:val="0"/>
                  <w:vAlign w:val="center"/>
                </w:tcPr>
                <w:p w14:paraId="46F06B92">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3F1D485B">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4#厂房</w:t>
                  </w:r>
                </w:p>
              </w:tc>
              <w:tc>
                <w:tcPr>
                  <w:tcW w:w="1089" w:type="pct"/>
                  <w:noWrap w:val="0"/>
                  <w:vAlign w:val="center"/>
                </w:tcPr>
                <w:p w14:paraId="785D1CB0">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0234988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5824.00</w:t>
                  </w:r>
                </w:p>
              </w:tc>
            </w:tr>
            <w:tr w14:paraId="53FDF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4E4B1A4B">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w:t>
                  </w:r>
                </w:p>
              </w:tc>
              <w:tc>
                <w:tcPr>
                  <w:tcW w:w="279" w:type="pct"/>
                  <w:vMerge w:val="continue"/>
                  <w:noWrap w:val="0"/>
                  <w:vAlign w:val="center"/>
                </w:tcPr>
                <w:p w14:paraId="52E4804B">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16E109CA">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5#厂房</w:t>
                  </w:r>
                </w:p>
              </w:tc>
              <w:tc>
                <w:tcPr>
                  <w:tcW w:w="1089" w:type="pct"/>
                  <w:noWrap w:val="0"/>
                  <w:vAlign w:val="center"/>
                </w:tcPr>
                <w:p w14:paraId="61A0E52E">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43DE94B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6780.00</w:t>
                  </w:r>
                </w:p>
              </w:tc>
            </w:tr>
            <w:tr w14:paraId="43625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7773948">
                  <w:pPr>
                    <w:keepNext w:val="0"/>
                    <w:keepLines w:val="0"/>
                    <w:widowControl/>
                    <w:suppressLineNumbers w:val="0"/>
                    <w:jc w:val="center"/>
                    <w:textAlignment w:val="center"/>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13</w:t>
                  </w:r>
                </w:p>
              </w:tc>
              <w:tc>
                <w:tcPr>
                  <w:tcW w:w="279" w:type="pct"/>
                  <w:vMerge w:val="continue"/>
                  <w:noWrap w:val="0"/>
                  <w:vAlign w:val="center"/>
                </w:tcPr>
                <w:p w14:paraId="12CA14FF">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74BF5B9B">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地下总建筑面积</w:t>
                  </w:r>
                </w:p>
              </w:tc>
              <w:tc>
                <w:tcPr>
                  <w:tcW w:w="1089" w:type="pct"/>
                  <w:noWrap w:val="0"/>
                  <w:vAlign w:val="center"/>
                </w:tcPr>
                <w:p w14:paraId="2BE25742">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4E17929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316.10</w:t>
                  </w:r>
                </w:p>
              </w:tc>
            </w:tr>
            <w:tr w14:paraId="4AD1D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326" w:type="pct"/>
                  <w:noWrap w:val="0"/>
                  <w:vAlign w:val="center"/>
                </w:tcPr>
                <w:p w14:paraId="5C48DA7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w:t>
                  </w:r>
                </w:p>
              </w:tc>
              <w:tc>
                <w:tcPr>
                  <w:tcW w:w="279" w:type="pct"/>
                  <w:vMerge w:val="continue"/>
                  <w:noWrap w:val="0"/>
                  <w:vAlign w:val="center"/>
                </w:tcPr>
                <w:p w14:paraId="741F3098">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83" w:type="pct"/>
                  <w:noWrap w:val="0"/>
                  <w:vAlign w:val="center"/>
                </w:tcPr>
                <w:p w14:paraId="57B1694F">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其中</w:t>
                  </w:r>
                </w:p>
              </w:tc>
              <w:tc>
                <w:tcPr>
                  <w:tcW w:w="1916" w:type="pct"/>
                  <w:noWrap w:val="0"/>
                  <w:vAlign w:val="center"/>
                </w:tcPr>
                <w:p w14:paraId="6A34C220">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消防水池及泵房</w:t>
                  </w:r>
                </w:p>
              </w:tc>
              <w:tc>
                <w:tcPr>
                  <w:tcW w:w="1089" w:type="pct"/>
                  <w:noWrap w:val="0"/>
                  <w:vAlign w:val="center"/>
                </w:tcPr>
                <w:p w14:paraId="54CE2245">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3D1A049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316.10</w:t>
                  </w:r>
                </w:p>
              </w:tc>
            </w:tr>
            <w:tr w14:paraId="50AFC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0349D02E">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2479" w:type="pct"/>
                  <w:gridSpan w:val="3"/>
                  <w:noWrap w:val="0"/>
                  <w:vAlign w:val="center"/>
                </w:tcPr>
                <w:p w14:paraId="087774ED">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计容建筑面积</w:t>
                  </w:r>
                </w:p>
              </w:tc>
              <w:tc>
                <w:tcPr>
                  <w:tcW w:w="1089" w:type="pct"/>
                  <w:noWrap w:val="0"/>
                  <w:vAlign w:val="center"/>
                </w:tcPr>
                <w:p w14:paraId="0ABE6113">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5D3D8F7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79225.15</w:t>
                  </w:r>
                </w:p>
              </w:tc>
            </w:tr>
            <w:tr w14:paraId="1AC90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4BA8DA1">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16</w:t>
                  </w:r>
                </w:p>
              </w:tc>
              <w:tc>
                <w:tcPr>
                  <w:tcW w:w="279" w:type="pct"/>
                  <w:vMerge w:val="restart"/>
                  <w:noWrap w:val="0"/>
                  <w:vAlign w:val="center"/>
                </w:tcPr>
                <w:p w14:paraId="552FB68E">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其中</w:t>
                  </w:r>
                </w:p>
              </w:tc>
              <w:tc>
                <w:tcPr>
                  <w:tcW w:w="2200" w:type="pct"/>
                  <w:gridSpan w:val="2"/>
                  <w:noWrap w:val="0"/>
                  <w:vAlign w:val="center"/>
                </w:tcPr>
                <w:p w14:paraId="3B4614F0">
                  <w:pPr>
                    <w:adjustRightInd w:val="0"/>
                    <w:snapToGrid w:val="0"/>
                    <w:spacing w:line="240" w:lineRule="auto"/>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地上计容建筑面积</w:t>
                  </w:r>
                </w:p>
              </w:tc>
              <w:tc>
                <w:tcPr>
                  <w:tcW w:w="1089" w:type="pct"/>
                  <w:noWrap w:val="0"/>
                  <w:vAlign w:val="center"/>
                </w:tcPr>
                <w:p w14:paraId="6CD1E176">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6D87AA6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79225.15</w:t>
                  </w:r>
                </w:p>
              </w:tc>
            </w:tr>
            <w:tr w14:paraId="47BFA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8DDDE6A">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17</w:t>
                  </w:r>
                </w:p>
              </w:tc>
              <w:tc>
                <w:tcPr>
                  <w:tcW w:w="279" w:type="pct"/>
                  <w:vMerge w:val="continue"/>
                  <w:noWrap w:val="0"/>
                  <w:vAlign w:val="center"/>
                </w:tcPr>
                <w:p w14:paraId="5232710E">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145A3339">
                  <w:pPr>
                    <w:adjustRightInd w:val="0"/>
                    <w:snapToGrid w:val="0"/>
                    <w:spacing w:line="240" w:lineRule="auto"/>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地下计容建筑面积</w:t>
                  </w:r>
                </w:p>
              </w:tc>
              <w:tc>
                <w:tcPr>
                  <w:tcW w:w="1089" w:type="pct"/>
                  <w:noWrap w:val="0"/>
                  <w:vAlign w:val="center"/>
                </w:tcPr>
                <w:p w14:paraId="0EBFB718">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4A91259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r>
            <w:tr w14:paraId="48C38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51A8DF9">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18</w:t>
                  </w:r>
                </w:p>
              </w:tc>
              <w:tc>
                <w:tcPr>
                  <w:tcW w:w="2479" w:type="pct"/>
                  <w:gridSpan w:val="3"/>
                  <w:noWrap w:val="0"/>
                  <w:vAlign w:val="center"/>
                </w:tcPr>
                <w:p w14:paraId="2AF793F2">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不计容建筑面积</w:t>
                  </w:r>
                </w:p>
              </w:tc>
              <w:tc>
                <w:tcPr>
                  <w:tcW w:w="1089" w:type="pct"/>
                  <w:noWrap w:val="0"/>
                  <w:vAlign w:val="center"/>
                </w:tcPr>
                <w:p w14:paraId="1175D17C">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20D1396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372.20</w:t>
                  </w:r>
                </w:p>
              </w:tc>
            </w:tr>
            <w:tr w14:paraId="78C6A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7D1B06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19</w:t>
                  </w:r>
                </w:p>
              </w:tc>
              <w:tc>
                <w:tcPr>
                  <w:tcW w:w="279" w:type="pct"/>
                  <w:vMerge w:val="restart"/>
                  <w:noWrap w:val="0"/>
                  <w:vAlign w:val="center"/>
                </w:tcPr>
                <w:p w14:paraId="3EDDBE67">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其中</w:t>
                  </w:r>
                </w:p>
              </w:tc>
              <w:tc>
                <w:tcPr>
                  <w:tcW w:w="2200" w:type="pct"/>
                  <w:gridSpan w:val="2"/>
                  <w:noWrap w:val="0"/>
                  <w:vAlign w:val="center"/>
                </w:tcPr>
                <w:p w14:paraId="25C68571">
                  <w:pPr>
                    <w:adjustRightInd w:val="0"/>
                    <w:snapToGrid w:val="0"/>
                    <w:spacing w:line="240" w:lineRule="auto"/>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地上计容建筑面积</w:t>
                  </w:r>
                </w:p>
              </w:tc>
              <w:tc>
                <w:tcPr>
                  <w:tcW w:w="1089" w:type="pct"/>
                  <w:noWrap w:val="0"/>
                  <w:vAlign w:val="center"/>
                </w:tcPr>
                <w:p w14:paraId="2FB394DE">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2D50D22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r>
            <w:tr w14:paraId="1DB1C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8F3A38A">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279" w:type="pct"/>
                  <w:vMerge w:val="continue"/>
                  <w:noWrap w:val="0"/>
                  <w:vAlign w:val="center"/>
                </w:tcPr>
                <w:p w14:paraId="425D4854">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p>
              </w:tc>
              <w:tc>
                <w:tcPr>
                  <w:tcW w:w="2200" w:type="pct"/>
                  <w:gridSpan w:val="2"/>
                  <w:noWrap w:val="0"/>
                  <w:vAlign w:val="center"/>
                </w:tcPr>
                <w:p w14:paraId="1607085B">
                  <w:pPr>
                    <w:adjustRightInd w:val="0"/>
                    <w:snapToGrid w:val="0"/>
                    <w:spacing w:line="240" w:lineRule="auto"/>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地下计容建筑面积</w:t>
                  </w:r>
                </w:p>
              </w:tc>
              <w:tc>
                <w:tcPr>
                  <w:tcW w:w="1089" w:type="pct"/>
                  <w:noWrap w:val="0"/>
                  <w:vAlign w:val="center"/>
                </w:tcPr>
                <w:p w14:paraId="139C8409">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23798C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372.20</w:t>
                  </w:r>
                </w:p>
              </w:tc>
            </w:tr>
            <w:tr w14:paraId="7D60F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01869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21</w:t>
                  </w:r>
                </w:p>
              </w:tc>
              <w:tc>
                <w:tcPr>
                  <w:tcW w:w="2479" w:type="pct"/>
                  <w:gridSpan w:val="3"/>
                  <w:noWrap w:val="0"/>
                  <w:vAlign w:val="center"/>
                </w:tcPr>
                <w:p w14:paraId="6864EBBC">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绿地面积</w:t>
                  </w:r>
                </w:p>
              </w:tc>
              <w:tc>
                <w:tcPr>
                  <w:tcW w:w="1089" w:type="pct"/>
                  <w:noWrap w:val="0"/>
                  <w:vAlign w:val="center"/>
                </w:tcPr>
                <w:p w14:paraId="20F9C857">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平方米</w:t>
                  </w:r>
                </w:p>
              </w:tc>
              <w:tc>
                <w:tcPr>
                  <w:tcW w:w="1104" w:type="pct"/>
                  <w:noWrap w:val="0"/>
                  <w:vAlign w:val="center"/>
                </w:tcPr>
                <w:p w14:paraId="10924CC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8130.90</w:t>
                  </w:r>
                </w:p>
              </w:tc>
            </w:tr>
            <w:tr w14:paraId="5EF7A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185945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22</w:t>
                  </w:r>
                </w:p>
              </w:tc>
              <w:tc>
                <w:tcPr>
                  <w:tcW w:w="2479" w:type="pct"/>
                  <w:gridSpan w:val="3"/>
                  <w:noWrap w:val="0"/>
                  <w:vAlign w:val="center"/>
                </w:tcPr>
                <w:p w14:paraId="37EAE506">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绿地率</w:t>
                  </w:r>
                </w:p>
              </w:tc>
              <w:tc>
                <w:tcPr>
                  <w:tcW w:w="1089" w:type="pct"/>
                  <w:noWrap w:val="0"/>
                  <w:vAlign w:val="center"/>
                </w:tcPr>
                <w:p w14:paraId="687D99B8">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104" w:type="pct"/>
                  <w:noWrap w:val="0"/>
                  <w:vAlign w:val="center"/>
                </w:tcPr>
                <w:p w14:paraId="1AF0054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15.02</w:t>
                  </w:r>
                </w:p>
              </w:tc>
            </w:tr>
            <w:tr w14:paraId="08BD4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EC6B5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2479" w:type="pct"/>
                  <w:gridSpan w:val="3"/>
                  <w:noWrap w:val="0"/>
                  <w:vAlign w:val="center"/>
                </w:tcPr>
                <w:p w14:paraId="6741ACE5">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容积率</w:t>
                  </w:r>
                </w:p>
              </w:tc>
              <w:tc>
                <w:tcPr>
                  <w:tcW w:w="1089" w:type="pct"/>
                  <w:noWrap w:val="0"/>
                  <w:vAlign w:val="center"/>
                </w:tcPr>
                <w:p w14:paraId="3A45F6B8">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w:t>
                  </w:r>
                </w:p>
              </w:tc>
              <w:tc>
                <w:tcPr>
                  <w:tcW w:w="1104" w:type="pct"/>
                  <w:noWrap w:val="0"/>
                  <w:vAlign w:val="center"/>
                </w:tcPr>
                <w:p w14:paraId="1F97243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1.46</w:t>
                  </w:r>
                </w:p>
              </w:tc>
            </w:tr>
            <w:tr w14:paraId="718FC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1DBF21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24</w:t>
                  </w:r>
                </w:p>
              </w:tc>
              <w:tc>
                <w:tcPr>
                  <w:tcW w:w="2479" w:type="pct"/>
                  <w:gridSpan w:val="3"/>
                  <w:noWrap w:val="0"/>
                  <w:vAlign w:val="center"/>
                </w:tcPr>
                <w:p w14:paraId="389BB3E8">
                  <w:pPr>
                    <w:adjustRightInd w:val="0"/>
                    <w:snapToGrid w:val="0"/>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建筑密度</w:t>
                  </w:r>
                </w:p>
              </w:tc>
              <w:tc>
                <w:tcPr>
                  <w:tcW w:w="1089" w:type="pct"/>
                  <w:noWrap w:val="0"/>
                  <w:vAlign w:val="center"/>
                </w:tcPr>
                <w:p w14:paraId="465AABE2">
                  <w:pPr>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104" w:type="pct"/>
                  <w:noWrap w:val="0"/>
                  <w:vAlign w:val="center"/>
                </w:tcPr>
                <w:p w14:paraId="56DD720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59.73</w:t>
                  </w:r>
                </w:p>
              </w:tc>
            </w:tr>
            <w:tr w14:paraId="3227E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7194B8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2479" w:type="pct"/>
                  <w:gridSpan w:val="3"/>
                  <w:noWrap w:val="0"/>
                  <w:vAlign w:val="center"/>
                </w:tcPr>
                <w:p w14:paraId="180872D0">
                  <w:pPr>
                    <w:adjustRightInd w:val="0"/>
                    <w:snapToGrid w:val="0"/>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机动车停车位(小型汽车为标准当量)</w:t>
                  </w:r>
                </w:p>
              </w:tc>
              <w:tc>
                <w:tcPr>
                  <w:tcW w:w="1089" w:type="pct"/>
                  <w:noWrap w:val="0"/>
                  <w:vAlign w:val="center"/>
                </w:tcPr>
                <w:p w14:paraId="4A80E1FF">
                  <w:pPr>
                    <w:spacing w:line="240" w:lineRule="auto"/>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个</w:t>
                  </w:r>
                </w:p>
              </w:tc>
              <w:tc>
                <w:tcPr>
                  <w:tcW w:w="1104" w:type="pct"/>
                  <w:noWrap w:val="0"/>
                  <w:vAlign w:val="center"/>
                </w:tcPr>
                <w:p w14:paraId="7FAD78B2">
                  <w:pPr>
                    <w:widowControl w:val="0"/>
                    <w:kinsoku/>
                    <w:autoSpaceDE/>
                    <w:autoSpaceDN/>
                    <w:adjustRightInd/>
                    <w:snapToGrid/>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132</w:t>
                  </w:r>
                </w:p>
              </w:tc>
            </w:tr>
          </w:tbl>
          <w:p w14:paraId="6E19ECFC">
            <w:pPr>
              <w:keepNext w:val="0"/>
              <w:keepLines w:val="0"/>
              <w:pageBreakBefore w:val="0"/>
              <w:widowControl w:val="0"/>
              <w:kinsoku/>
              <w:wordWrap/>
              <w:overflowPunct/>
              <w:topLinePunct w:val="0"/>
              <w:autoSpaceDE/>
              <w:autoSpaceDN/>
              <w:bidi w:val="0"/>
              <w:adjustRightInd/>
              <w:snapToGrid/>
              <w:spacing w:line="120" w:lineRule="auto"/>
              <w:ind w:firstLine="361" w:firstLineChars="200"/>
              <w:textAlignment w:val="auto"/>
              <w:rPr>
                <w:rFonts w:hint="default" w:ascii="Times New Roman" w:hAnsi="Times New Roman" w:cs="Times New Roman"/>
                <w:b/>
                <w:color w:val="000000" w:themeColor="text1"/>
                <w:sz w:val="18"/>
                <w:szCs w:val="18"/>
                <w:highlight w:val="none"/>
                <w14:textFill>
                  <w14:solidFill>
                    <w14:schemeClr w14:val="tx1"/>
                  </w14:solidFill>
                </w14:textFill>
              </w:rPr>
            </w:pPr>
          </w:p>
          <w:p w14:paraId="3BD816D4">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建筑物</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一览表</w:t>
            </w:r>
          </w:p>
          <w:tbl>
            <w:tblPr>
              <w:tblStyle w:val="44"/>
              <w:tblW w:w="84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7"/>
              <w:gridCol w:w="1275"/>
              <w:gridCol w:w="1909"/>
              <w:gridCol w:w="1350"/>
              <w:gridCol w:w="2756"/>
            </w:tblGrid>
            <w:tr w14:paraId="6D97C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E1C0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建筑名称</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2B84AF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建筑层数</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56586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总</w:t>
                  </w: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建筑面积（m</w:t>
                  </w:r>
                  <w:r>
                    <w:rPr>
                      <w:rFonts w:hint="default" w:ascii="Times New Roman" w:hAnsi="Times New Roman" w:eastAsia="宋体" w:cs="Times New Roman"/>
                      <w:b/>
                      <w:bCs/>
                      <w:i w:val="0"/>
                      <w:iCs w:val="0"/>
                      <w:color w:val="000000" w:themeColor="text1"/>
                      <w:sz w:val="21"/>
                      <w:szCs w:val="21"/>
                      <w:highlight w:val="none"/>
                      <w:u w:val="none"/>
                      <w:vertAlign w:val="superscript"/>
                      <w:lang w:val="en-US" w:eastAsia="zh-CN"/>
                      <w14:textFill>
                        <w14:solidFill>
                          <w14:schemeClr w14:val="tx1"/>
                        </w14:solidFill>
                      </w14:textFill>
                    </w:rPr>
                    <w:t>2</w:t>
                  </w: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09C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高（m）</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7A280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建筑功能</w:t>
                  </w:r>
                </w:p>
              </w:tc>
            </w:tr>
            <w:tr w14:paraId="36159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79EB8692">
                  <w:pPr>
                    <w:adjustRightInd w:val="0"/>
                    <w:snapToGrid w:val="0"/>
                    <w:spacing w:line="240" w:lineRule="auto"/>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综合楼</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49B2C8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9F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0D908E0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9376.38</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3CDCB5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39.60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71D915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一至六层为研发车间，七至九层为办公室</w:t>
                  </w:r>
                </w:p>
              </w:tc>
            </w:tr>
            <w:tr w14:paraId="67811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2BCB6FBC">
                  <w:pPr>
                    <w:adjustRightInd w:val="0"/>
                    <w:snapToGrid w:val="0"/>
                    <w:spacing w:line="240" w:lineRule="auto"/>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宿舍楼</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693331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5</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66DA004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3734.40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8F6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20.10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65D6F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宿舍</w:t>
                  </w:r>
                </w:p>
              </w:tc>
            </w:tr>
            <w:tr w14:paraId="2FFC9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5468F9E4">
                  <w:pPr>
                    <w:adjustRightInd w:val="0"/>
                    <w:snapToGrid w:val="0"/>
                    <w:spacing w:line="240" w:lineRule="auto"/>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519DA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7C0535D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6272.00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354208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16C647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开料、冲压车间</w:t>
                  </w:r>
                </w:p>
              </w:tc>
            </w:tr>
            <w:tr w14:paraId="0D9AC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052D86B3">
                  <w:pPr>
                    <w:adjustRightInd w:val="0"/>
                    <w:snapToGrid w:val="0"/>
                    <w:spacing w:line="240" w:lineRule="auto"/>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6EB5F4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568010F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6272.00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6A9FB6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2F1C9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折弯车间</w:t>
                  </w:r>
                </w:p>
              </w:tc>
            </w:tr>
            <w:tr w14:paraId="5447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A806284">
                  <w:pPr>
                    <w:adjustRightInd w:val="0"/>
                    <w:snapToGrid w:val="0"/>
                    <w:spacing w:line="240" w:lineRule="auto"/>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7A2C7B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0D980B4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5311.49</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9963C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7B543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焊接、抛光打磨车间</w:t>
                  </w:r>
                </w:p>
              </w:tc>
            </w:tr>
            <w:tr w14:paraId="5F5B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53EE9241">
                  <w:pPr>
                    <w:adjustRightInd w:val="0"/>
                    <w:snapToGrid w:val="0"/>
                    <w:spacing w:line="240" w:lineRule="auto"/>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29682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32968F1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5824.00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77E58D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29C12C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喷漆、喷粉、固化</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组装车间</w:t>
                  </w:r>
                </w:p>
              </w:tc>
            </w:tr>
            <w:tr w14:paraId="33B7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B0BBB18">
                  <w:pPr>
                    <w:adjustRightInd w:val="0"/>
                    <w:snapToGrid w:val="0"/>
                    <w:spacing w:line="240" w:lineRule="auto"/>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32CB9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15E06B0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6780.00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993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45B9F0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工件表面预处理</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车间</w:t>
                  </w:r>
                </w:p>
              </w:tc>
            </w:tr>
          </w:tbl>
          <w:p w14:paraId="33B201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000000" w:themeColor="text1"/>
                <w:sz w:val="24"/>
                <w:szCs w:val="24"/>
                <w:highlight w:val="none"/>
                <w:lang w:val="zh-CN"/>
                <w14:textFill>
                  <w14:solidFill>
                    <w14:schemeClr w14:val="tx1"/>
                  </w14:solidFill>
                </w14:textFill>
              </w:rPr>
            </w:pPr>
          </w:p>
          <w:p w14:paraId="19F8B4A2">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工程组成一览表</w:t>
            </w:r>
          </w:p>
          <w:tbl>
            <w:tblPr>
              <w:tblStyle w:val="44"/>
              <w:tblW w:w="503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1"/>
              <w:gridCol w:w="1074"/>
              <w:gridCol w:w="1228"/>
              <w:gridCol w:w="5513"/>
            </w:tblGrid>
            <w:tr w14:paraId="0F4B5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tcBorders>
                    <w:top w:val="single" w:color="000000" w:sz="4" w:space="0"/>
                    <w:left w:val="single" w:color="000000" w:sz="4" w:space="0"/>
                    <w:bottom w:val="single" w:color="000000" w:sz="4" w:space="0"/>
                    <w:right w:val="single" w:color="000000" w:sz="4" w:space="0"/>
                  </w:tcBorders>
                  <w:noWrap w:val="0"/>
                  <w:vAlign w:val="center"/>
                </w:tcPr>
                <w:p w14:paraId="7662C7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635CBB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项目类别</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007A7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建设内容</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52878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位置、用途、占地面积</w:t>
                  </w:r>
                </w:p>
              </w:tc>
            </w:tr>
            <w:tr w14:paraId="2EDC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right w:val="single" w:color="000000" w:sz="4" w:space="0"/>
                  </w:tcBorders>
                  <w:noWrap w:val="0"/>
                  <w:vAlign w:val="center"/>
                </w:tcPr>
                <w:p w14:paraId="37DE46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635" w:type="pct"/>
                  <w:vMerge w:val="restart"/>
                  <w:tcBorders>
                    <w:top w:val="single" w:color="000000" w:sz="4" w:space="0"/>
                    <w:left w:val="single" w:color="000000" w:sz="4" w:space="0"/>
                    <w:right w:val="single" w:color="000000" w:sz="4" w:space="0"/>
                  </w:tcBorders>
                  <w:noWrap w:val="0"/>
                  <w:vAlign w:val="center"/>
                </w:tcPr>
                <w:p w14:paraId="5A67DC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主体工程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4FAF5ED">
                  <w:pPr>
                    <w:adjustRightInd w:val="0"/>
                    <w:snapToGrid w:val="0"/>
                    <w:spacing w:line="240" w:lineRule="auto"/>
                    <w:jc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2F5237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位于</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#厂房，为1层建筑，建筑面积</w:t>
                  </w:r>
                  <w:r>
                    <w:rPr>
                      <w:rFonts w:hint="eastAsia"/>
                      <w:color w:val="000000" w:themeColor="text1"/>
                      <w:highlight w:val="none"/>
                      <w14:textFill>
                        <w14:solidFill>
                          <w14:schemeClr w14:val="tx1"/>
                        </w14:solidFill>
                      </w14:textFill>
                    </w:rPr>
                    <w:t>6272.00</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，设置在项目</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中心以西南处</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，主要工序为：</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开料、</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冲压等工序</w:t>
                  </w:r>
                </w:p>
              </w:tc>
            </w:tr>
            <w:tr w14:paraId="70B7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79" w:type="pct"/>
                  <w:vMerge w:val="continue"/>
                  <w:tcBorders>
                    <w:left w:val="single" w:color="000000" w:sz="4" w:space="0"/>
                    <w:right w:val="single" w:color="000000" w:sz="4" w:space="0"/>
                  </w:tcBorders>
                  <w:noWrap w:val="0"/>
                  <w:vAlign w:val="center"/>
                </w:tcPr>
                <w:p w14:paraId="6EA10F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6D87D0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DD1B49C">
                  <w:pPr>
                    <w:adjustRightInd w:val="0"/>
                    <w:snapToGrid w:val="0"/>
                    <w:spacing w:line="240" w:lineRule="auto"/>
                    <w:jc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4828D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位于</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#厂房，为1层建筑，建筑面积6272.00</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，设置在项目</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中心以西处</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，主要工序为：折弯工序</w:t>
                  </w:r>
                </w:p>
              </w:tc>
            </w:tr>
            <w:tr w14:paraId="6CE11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710BCC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767EAE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D4A2B25">
                  <w:pPr>
                    <w:adjustRightInd w:val="0"/>
                    <w:snapToGrid w:val="0"/>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BA821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位于</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#厂房，为1层建筑，建筑面积5311.49</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，设置在项目</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中心以南处</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，主要工序为：焊接、抛光打磨工序</w:t>
                  </w:r>
                </w:p>
              </w:tc>
            </w:tr>
            <w:tr w14:paraId="7905C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vMerge w:val="continue"/>
                  <w:tcBorders>
                    <w:left w:val="single" w:color="000000" w:sz="4" w:space="0"/>
                    <w:right w:val="single" w:color="000000" w:sz="4" w:space="0"/>
                  </w:tcBorders>
                  <w:noWrap w:val="0"/>
                  <w:vAlign w:val="center"/>
                </w:tcPr>
                <w:p w14:paraId="05540E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7C1558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624CBF3">
                  <w:pPr>
                    <w:adjustRightInd w:val="0"/>
                    <w:snapToGrid w:val="0"/>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374CB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位于</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#厂房，为1层建筑，建筑面积5824.00</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，设置在项目</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中心处</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设置1条油粉共线，1条静电喷粉线。</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主要工序为：</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喷漆、喷粉、固化、</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组装</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工序</w:t>
                  </w:r>
                </w:p>
              </w:tc>
            </w:tr>
            <w:tr w14:paraId="27C65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bottom w:val="single" w:color="000000" w:sz="4" w:space="0"/>
                    <w:right w:val="single" w:color="000000" w:sz="4" w:space="0"/>
                  </w:tcBorders>
                  <w:noWrap w:val="0"/>
                  <w:vAlign w:val="center"/>
                </w:tcPr>
                <w:p w14:paraId="4C91FF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bottom w:val="single" w:color="000000" w:sz="4" w:space="0"/>
                    <w:right w:val="single" w:color="000000" w:sz="4" w:space="0"/>
                  </w:tcBorders>
                  <w:noWrap w:val="0"/>
                  <w:vAlign w:val="center"/>
                </w:tcPr>
                <w:p w14:paraId="773F8A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EA9E6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ADC16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位于</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#厂房，为</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层建筑，建筑面积6780.00</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，设置在项目</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北面</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。项目设有</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条</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工件</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表面预处理生产线，主要工序为：对铝卷原料进行</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脱脂</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除油、清水喷淋、钝化、烘干</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；设储存物料、产品</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仓库</w:t>
                  </w:r>
                </w:p>
              </w:tc>
            </w:tr>
            <w:tr w14:paraId="5FDE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bottom w:val="single" w:color="000000" w:sz="4" w:space="0"/>
                    <w:right w:val="single" w:color="000000" w:sz="4" w:space="0"/>
                  </w:tcBorders>
                  <w:noWrap w:val="0"/>
                  <w:vAlign w:val="center"/>
                </w:tcPr>
                <w:p w14:paraId="3B379D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635" w:type="pct"/>
                  <w:vMerge w:val="restart"/>
                  <w:tcBorders>
                    <w:top w:val="single" w:color="000000" w:sz="4" w:space="0"/>
                    <w:left w:val="single" w:color="000000" w:sz="4" w:space="0"/>
                    <w:bottom w:val="single" w:color="000000" w:sz="4" w:space="0"/>
                    <w:right w:val="single" w:color="000000" w:sz="4" w:space="0"/>
                  </w:tcBorders>
                  <w:noWrap w:val="0"/>
                  <w:vAlign w:val="center"/>
                </w:tcPr>
                <w:p w14:paraId="1066E4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辅助工程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55124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宿舍楼</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AA7CA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为</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层建筑，建筑面积</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为3734.40m</w:t>
                  </w:r>
                  <w:r>
                    <w:rPr>
                      <w:rFonts w:hint="eastAsia"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，设置在项目厂区</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东南面</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，为员工提供</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食</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宿</w:t>
                  </w:r>
                </w:p>
              </w:tc>
            </w:tr>
            <w:tr w14:paraId="2221C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9F36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E67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2CB53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综合楼</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E49C4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为</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层建筑，建筑面积为9376.38</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设置在</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项目厂区东</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北</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侧，主要用于</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产品研发及</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员工办公</w:t>
                  </w:r>
                </w:p>
              </w:tc>
            </w:tr>
            <w:tr w14:paraId="50F40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tcBorders>
                    <w:top w:val="single" w:color="000000" w:sz="4" w:space="0"/>
                    <w:left w:val="single" w:color="000000" w:sz="4" w:space="0"/>
                    <w:bottom w:val="single" w:color="000000" w:sz="4" w:space="0"/>
                    <w:right w:val="single" w:color="000000" w:sz="4" w:space="0"/>
                  </w:tcBorders>
                  <w:noWrap w:val="0"/>
                  <w:vAlign w:val="center"/>
                </w:tcPr>
                <w:p w14:paraId="10164F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53CAFF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储运工程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989B8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仓库</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1D364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依托</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位于5#厂房东南面</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，用于储存物料、产品</w:t>
                  </w:r>
                </w:p>
              </w:tc>
            </w:tr>
            <w:tr w14:paraId="0236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bottom w:val="single" w:color="000000" w:sz="4" w:space="0"/>
                    <w:right w:val="single" w:color="000000" w:sz="4" w:space="0"/>
                  </w:tcBorders>
                  <w:noWrap w:val="0"/>
                  <w:vAlign w:val="center"/>
                </w:tcPr>
                <w:p w14:paraId="4E216A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635" w:type="pct"/>
                  <w:vMerge w:val="restart"/>
                  <w:tcBorders>
                    <w:top w:val="single" w:color="000000" w:sz="4" w:space="0"/>
                    <w:left w:val="single" w:color="000000" w:sz="4" w:space="0"/>
                    <w:bottom w:val="single" w:color="000000" w:sz="4" w:space="0"/>
                    <w:right w:val="single" w:color="000000" w:sz="4" w:space="0"/>
                  </w:tcBorders>
                  <w:noWrap w:val="0"/>
                  <w:vAlign w:val="center"/>
                </w:tcPr>
                <w:p w14:paraId="0012F8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公用工程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35A49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供电</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A3929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由市政电网供给，不设备用发电机</w:t>
                  </w:r>
                </w:p>
              </w:tc>
            </w:tr>
            <w:tr w14:paraId="47FC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0426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722D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D9F03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供水</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58C7ED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由当地自来水管网供给</w:t>
                  </w:r>
                </w:p>
              </w:tc>
            </w:tr>
            <w:tr w14:paraId="26346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09E4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2D17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A709F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供气</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88633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天然气为当地管道天然气供给</w:t>
                  </w:r>
                </w:p>
              </w:tc>
            </w:tr>
            <w:tr w14:paraId="2C750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right w:val="single" w:color="000000" w:sz="4" w:space="0"/>
                  </w:tcBorders>
                  <w:noWrap w:val="0"/>
                  <w:vAlign w:val="center"/>
                </w:tcPr>
                <w:p w14:paraId="44FAA4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635" w:type="pct"/>
                  <w:vMerge w:val="restart"/>
                  <w:tcBorders>
                    <w:top w:val="single" w:color="000000" w:sz="4" w:space="0"/>
                    <w:left w:val="single" w:color="000000" w:sz="4" w:space="0"/>
                    <w:right w:val="single" w:color="000000" w:sz="4" w:space="0"/>
                  </w:tcBorders>
                  <w:noWrap w:val="0"/>
                  <w:vAlign w:val="center"/>
                </w:tcPr>
                <w:p w14:paraId="36808F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环保工程</w:t>
                  </w:r>
                </w:p>
              </w:tc>
              <w:tc>
                <w:tcPr>
                  <w:tcW w:w="726" w:type="pct"/>
                  <w:vMerge w:val="restart"/>
                  <w:tcBorders>
                    <w:top w:val="single" w:color="000000" w:sz="4" w:space="0"/>
                    <w:left w:val="single" w:color="000000" w:sz="4" w:space="0"/>
                    <w:right w:val="single" w:color="000000" w:sz="4" w:space="0"/>
                  </w:tcBorders>
                  <w:noWrap w:val="0"/>
                  <w:vAlign w:val="center"/>
                </w:tcPr>
                <w:p w14:paraId="5F7871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废气</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84511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切割粉尘、</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焊接烟尘</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在车间无组织排放，经加强车间通风处理</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b w:val="0"/>
                      <w:color w:val="000000" w:themeColor="text1"/>
                      <w:szCs w:val="24"/>
                      <w:lang w:val="en-US" w:eastAsia="zh-CN"/>
                      <w14:textFill>
                        <w14:solidFill>
                          <w14:schemeClr w14:val="tx1"/>
                        </w14:solidFill>
                      </w14:textFill>
                    </w:rPr>
                    <w:t>喷粉线粉尘经“</w:t>
                  </w:r>
                  <w:r>
                    <w:rPr>
                      <w:b w:val="0"/>
                      <w:color w:val="000000" w:themeColor="text1"/>
                      <w:szCs w:val="24"/>
                      <w14:textFill>
                        <w14:solidFill>
                          <w14:schemeClr w14:val="tx1"/>
                        </w14:solidFill>
                      </w14:textFill>
                    </w:rPr>
                    <w:t>密闭车间负压收集+大旋风+滤芯式二级回收系统</w:t>
                  </w:r>
                  <w:r>
                    <w:rPr>
                      <w:rFonts w:hint="eastAsia"/>
                      <w:b w:val="0"/>
                      <w:color w:val="000000" w:themeColor="text1"/>
                      <w:szCs w:val="24"/>
                      <w:lang w:eastAsia="zh-CN"/>
                      <w14:textFill>
                        <w14:solidFill>
                          <w14:schemeClr w14:val="tx1"/>
                        </w14:solidFill>
                      </w14:textFill>
                    </w:rPr>
                    <w:t>”</w:t>
                  </w:r>
                  <w:r>
                    <w:rPr>
                      <w:rFonts w:hint="eastAsia"/>
                      <w:b w:val="0"/>
                      <w:color w:val="000000" w:themeColor="text1"/>
                      <w:szCs w:val="24"/>
                      <w:lang w:val="en-US" w:eastAsia="zh-CN"/>
                      <w14:textFill>
                        <w14:solidFill>
                          <w14:schemeClr w14:val="tx1"/>
                        </w14:solidFill>
                      </w14:textFill>
                    </w:rPr>
                    <w:t>处理后无组织排放</w:t>
                  </w:r>
                </w:p>
              </w:tc>
            </w:tr>
            <w:tr w14:paraId="34BE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B9121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0B4BDF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vMerge w:val="continue"/>
                  <w:tcBorders>
                    <w:left w:val="single" w:color="000000" w:sz="4" w:space="0"/>
                    <w:right w:val="single" w:color="000000" w:sz="4" w:space="0"/>
                  </w:tcBorders>
                  <w:noWrap w:val="0"/>
                  <w:vAlign w:val="center"/>
                </w:tcPr>
                <w:p w14:paraId="538BC8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BE5ED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抛光</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打磨</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粉尘</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经自然沉降后无组织排放于车间</w:t>
                  </w:r>
                </w:p>
              </w:tc>
            </w:tr>
            <w:tr w14:paraId="650C0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A42BB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2513BC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vMerge w:val="continue"/>
                  <w:tcBorders>
                    <w:left w:val="single" w:color="000000" w:sz="4" w:space="0"/>
                    <w:bottom w:val="single" w:color="000000" w:sz="4" w:space="0"/>
                    <w:right w:val="single" w:color="000000" w:sz="4" w:space="0"/>
                  </w:tcBorders>
                  <w:noWrap w:val="0"/>
                  <w:vAlign w:val="center"/>
                </w:tcPr>
                <w:p w14:paraId="5A3DB8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3551AD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喷漆废气通过水帘柜+</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s="Times New Roman"/>
                      <w:color w:val="000000" w:themeColor="text1"/>
                      <w:sz w:val="21"/>
                      <w:szCs w:val="21"/>
                      <w:highlight w:val="none"/>
                      <w:lang w:eastAsia="zh-CN"/>
                      <w14:textFill>
                        <w14:solidFill>
                          <w14:schemeClr w14:val="tx1"/>
                        </w14:solidFill>
                      </w14:textFill>
                    </w:rPr>
                    <w:t>活性炭吸脱附+催化燃烧+活性炭吸附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处理后，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引至15</w:t>
                  </w:r>
                  <w:r>
                    <w:rPr>
                      <w:rFonts w:hint="default" w:ascii="Times New Roman" w:hAnsi="Times New Roman" w:eastAsia="宋体" w:cs="Times New Roman"/>
                      <w:color w:val="000000" w:themeColor="text1"/>
                      <w:sz w:val="21"/>
                      <w:szCs w:val="21"/>
                      <w:highlight w:val="none"/>
                      <w14:textFill>
                        <w14:solidFill>
                          <w14:schemeClr w14:val="tx1"/>
                        </w14:solidFill>
                      </w14:textFill>
                    </w:rPr>
                    <w:t>m高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14:textFill>
                        <w14:solidFill>
                          <w14:schemeClr w14:val="tx1"/>
                        </w14:solidFill>
                      </w14:textFill>
                    </w:rPr>
                    <w:t>排气筒</w:t>
                  </w:r>
                  <w:r>
                    <w:rPr>
                      <w:rFonts w:hint="eastAsia" w:cs="Times New Roman"/>
                      <w:color w:val="000000" w:themeColor="text1"/>
                      <w:sz w:val="21"/>
                      <w:szCs w:val="21"/>
                      <w:highlight w:val="none"/>
                      <w:lang w:eastAsia="zh-CN"/>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排放</w:t>
                  </w:r>
                </w:p>
              </w:tc>
            </w:tr>
            <w:tr w14:paraId="2617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39DF6D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2B964E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vMerge w:val="continue"/>
                  <w:tcBorders>
                    <w:left w:val="single" w:color="000000" w:sz="4" w:space="0"/>
                    <w:bottom w:val="single" w:color="000000" w:sz="4" w:space="0"/>
                    <w:right w:val="single" w:color="000000" w:sz="4" w:space="0"/>
                  </w:tcBorders>
                  <w:noWrap w:val="0"/>
                  <w:vAlign w:val="center"/>
                </w:tcPr>
                <w:p w14:paraId="2B4293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6674F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固化废气</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s="Times New Roman"/>
                      <w:color w:val="000000" w:themeColor="text1"/>
                      <w:sz w:val="21"/>
                      <w:szCs w:val="21"/>
                      <w:highlight w:val="none"/>
                      <w:lang w:val="en-US" w:eastAsia="zh-CN"/>
                      <w14:textFill>
                        <w14:solidFill>
                          <w14:schemeClr w14:val="tx1"/>
                        </w14:solidFill>
                      </w14:textFill>
                    </w:rPr>
                    <w:t>二级</w:t>
                  </w:r>
                  <w:r>
                    <w:rPr>
                      <w:rFonts w:hint="default" w:ascii="Times New Roman" w:hAnsi="Times New Roman" w:eastAsia="宋体" w:cs="Times New Roman"/>
                      <w:color w:val="000000" w:themeColor="text1"/>
                      <w:sz w:val="21"/>
                      <w:szCs w:val="21"/>
                      <w:highlight w:val="none"/>
                      <w14:textFill>
                        <w14:solidFill>
                          <w14:schemeClr w14:val="tx1"/>
                        </w14:solidFill>
                      </w14:textFill>
                    </w:rPr>
                    <w:t>活性炭</w:t>
                  </w:r>
                  <w:r>
                    <w:rPr>
                      <w:rFonts w:hint="eastAsia" w:cs="Times New Roman"/>
                      <w:color w:val="000000" w:themeColor="text1"/>
                      <w:sz w:val="21"/>
                      <w:szCs w:val="21"/>
                      <w:highlight w:val="none"/>
                      <w:lang w:val="en-US" w:eastAsia="zh-CN"/>
                      <w14:textFill>
                        <w14:solidFill>
                          <w14:schemeClr w14:val="tx1"/>
                        </w14:solidFill>
                      </w14:textFill>
                    </w:rPr>
                    <w:t>吸附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处理后，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引至15</w:t>
                  </w:r>
                  <w:r>
                    <w:rPr>
                      <w:rFonts w:hint="default" w:ascii="Times New Roman" w:hAnsi="Times New Roman" w:eastAsia="宋体" w:cs="Times New Roman"/>
                      <w:color w:val="000000" w:themeColor="text1"/>
                      <w:sz w:val="21"/>
                      <w:szCs w:val="21"/>
                      <w:highlight w:val="none"/>
                      <w14:textFill>
                        <w14:solidFill>
                          <w14:schemeClr w14:val="tx1"/>
                        </w14:solidFill>
                      </w14:textFill>
                    </w:rPr>
                    <w:t>m高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14:textFill>
                        <w14:solidFill>
                          <w14:schemeClr w14:val="tx1"/>
                        </w14:solidFill>
                      </w14:textFill>
                    </w:rPr>
                    <w:t>排气筒</w:t>
                  </w:r>
                  <w:r>
                    <w:rPr>
                      <w:rFonts w:hint="eastAsia" w:cs="Times New Roman"/>
                      <w:color w:val="000000" w:themeColor="text1"/>
                      <w:sz w:val="21"/>
                      <w:szCs w:val="21"/>
                      <w:highlight w:val="none"/>
                      <w:lang w:eastAsia="zh-CN"/>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排放</w:t>
                  </w:r>
                </w:p>
              </w:tc>
            </w:tr>
            <w:tr w14:paraId="1E19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79" w:type="pct"/>
                  <w:vMerge w:val="continue"/>
                  <w:tcBorders>
                    <w:left w:val="single" w:color="000000" w:sz="4" w:space="0"/>
                    <w:right w:val="single" w:color="000000" w:sz="4" w:space="0"/>
                  </w:tcBorders>
                  <w:noWrap w:val="0"/>
                  <w:vAlign w:val="center"/>
                </w:tcPr>
                <w:p w14:paraId="2AE66B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4C41A7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vMerge w:val="continue"/>
                  <w:tcBorders>
                    <w:left w:val="single" w:color="000000" w:sz="4" w:space="0"/>
                    <w:bottom w:val="single" w:color="000000" w:sz="4" w:space="0"/>
                    <w:right w:val="single" w:color="000000" w:sz="4" w:space="0"/>
                  </w:tcBorders>
                  <w:noWrap w:val="0"/>
                  <w:vAlign w:val="center"/>
                </w:tcPr>
                <w:p w14:paraId="2D4D87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BB094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食堂油烟</w:t>
                  </w:r>
                  <w:r>
                    <w:rPr>
                      <w:rFonts w:hint="eastAsia" w:cs="Times New Roman"/>
                      <w:color w:val="000000" w:themeColor="text1"/>
                      <w:sz w:val="21"/>
                      <w:szCs w:val="21"/>
                      <w:highlight w:val="none"/>
                      <w:vertAlign w:val="baseline"/>
                      <w:lang w:val="en-US" w:eastAsia="zh-CN"/>
                      <w14:textFill>
                        <w14:solidFill>
                          <w14:schemeClr w14:val="tx1"/>
                        </w14:solidFill>
                      </w14:textFill>
                    </w:rPr>
                    <w:t>收集后经1套“高效静电油烟净化器”处理后引至宿舍楼一层天面的专用排烟管DA003进行排放</w:t>
                  </w:r>
                </w:p>
              </w:tc>
            </w:tr>
            <w:tr w14:paraId="16E5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80E13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7B53D9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1F7F5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废水</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179932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生产废水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自建污水处理站</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（处理工艺：中和调节+混凝沉淀+气浮+化学除氟）</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处理</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后、</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生活污水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“三级化粪池</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+隔油隔渣池</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”预处理后排入园区污水处理厂进一步处理，处理达标后通过出水管道输送尾水，经废水排放口（WS-LC005001）排放至榴村霜降坑河，最终流入武江</w:t>
                  </w:r>
                </w:p>
              </w:tc>
            </w:tr>
            <w:tr w14:paraId="7F01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3D77A7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774EAF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vMerge w:val="restart"/>
                  <w:tcBorders>
                    <w:top w:val="single" w:color="000000" w:sz="4" w:space="0"/>
                    <w:left w:val="single" w:color="000000" w:sz="4" w:space="0"/>
                    <w:bottom w:val="single" w:color="000000" w:sz="4" w:space="0"/>
                    <w:right w:val="single" w:color="000000" w:sz="4" w:space="0"/>
                  </w:tcBorders>
                  <w:noWrap w:val="0"/>
                  <w:vAlign w:val="center"/>
                </w:tcPr>
                <w:p w14:paraId="03EC84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固废</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2206D8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设一个</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一般固体废物暂存间</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，建筑</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面积20</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平方米</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，设置于</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#厂房内部</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东北</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侧，用于一般固废暂存</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经收集暂存后交专业单位回收处理</w:t>
                  </w:r>
                </w:p>
              </w:tc>
            </w:tr>
            <w:tr w14:paraId="01419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87AA5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right w:val="single" w:color="000000" w:sz="4" w:space="0"/>
                  </w:tcBorders>
                  <w:noWrap w:val="0"/>
                  <w:vAlign w:val="center"/>
                </w:tcPr>
                <w:p w14:paraId="1D12EF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9A95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1C98B8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设一个</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危险废物贮存间</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，建筑</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面积</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平方米</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，设置于</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#厂房内部</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东北</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侧，用于危险废物存放</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危险废物</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经收集暂存后交由有</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危险废物</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处理资质的单位处理</w:t>
                  </w:r>
                </w:p>
              </w:tc>
            </w:tr>
            <w:tr w14:paraId="13039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bottom w:val="single" w:color="000000" w:sz="4" w:space="0"/>
                    <w:right w:val="single" w:color="000000" w:sz="4" w:space="0"/>
                  </w:tcBorders>
                  <w:noWrap w:val="0"/>
                  <w:vAlign w:val="center"/>
                </w:tcPr>
                <w:p w14:paraId="3FA02A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35" w:type="pct"/>
                  <w:vMerge w:val="continue"/>
                  <w:tcBorders>
                    <w:left w:val="single" w:color="000000" w:sz="4" w:space="0"/>
                    <w:bottom w:val="single" w:color="000000" w:sz="4" w:space="0"/>
                    <w:right w:val="single" w:color="000000" w:sz="4" w:space="0"/>
                  </w:tcBorders>
                  <w:noWrap w:val="0"/>
                  <w:vAlign w:val="center"/>
                </w:tcPr>
                <w:p w14:paraId="1FCB7D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3FF0A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风险防范措施</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C74A0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both"/>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本项目设置</w:t>
                  </w:r>
                  <w:r>
                    <w:rPr>
                      <w:rFonts w:hint="default" w:ascii="Times New Roman" w:hAnsi="Times New Roman" w:cs="Times New Roman"/>
                      <w:b w:val="0"/>
                      <w:bCs w:val="0"/>
                      <w:color w:val="000000" w:themeColor="text1"/>
                      <w:sz w:val="21"/>
                      <w:szCs w:val="21"/>
                      <w:highlight w:val="none"/>
                      <w14:textFill>
                        <w14:solidFill>
                          <w14:schemeClr w14:val="tx1"/>
                        </w14:solidFill>
                      </w14:textFill>
                    </w:rPr>
                    <w:t>1个有效容积为</w:t>
                  </w:r>
                  <w:r>
                    <w:rPr>
                      <w:rFonts w:hint="eastAsia" w:cs="Times New Roman"/>
                      <w:b w:val="0"/>
                      <w:bCs w:val="0"/>
                      <w:color w:val="000000" w:themeColor="text1"/>
                      <w:sz w:val="21"/>
                      <w:szCs w:val="21"/>
                      <w:highlight w:val="none"/>
                      <w:lang w:val="en-US" w:eastAsia="zh-CN"/>
                      <w14:textFill>
                        <w14:solidFill>
                          <w14:schemeClr w14:val="tx1"/>
                        </w14:solidFill>
                      </w14:textFill>
                    </w:rPr>
                    <w:t>15</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b w:val="0"/>
                      <w:bCs w:val="0"/>
                      <w:color w:val="000000" w:themeColor="text1"/>
                      <w:sz w:val="21"/>
                      <w:szCs w:val="21"/>
                      <w:highlight w:val="none"/>
                      <w14:textFill>
                        <w14:solidFill>
                          <w14:schemeClr w14:val="tx1"/>
                        </w14:solidFill>
                      </w14:textFill>
                    </w:rPr>
                    <w:t>m</w:t>
                  </w:r>
                  <w:r>
                    <w:rPr>
                      <w:rFonts w:hint="default" w:ascii="Times New Roman" w:hAnsi="Times New Roman"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val="0"/>
                      <w:bCs w:val="0"/>
                      <w:color w:val="000000" w:themeColor="text1"/>
                      <w:sz w:val="21"/>
                      <w:szCs w:val="21"/>
                      <w:highlight w:val="none"/>
                      <w14:textFill>
                        <w14:solidFill>
                          <w14:schemeClr w14:val="tx1"/>
                        </w14:solidFill>
                      </w14:textFill>
                    </w:rPr>
                    <w:t>的事故应急池</w:t>
                  </w: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用于满足消防或其他事故时废水收集需要</w:t>
                  </w:r>
                </w:p>
              </w:tc>
            </w:tr>
          </w:tbl>
          <w:p w14:paraId="4A4942F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35C10F21">
            <w:pPr>
              <w:widowControl/>
              <w:kinsoku/>
              <w:autoSpaceDE/>
              <w:autoSpaceDN/>
              <w:adjustRightInd/>
              <w:snapToGrid/>
              <w:spacing w:line="360" w:lineRule="auto"/>
              <w:ind w:firstLine="466"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spacing w:val="-4"/>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pacing w:val="-4"/>
                <w:sz w:val="24"/>
                <w:szCs w:val="24"/>
                <w:highlight w:val="none"/>
                <w14:textFill>
                  <w14:solidFill>
                    <w14:schemeClr w14:val="tx1"/>
                  </w14:solidFill>
                </w14:textFill>
              </w:rPr>
              <w:t>、产品方案</w:t>
            </w:r>
          </w:p>
          <w:p w14:paraId="21DE8668">
            <w:pPr>
              <w:keepNext w:val="0"/>
              <w:keepLines w:val="0"/>
              <w:suppressLineNumbers w:val="0"/>
              <w:tabs>
                <w:tab w:val="left" w:pos="6960"/>
              </w:tabs>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产品方案</w:t>
            </w:r>
          </w:p>
          <w:p w14:paraId="75B26249">
            <w:pPr>
              <w:keepNext w:val="0"/>
              <w:keepLines w:val="0"/>
              <w:suppressLineNumbers w:val="0"/>
              <w:tabs>
                <w:tab w:val="left" w:pos="6960"/>
              </w:tabs>
              <w:spacing w:before="0" w:beforeAutospacing="0" w:after="0" w:afterAutospacing="0"/>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本项目生产产品见下表。</w:t>
            </w:r>
          </w:p>
          <w:p w14:paraId="524ED81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产品产量一览表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72"/>
              <w:gridCol w:w="894"/>
              <w:gridCol w:w="1455"/>
              <w:gridCol w:w="1455"/>
              <w:gridCol w:w="4003"/>
            </w:tblGrid>
            <w:tr w14:paraId="41C2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9" w:hRule="atLeast"/>
                <w:jc w:val="center"/>
              </w:trPr>
              <w:tc>
                <w:tcPr>
                  <w:tcW w:w="341" w:type="pct"/>
                  <w:noWrap w:val="0"/>
                  <w:vAlign w:val="center"/>
                </w:tcPr>
                <w:p w14:paraId="15C9F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序号</w:t>
                  </w:r>
                </w:p>
              </w:tc>
              <w:tc>
                <w:tcPr>
                  <w:tcW w:w="533" w:type="pct"/>
                  <w:noWrap w:val="0"/>
                  <w:vAlign w:val="center"/>
                </w:tcPr>
                <w:p w14:paraId="26B0D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产品名称</w:t>
                  </w:r>
                </w:p>
              </w:tc>
              <w:tc>
                <w:tcPr>
                  <w:tcW w:w="868" w:type="pct"/>
                  <w:noWrap w:val="0"/>
                  <w:vAlign w:val="center"/>
                </w:tcPr>
                <w:p w14:paraId="4F9522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单位</w:t>
                  </w:r>
                </w:p>
              </w:tc>
              <w:tc>
                <w:tcPr>
                  <w:tcW w:w="868" w:type="pct"/>
                  <w:noWrap w:val="0"/>
                  <w:vAlign w:val="center"/>
                </w:tcPr>
                <w:p w14:paraId="472FA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数量</w:t>
                  </w:r>
                </w:p>
              </w:tc>
              <w:tc>
                <w:tcPr>
                  <w:tcW w:w="2387" w:type="pct"/>
                  <w:noWrap w:val="0"/>
                  <w:vAlign w:val="center"/>
                </w:tcPr>
                <w:p w14:paraId="2DF218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备注说明</w:t>
                  </w:r>
                </w:p>
              </w:tc>
            </w:tr>
            <w:tr w14:paraId="22AD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9" w:hRule="atLeast"/>
                <w:jc w:val="center"/>
              </w:trPr>
              <w:tc>
                <w:tcPr>
                  <w:tcW w:w="341" w:type="pct"/>
                  <w:noWrap w:val="0"/>
                  <w:vAlign w:val="center"/>
                </w:tcPr>
                <w:p w14:paraId="22E7F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533" w:type="pct"/>
                  <w:noWrap w:val="0"/>
                  <w:vAlign w:val="center"/>
                </w:tcPr>
                <w:p w14:paraId="237FD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铝单板</w:t>
                  </w:r>
                </w:p>
              </w:tc>
              <w:tc>
                <w:tcPr>
                  <w:tcW w:w="868" w:type="pct"/>
                  <w:noWrap w:val="0"/>
                  <w:vAlign w:val="center"/>
                </w:tcPr>
                <w:p w14:paraId="3A436033">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万m</w:t>
                  </w:r>
                  <w:r>
                    <w:rPr>
                      <w:rFonts w:hint="default"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2</w:t>
                  </w:r>
                </w:p>
              </w:tc>
              <w:tc>
                <w:tcPr>
                  <w:tcW w:w="868" w:type="pct"/>
                  <w:noWrap w:val="0"/>
                  <w:vAlign w:val="center"/>
                </w:tcPr>
                <w:p w14:paraId="4D4C86C0">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kern w:val="0"/>
                      <w:sz w:val="21"/>
                      <w:szCs w:val="21"/>
                      <w:highlight w:val="none"/>
                      <w:vertAlign w:val="baseline"/>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11</w:t>
                  </w: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0</w:t>
                  </w:r>
                </w:p>
              </w:tc>
              <w:tc>
                <w:tcPr>
                  <w:tcW w:w="2387" w:type="pct"/>
                  <w:noWrap w:val="0"/>
                  <w:vAlign w:val="center"/>
                </w:tcPr>
                <w:p w14:paraId="26BBBDDE">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外购铝卷经机加工、</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表面处理</w:t>
                  </w:r>
                  <w:r>
                    <w:rPr>
                      <w:rFonts w:hint="default" w:ascii="Times New Roman" w:hAnsi="Times New Roman" w:cs="Times New Roman"/>
                      <w:color w:val="000000" w:themeColor="text1"/>
                      <w:kern w:val="0"/>
                      <w:sz w:val="21"/>
                      <w:szCs w:val="21"/>
                      <w:highlight w:val="none"/>
                      <w14:textFill>
                        <w14:solidFill>
                          <w14:schemeClr w14:val="tx1"/>
                        </w14:solidFill>
                      </w14:textFill>
                    </w:rPr>
                    <w:t>后为</w:t>
                  </w:r>
                  <w:r>
                    <w:rPr>
                      <w:rFonts w:hint="eastAsia" w:cs="Times New Roman"/>
                      <w:color w:val="000000" w:themeColor="text1"/>
                      <w:kern w:val="0"/>
                      <w:sz w:val="21"/>
                      <w:szCs w:val="21"/>
                      <w:highlight w:val="none"/>
                      <w:lang w:val="en-US" w:eastAsia="zh-CN"/>
                      <w14:textFill>
                        <w14:solidFill>
                          <w14:schemeClr w14:val="tx1"/>
                        </w14:solidFill>
                      </w14:textFill>
                    </w:rPr>
                    <w:t>成品</w:t>
                  </w:r>
                  <w:r>
                    <w:rPr>
                      <w:rFonts w:hint="default" w:ascii="Times New Roman" w:hAnsi="Times New Roman" w:cs="Times New Roman"/>
                      <w:color w:val="000000" w:themeColor="text1"/>
                      <w:kern w:val="0"/>
                      <w:sz w:val="21"/>
                      <w:szCs w:val="21"/>
                      <w:highlight w:val="none"/>
                      <w14:textFill>
                        <w14:solidFill>
                          <w14:schemeClr w14:val="tx1"/>
                        </w14:solidFill>
                      </w14:textFill>
                    </w:rPr>
                    <w:t>钣金件，厚度控制在3.0mm左右，</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铝</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卷</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的密度为按2.7×10</w:t>
                  </w:r>
                  <w:r>
                    <w:rPr>
                      <w:rFonts w:hint="default" w:ascii="Times New Roman" w:hAnsi="Times New Roman"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千克/m</w:t>
                  </w:r>
                  <w:r>
                    <w:rPr>
                      <w:rFonts w:hint="default" w:ascii="Times New Roman" w:hAnsi="Times New Roman"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计算</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14:textFill>
                        <w14:solidFill>
                          <w14:schemeClr w14:val="tx1"/>
                        </w14:solidFill>
                      </w14:textFill>
                    </w:rPr>
                    <w:t>钣金件</w:t>
                  </w:r>
                  <w:r>
                    <w:rPr>
                      <w:rFonts w:hint="eastAsia" w:cs="Times New Roman"/>
                      <w:color w:val="000000" w:themeColor="text1"/>
                      <w:kern w:val="0"/>
                      <w:sz w:val="21"/>
                      <w:szCs w:val="21"/>
                      <w:highlight w:val="none"/>
                      <w:lang w:val="en-US" w:eastAsia="zh-CN"/>
                      <w14:textFill>
                        <w14:solidFill>
                          <w14:schemeClr w14:val="tx1"/>
                        </w14:solidFill>
                      </w14:textFill>
                    </w:rPr>
                    <w:t>经喷涂后固化成铝单板</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w:t>
                  </w:r>
                </w:p>
              </w:tc>
            </w:tr>
          </w:tbl>
          <w:p w14:paraId="32742407">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248D4343">
            <w:pPr>
              <w:pStyle w:val="10"/>
              <w:numPr>
                <w:ilvl w:val="3"/>
                <w:numId w:val="0"/>
              </w:numPr>
              <w:suppressLineNumbers w:val="0"/>
              <w:tabs>
                <w:tab w:val="left" w:pos="420"/>
              </w:tabs>
              <w:spacing w:before="0" w:beforeAutospacing="0" w:after="0" w:afterAutospacing="0" w:line="360" w:lineRule="auto"/>
              <w:ind w:right="0" w:firstLine="482" w:firstLineChars="200"/>
              <w:rPr>
                <w:rFonts w:hint="default" w:ascii="Times New Roman" w:hAnsi="Times New Roman" w:cs="Times New Roman"/>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szCs w:val="24"/>
                <w:highlight w:val="none"/>
                <w:lang w:eastAsia="zh-CN"/>
                <w14:textFill>
                  <w14:solidFill>
                    <w14:schemeClr w14:val="tx1"/>
                  </w14:solidFill>
                </w14:textFill>
              </w:rPr>
              <w:t>（</w:t>
            </w:r>
            <w:r>
              <w:rPr>
                <w:rFonts w:hint="default" w:ascii="Times New Roman" w:hAnsi="Times New Roman" w:cs="Times New Roman"/>
                <w:color w:val="000000" w:themeColor="text1"/>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Cs w:val="24"/>
                <w:highlight w:val="none"/>
                <w:lang w:eastAsia="zh-CN"/>
                <w14:textFill>
                  <w14:solidFill>
                    <w14:schemeClr w14:val="tx1"/>
                  </w14:solidFill>
                </w14:textFill>
              </w:rPr>
              <w:t>）</w:t>
            </w:r>
            <w:r>
              <w:rPr>
                <w:rFonts w:hint="default" w:ascii="Times New Roman" w:hAnsi="Times New Roman" w:cs="Times New Roman"/>
                <w:color w:val="000000" w:themeColor="text1"/>
                <w:szCs w:val="24"/>
                <w:highlight w:val="none"/>
                <w:lang w:val="en-US" w:eastAsia="zh-CN"/>
                <w14:textFill>
                  <w14:solidFill>
                    <w14:schemeClr w14:val="tx1"/>
                  </w14:solidFill>
                </w14:textFill>
              </w:rPr>
              <w:t>项目产品产能匹配性分析</w:t>
            </w:r>
          </w:p>
          <w:p w14:paraId="39F4324C">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bidi="ar-SA"/>
                <w14:textFill>
                  <w14:solidFill>
                    <w14:schemeClr w14:val="tx1"/>
                  </w14:solidFill>
                </w14:textFill>
              </w:rPr>
              <w:t>本项目的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产品</w:t>
            </w:r>
            <w:r>
              <w:rPr>
                <w:rFonts w:hint="default" w:ascii="Times New Roman" w:hAnsi="Times New Roman" w:eastAsia="宋体" w:cs="Times New Roman"/>
                <w:color w:val="000000" w:themeColor="text1"/>
                <w:kern w:val="2"/>
                <w:sz w:val="24"/>
                <w:szCs w:val="24"/>
                <w:highlight w:val="none"/>
                <w:lang w:bidi="ar-SA"/>
                <w14:textFill>
                  <w14:solidFill>
                    <w14:schemeClr w14:val="tx1"/>
                  </w14:solidFill>
                </w14:textFill>
              </w:rPr>
              <w:t>生产主要受制于</w:t>
            </w:r>
            <w:r>
              <w:rPr>
                <w:rFonts w:hint="eastAsia" w:cs="Times New Roman"/>
                <w:color w:val="000000" w:themeColor="text1"/>
                <w:kern w:val="2"/>
                <w:sz w:val="24"/>
                <w:szCs w:val="24"/>
                <w:highlight w:val="none"/>
                <w:lang w:eastAsia="zh-CN" w:bidi="ar-SA"/>
                <w14:textFill>
                  <w14:solidFill>
                    <w14:schemeClr w14:val="tx1"/>
                  </w14:solidFill>
                </w14:textFill>
              </w:rPr>
              <w:t>工件表面预处理</w:t>
            </w:r>
            <w:r>
              <w:rPr>
                <w:rFonts w:hint="default" w:ascii="Times New Roman" w:hAnsi="Times New Roman" w:eastAsia="宋体" w:cs="Times New Roman"/>
                <w:color w:val="000000" w:themeColor="text1"/>
                <w:kern w:val="2"/>
                <w:sz w:val="24"/>
                <w:szCs w:val="24"/>
                <w:highlight w:val="none"/>
                <w:lang w:bidi="ar-SA"/>
                <w14:textFill>
                  <w14:solidFill>
                    <w14:schemeClr w14:val="tx1"/>
                  </w14:solidFill>
                </w14:textFill>
              </w:rPr>
              <w:t>生产线（以下简称“预处理线”）的产能。预处理线采用隧道式挂具输送系统，并</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全程</w:t>
            </w:r>
            <w:r>
              <w:rPr>
                <w:rFonts w:hint="default" w:ascii="Times New Roman" w:hAnsi="Times New Roman" w:eastAsia="宋体" w:cs="Times New Roman"/>
                <w:color w:val="000000" w:themeColor="text1"/>
                <w:kern w:val="2"/>
                <w:sz w:val="24"/>
                <w:szCs w:val="24"/>
                <w:highlight w:val="none"/>
                <w:lang w:bidi="ar-SA"/>
                <w14:textFill>
                  <w14:solidFill>
                    <w14:schemeClr w14:val="tx1"/>
                  </w14:solidFill>
                </w14:textFill>
              </w:rPr>
              <w:t>通过喷淋方式进行预处理作业。预处理线的长度为</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7</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9.5</w:t>
            </w:r>
            <w:r>
              <w:rPr>
                <w:rFonts w:hint="default" w:ascii="Times New Roman" w:hAnsi="Times New Roman" w:eastAsia="宋体" w:cs="Times New Roman"/>
                <w:color w:val="000000" w:themeColor="text1"/>
                <w:kern w:val="2"/>
                <w:sz w:val="24"/>
                <w:szCs w:val="24"/>
                <w:highlight w:val="none"/>
                <w:lang w:bidi="ar-SA"/>
                <w14:textFill>
                  <w14:solidFill>
                    <w14:schemeClr w14:val="tx1"/>
                  </w14:solidFill>
                </w14:textFill>
              </w:rPr>
              <w:t>米。</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本项目预处理线设计参数如下表所示。</w:t>
            </w:r>
          </w:p>
          <w:p w14:paraId="2AB7BA51">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预处理线设计参数</w:t>
            </w:r>
          </w:p>
          <w:tbl>
            <w:tblPr>
              <w:tblStyle w:val="44"/>
              <w:tblW w:w="83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5"/>
              <w:gridCol w:w="1031"/>
              <w:gridCol w:w="1025"/>
              <w:gridCol w:w="1086"/>
              <w:gridCol w:w="926"/>
              <w:gridCol w:w="1086"/>
              <w:gridCol w:w="1045"/>
              <w:gridCol w:w="1053"/>
            </w:tblGrid>
            <w:tr w14:paraId="7026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7" w:hRule="atLeast"/>
              </w:trPr>
              <w:tc>
                <w:tcPr>
                  <w:tcW w:w="661" w:type="pct"/>
                  <w:tcBorders>
                    <w:top w:val="single" w:color="000000" w:sz="4" w:space="0"/>
                    <w:left w:val="single" w:color="000000" w:sz="4" w:space="0"/>
                    <w:bottom w:val="single" w:color="000000" w:sz="4" w:space="0"/>
                    <w:right w:val="single" w:color="000000" w:sz="4" w:space="0"/>
                  </w:tcBorders>
                  <w:noWrap w:val="0"/>
                  <w:vAlign w:val="center"/>
                </w:tcPr>
                <w:p w14:paraId="7E226D87">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处理</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线长度（m）</w:t>
                  </w:r>
                </w:p>
              </w:tc>
              <w:tc>
                <w:tcPr>
                  <w:tcW w:w="617" w:type="pct"/>
                  <w:tcBorders>
                    <w:top w:val="single" w:color="000000" w:sz="4" w:space="0"/>
                    <w:left w:val="single" w:color="000000" w:sz="4" w:space="0"/>
                    <w:bottom w:val="single" w:color="000000" w:sz="4" w:space="0"/>
                    <w:right w:val="single" w:color="000000" w:sz="4" w:space="0"/>
                  </w:tcBorders>
                  <w:noWrap w:val="0"/>
                  <w:vAlign w:val="center"/>
                </w:tcPr>
                <w:p w14:paraId="045BABB6">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单个工件长度（m）</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14:paraId="12F323F4">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移动速度（m/min）</w:t>
                  </w:r>
                </w:p>
              </w:tc>
              <w:tc>
                <w:tcPr>
                  <w:tcW w:w="650" w:type="pct"/>
                  <w:tcBorders>
                    <w:top w:val="single" w:color="000000" w:sz="4" w:space="0"/>
                    <w:left w:val="single" w:color="000000" w:sz="4" w:space="0"/>
                    <w:bottom w:val="single" w:color="000000" w:sz="4" w:space="0"/>
                    <w:right w:val="single" w:color="000000" w:sz="4" w:space="0"/>
                  </w:tcBorders>
                  <w:noWrap w:val="0"/>
                  <w:vAlign w:val="center"/>
                </w:tcPr>
                <w:p w14:paraId="7FED2638">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每个工件间隔（mm）</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51FE3AF4">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每批次处理时间（min）</w:t>
                  </w:r>
                </w:p>
              </w:tc>
              <w:tc>
                <w:tcPr>
                  <w:tcW w:w="650" w:type="pct"/>
                  <w:tcBorders>
                    <w:top w:val="single" w:color="000000" w:sz="4" w:space="0"/>
                    <w:left w:val="single" w:color="000000" w:sz="4" w:space="0"/>
                    <w:bottom w:val="single" w:color="000000" w:sz="4" w:space="0"/>
                    <w:right w:val="single" w:color="000000" w:sz="4" w:space="0"/>
                  </w:tcBorders>
                  <w:noWrap w:val="0"/>
                  <w:vAlign w:val="center"/>
                </w:tcPr>
                <w:p w14:paraId="6B6020B8">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每批次可容纳挂具数（个）</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51D17AF4">
                  <w:pPr>
                    <w:adjustRightInd w:val="0"/>
                    <w:snapToGrid w:val="0"/>
                    <w:spacing w:line="240" w:lineRule="auto"/>
                    <w:jc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每个挂具挂件数（件）</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62970423">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eastAsia" w:cs="Times New Roman"/>
                      <w:b/>
                      <w:bCs/>
                      <w:i w:val="0"/>
                      <w:iCs w:val="0"/>
                      <w:color w:val="000000" w:themeColor="text1"/>
                      <w:sz w:val="21"/>
                      <w:szCs w:val="21"/>
                      <w:highlight w:val="none"/>
                      <w:u w:val="none"/>
                      <w:lang w:val="en-US" w:eastAsia="zh-CN"/>
                      <w14:textFill>
                        <w14:solidFill>
                          <w14:schemeClr w14:val="tx1"/>
                        </w14:solidFill>
                      </w14:textFill>
                    </w:rPr>
                    <w:t>生产线条数</w:t>
                  </w:r>
                </w:p>
              </w:tc>
            </w:tr>
            <w:tr w14:paraId="02FD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61" w:type="pct"/>
                  <w:tcBorders>
                    <w:top w:val="single" w:color="000000" w:sz="4" w:space="0"/>
                    <w:left w:val="single" w:color="000000" w:sz="4" w:space="0"/>
                    <w:bottom w:val="single" w:color="000000" w:sz="4" w:space="0"/>
                    <w:right w:val="single" w:color="000000" w:sz="4" w:space="0"/>
                  </w:tcBorders>
                  <w:noWrap/>
                  <w:vAlign w:val="center"/>
                </w:tcPr>
                <w:p w14:paraId="2EE069F8">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79.5</w:t>
                  </w: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E758ABF">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0.6</w:t>
                  </w:r>
                </w:p>
              </w:tc>
              <w:tc>
                <w:tcPr>
                  <w:tcW w:w="613" w:type="pct"/>
                  <w:tcBorders>
                    <w:top w:val="single" w:color="000000" w:sz="4" w:space="0"/>
                    <w:left w:val="single" w:color="000000" w:sz="4" w:space="0"/>
                    <w:bottom w:val="single" w:color="000000" w:sz="4" w:space="0"/>
                    <w:right w:val="single" w:color="000000" w:sz="4" w:space="0"/>
                  </w:tcBorders>
                  <w:noWrap/>
                  <w:vAlign w:val="center"/>
                </w:tcPr>
                <w:p w14:paraId="0BEA5695">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650" w:type="pct"/>
                  <w:tcBorders>
                    <w:top w:val="single" w:color="000000" w:sz="4" w:space="0"/>
                    <w:left w:val="single" w:color="000000" w:sz="4" w:space="0"/>
                    <w:bottom w:val="single" w:color="000000" w:sz="4" w:space="0"/>
                    <w:right w:val="single" w:color="000000" w:sz="4" w:space="0"/>
                  </w:tcBorders>
                  <w:noWrap/>
                  <w:vAlign w:val="center"/>
                </w:tcPr>
                <w:p w14:paraId="6D1006A1">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150</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D1FADFD">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15</w:t>
                  </w:r>
                </w:p>
              </w:tc>
              <w:tc>
                <w:tcPr>
                  <w:tcW w:w="650" w:type="pct"/>
                  <w:tcBorders>
                    <w:top w:val="single" w:color="000000" w:sz="4" w:space="0"/>
                    <w:left w:val="single" w:color="000000" w:sz="4" w:space="0"/>
                    <w:bottom w:val="single" w:color="000000" w:sz="4" w:space="0"/>
                    <w:right w:val="single" w:color="000000" w:sz="4" w:space="0"/>
                  </w:tcBorders>
                  <w:noWrap/>
                  <w:vAlign w:val="center"/>
                </w:tcPr>
                <w:p w14:paraId="7CDC02CE">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F72FCDE">
                  <w:pPr>
                    <w:adjustRightInd w:val="0"/>
                    <w:snapToGrid w:val="0"/>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91EFDA9">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r>
            <w:tr w14:paraId="50395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563B1355">
                  <w:pPr>
                    <w:adjustRightInd w:val="0"/>
                    <w:snapToGrid w:val="0"/>
                    <w:spacing w:line="240" w:lineRule="auto"/>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备注：</w:t>
                  </w:r>
                </w:p>
                <w:p w14:paraId="6BF7E7FD">
                  <w:pPr>
                    <w:adjustRightInd w:val="0"/>
                    <w:snapToGrid w:val="0"/>
                    <w:spacing w:line="240" w:lineRule="auto"/>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①本环评取项目产量最大、最为常见的产品尺寸作为本项目产量核算，单个</w:t>
                  </w:r>
                  <w:r>
                    <w:rPr>
                      <w:rFonts w:hint="eastAsia" w:cs="Times New Roman"/>
                      <w:color w:val="000000" w:themeColor="text1"/>
                      <w:sz w:val="21"/>
                      <w:szCs w:val="21"/>
                      <w:highlight w:val="none"/>
                      <w:lang w:val="en-US" w:eastAsia="zh-CN"/>
                      <w14:textFill>
                        <w14:solidFill>
                          <w14:schemeClr w14:val="tx1"/>
                        </w14:solidFill>
                      </w14:textFill>
                    </w:rPr>
                    <w:t>工件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尺寸为</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00mm×</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00mm，厚度为3mm；</w:t>
                  </w:r>
                </w:p>
                <w:p w14:paraId="26FA03BE">
                  <w:pPr>
                    <w:adjustRightInd w:val="0"/>
                    <w:snapToGrid w:val="0"/>
                    <w:spacing w:line="240" w:lineRule="auto"/>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②每批次处理时间=处理线长度÷移动速度；</w:t>
                  </w:r>
                </w:p>
                <w:p w14:paraId="696B609A">
                  <w:pPr>
                    <w:adjustRightInd w:val="0"/>
                    <w:snapToGrid w:val="0"/>
                    <w:spacing w:line="240" w:lineRule="auto"/>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③每批次可容纳挂具数=处理线长度÷（单个工件长度+每个工件间隔）</w:t>
                  </w:r>
                </w:p>
              </w:tc>
            </w:tr>
          </w:tbl>
          <w:p w14:paraId="07D6601F">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5A7D6521">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本项目设置</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条预处理线，年工作</w:t>
            </w:r>
            <w:r>
              <w:rPr>
                <w:rFonts w:hint="eastAsia" w:cs="Times New Roman"/>
                <w:color w:val="000000" w:themeColor="text1"/>
                <w:kern w:val="2"/>
                <w:sz w:val="24"/>
                <w:szCs w:val="24"/>
                <w:highlight w:val="none"/>
                <w:lang w:val="en-US" w:eastAsia="zh-CN" w:bidi="ar-SA"/>
                <w14:textFill>
                  <w14:solidFill>
                    <w14:schemeClr w14:val="tx1"/>
                  </w14:solidFill>
                </w14:textFill>
              </w:rPr>
              <w:t>1928</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小时。本项目年铝卷最大可处理面积计算如下表所示。</w:t>
            </w:r>
          </w:p>
          <w:p w14:paraId="5A0A8047">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本项目预处理线产能核算表</w:t>
            </w:r>
          </w:p>
          <w:tbl>
            <w:tblPr>
              <w:tblStyle w:val="44"/>
              <w:tblW w:w="83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7"/>
              <w:gridCol w:w="1225"/>
              <w:gridCol w:w="1490"/>
              <w:gridCol w:w="1130"/>
              <w:gridCol w:w="1590"/>
              <w:gridCol w:w="1777"/>
            </w:tblGrid>
            <w:tr w14:paraId="5CDCA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2" w:type="pct"/>
                  <w:tcBorders>
                    <w:top w:val="single" w:color="000000" w:sz="4" w:space="0"/>
                    <w:left w:val="single" w:color="000000" w:sz="4" w:space="0"/>
                    <w:bottom w:val="single" w:color="000000" w:sz="4" w:space="0"/>
                    <w:right w:val="single" w:color="000000" w:sz="4" w:space="0"/>
                  </w:tcBorders>
                  <w:noWrap w:val="0"/>
                  <w:vAlign w:val="center"/>
                </w:tcPr>
                <w:p w14:paraId="627EE0BE">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年工作时间（h）</w:t>
                  </w:r>
                </w:p>
              </w:tc>
              <w:tc>
                <w:tcPr>
                  <w:tcW w:w="731" w:type="pct"/>
                  <w:tcBorders>
                    <w:top w:val="single" w:color="000000" w:sz="4" w:space="0"/>
                    <w:left w:val="single" w:color="000000" w:sz="4" w:space="0"/>
                    <w:bottom w:val="single" w:color="000000" w:sz="4" w:space="0"/>
                    <w:right w:val="single" w:color="000000" w:sz="4" w:space="0"/>
                  </w:tcBorders>
                  <w:noWrap w:val="0"/>
                  <w:vAlign w:val="center"/>
                </w:tcPr>
                <w:p w14:paraId="5A265BE8">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年处理批次（次）</w:t>
                  </w:r>
                </w:p>
              </w:tc>
              <w:tc>
                <w:tcPr>
                  <w:tcW w:w="888" w:type="pct"/>
                  <w:tcBorders>
                    <w:top w:val="single" w:color="000000" w:sz="4" w:space="0"/>
                    <w:left w:val="single" w:color="000000" w:sz="4" w:space="0"/>
                    <w:bottom w:val="single" w:color="000000" w:sz="4" w:space="0"/>
                    <w:right w:val="single" w:color="000000" w:sz="4" w:space="0"/>
                  </w:tcBorders>
                  <w:noWrap w:val="0"/>
                  <w:vAlign w:val="center"/>
                </w:tcPr>
                <w:p w14:paraId="75D23EB7">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年处理工件数（件）</w:t>
                  </w:r>
                </w:p>
              </w:tc>
              <w:tc>
                <w:tcPr>
                  <w:tcW w:w="673" w:type="pct"/>
                  <w:tcBorders>
                    <w:top w:val="single" w:color="000000" w:sz="4" w:space="0"/>
                    <w:left w:val="single" w:color="000000" w:sz="4" w:space="0"/>
                    <w:bottom w:val="single" w:color="000000" w:sz="4" w:space="0"/>
                    <w:right w:val="single" w:color="000000" w:sz="4" w:space="0"/>
                  </w:tcBorders>
                  <w:noWrap w:val="0"/>
                  <w:vAlign w:val="center"/>
                </w:tcPr>
                <w:p w14:paraId="1944445E">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单件</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工件面积（m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947" w:type="pct"/>
                  <w:tcBorders>
                    <w:top w:val="single" w:color="000000" w:sz="4" w:space="0"/>
                    <w:left w:val="single" w:color="auto" w:sz="4" w:space="0"/>
                    <w:bottom w:val="single" w:color="000000" w:sz="4" w:space="0"/>
                    <w:right w:val="single" w:color="000000" w:sz="4" w:space="0"/>
                  </w:tcBorders>
                  <w:noWrap w:val="0"/>
                  <w:vAlign w:val="center"/>
                </w:tcPr>
                <w:p w14:paraId="410689C1">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年最大处理</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工件</w:t>
                  </w:r>
                  <w:r>
                    <w:rPr>
                      <w:rFonts w:hint="eastAsia"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面积</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（万m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1056" w:type="pct"/>
                  <w:tcBorders>
                    <w:top w:val="single" w:color="000000" w:sz="4" w:space="0"/>
                    <w:left w:val="single" w:color="000000" w:sz="4" w:space="0"/>
                    <w:bottom w:val="single" w:color="000000" w:sz="4" w:space="0"/>
                    <w:right w:val="single" w:color="000000" w:sz="4" w:space="0"/>
                  </w:tcBorders>
                  <w:noWrap w:val="0"/>
                  <w:vAlign w:val="center"/>
                </w:tcPr>
                <w:p w14:paraId="2A9261CB">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本项目设计处理</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工件</w:t>
                  </w:r>
                  <w:r>
                    <w:rPr>
                      <w:rFonts w:hint="eastAsia"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面积</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（万m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r>
            <w:tr w14:paraId="25DE4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2" w:type="pct"/>
                  <w:tcBorders>
                    <w:top w:val="single" w:color="000000" w:sz="4" w:space="0"/>
                    <w:left w:val="single" w:color="000000" w:sz="4" w:space="0"/>
                    <w:bottom w:val="single" w:color="000000" w:sz="4" w:space="0"/>
                    <w:right w:val="single" w:color="000000" w:sz="4" w:space="0"/>
                  </w:tcBorders>
                  <w:noWrap w:val="0"/>
                  <w:vAlign w:val="center"/>
                </w:tcPr>
                <w:p w14:paraId="4286CC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1928</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6BB6D4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7712</w:t>
                  </w:r>
                </w:p>
              </w:tc>
              <w:tc>
                <w:tcPr>
                  <w:tcW w:w="1490" w:type="dxa"/>
                  <w:tcBorders>
                    <w:top w:val="single" w:color="000000" w:sz="4" w:space="0"/>
                    <w:left w:val="single" w:color="000000" w:sz="4" w:space="0"/>
                    <w:bottom w:val="single" w:color="000000" w:sz="4" w:space="0"/>
                    <w:right w:val="single" w:color="000000" w:sz="4" w:space="0"/>
                  </w:tcBorders>
                  <w:noWrap/>
                  <w:vAlign w:val="center"/>
                </w:tcPr>
                <w:p w14:paraId="1D848A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4904832</w:t>
                  </w:r>
                </w:p>
              </w:tc>
              <w:tc>
                <w:tcPr>
                  <w:tcW w:w="1130" w:type="dxa"/>
                  <w:tcBorders>
                    <w:top w:val="single" w:color="000000" w:sz="4" w:space="0"/>
                    <w:left w:val="single" w:color="000000" w:sz="4" w:space="0"/>
                    <w:bottom w:val="single" w:color="000000" w:sz="4" w:space="0"/>
                    <w:right w:val="single" w:color="auto" w:sz="4" w:space="0"/>
                  </w:tcBorders>
                  <w:noWrap/>
                  <w:vAlign w:val="center"/>
                </w:tcPr>
                <w:p w14:paraId="2BD4E3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0.24</w:t>
                  </w:r>
                </w:p>
              </w:tc>
              <w:tc>
                <w:tcPr>
                  <w:tcW w:w="1590" w:type="dxa"/>
                  <w:tcBorders>
                    <w:top w:val="single" w:color="000000" w:sz="4" w:space="0"/>
                    <w:left w:val="single" w:color="auto" w:sz="4" w:space="0"/>
                    <w:bottom w:val="single" w:color="000000" w:sz="4" w:space="0"/>
                    <w:right w:val="single" w:color="000000" w:sz="4" w:space="0"/>
                  </w:tcBorders>
                  <w:noWrap/>
                  <w:vAlign w:val="center"/>
                </w:tcPr>
                <w:p w14:paraId="53C923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117.7</w:t>
                  </w:r>
                </w:p>
              </w:tc>
              <w:tc>
                <w:tcPr>
                  <w:tcW w:w="1773" w:type="dxa"/>
                  <w:tcBorders>
                    <w:top w:val="single" w:color="000000" w:sz="4" w:space="0"/>
                    <w:left w:val="single" w:color="000000" w:sz="4" w:space="0"/>
                    <w:bottom w:val="single" w:color="000000" w:sz="4" w:space="0"/>
                    <w:right w:val="single" w:color="000000" w:sz="4" w:space="0"/>
                  </w:tcBorders>
                  <w:noWrap/>
                  <w:vAlign w:val="center"/>
                </w:tcPr>
                <w:p w14:paraId="10E2D1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p>
              </w:tc>
            </w:tr>
            <w:tr w14:paraId="02E0F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2F4EF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备注：</w:t>
                  </w:r>
                </w:p>
                <w:p w14:paraId="1DD1E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①</w:t>
                  </w:r>
                  <w:bookmarkStart w:id="9" w:name="OLE_LINK38"/>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单个工件尺寸为</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00mm×</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00mm</w:t>
                  </w:r>
                  <w:bookmarkEnd w:id="9"/>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，计得面积为</w:t>
                  </w: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0.24</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w:t>
                  </w:r>
                </w:p>
                <w:p w14:paraId="0E8CD2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②年处理批次=年工作时间÷每批次处理时间；</w:t>
                  </w:r>
                </w:p>
                <w:p w14:paraId="3C913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③年处理工件数=年处理批次×每批次可容纳挂具数×每个挂具挂件数</w:t>
                  </w:r>
                  <w:r>
                    <w:rPr>
                      <w:rFonts w:hint="eastAsia"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生产线条数；</w:t>
                  </w:r>
                </w:p>
                <w:p w14:paraId="17A611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④年最大处理铝卷</w:t>
                  </w:r>
                  <w: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面积</w:t>
                  </w:r>
                  <w:r>
                    <w:rPr>
                      <w:rFonts w:hint="default"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=单件工件面积×年处理工件数</w:t>
                  </w:r>
                  <w:r>
                    <w:rPr>
                      <w:rFonts w:hint="eastAsia"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w:t>
                  </w:r>
                </w:p>
                <w:p w14:paraId="3CF9E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⑤铝卷进入预处理线喷淋处理正反两面均可进行表面处理，表面处理面积按铝卷正反两面面积计算（忽略厚度面积），计算得项目表面处理面积为</w:t>
                  </w:r>
                  <w:r>
                    <w:rPr>
                      <w:rFonts w:hint="eastAsia"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11</w:t>
                  </w:r>
                  <w: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0万m</w:t>
                  </w:r>
                  <w:r>
                    <w:rPr>
                      <w:rFonts w:hint="default" w:ascii="Times New Roman" w:hAnsi="Times New Roman"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×2=</w:t>
                  </w:r>
                  <w:r>
                    <w:rPr>
                      <w:rFonts w:hint="eastAsia"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22</w:t>
                  </w:r>
                  <w:r>
                    <w:rPr>
                      <w:rFonts w:hint="default" w:ascii="Times New Roman" w:hAnsi="Times New Roman"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0万m</w:t>
                  </w:r>
                  <w:r>
                    <w:rPr>
                      <w:rFonts w:hint="default" w:ascii="Times New Roman" w:hAnsi="Times New Roman"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p>
              </w:tc>
            </w:tr>
          </w:tbl>
          <w:p w14:paraId="6BAF000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01E4D3D0">
            <w:pPr>
              <w:widowControl/>
              <w:kinsoku/>
              <w:autoSpaceDE/>
              <w:autoSpaceDN/>
              <w:adjustRightInd/>
              <w:snapToGrid/>
              <w:spacing w:line="360" w:lineRule="auto"/>
              <w:ind w:firstLine="480" w:firstLineChars="200"/>
              <w:jc w:val="left"/>
              <w:textAlignment w:val="auto"/>
              <w:rPr>
                <w:rFonts w:hint="default" w:ascii="Times New Roman" w:hAnsi="Times New Roman" w:cs="Times New Roman"/>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根据上表计算，本项目</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预</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处理线年最大可处理</w:t>
            </w:r>
            <w:r>
              <w:rPr>
                <w:rFonts w:hint="eastAsia" w:cs="Times New Roman"/>
                <w:color w:val="000000" w:themeColor="text1"/>
                <w:kern w:val="2"/>
                <w:sz w:val="24"/>
                <w:szCs w:val="24"/>
                <w:highlight w:val="none"/>
                <w:lang w:val="en-US" w:eastAsia="zh-CN" w:bidi="ar-SA"/>
                <w14:textFill>
                  <w14:solidFill>
                    <w14:schemeClr w14:val="tx1"/>
                  </w14:solidFill>
                </w14:textFill>
              </w:rPr>
              <w:t>工件面积</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为</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117.7</w:t>
            </w:r>
            <w:r>
              <w:rPr>
                <w:rFonts w:hint="default" w:ascii="Times New Roman" w:hAnsi="Times New Roman" w:cs="Times New Roman"/>
                <w:color w:val="000000" w:themeColor="text1"/>
                <w:kern w:val="2"/>
                <w:sz w:val="24"/>
                <w:szCs w:val="24"/>
                <w:highlight w:val="none"/>
                <w:vertAlign w:val="baseline"/>
                <w:lang w:val="en-US" w:eastAsia="zh-CN" w:bidi="ar-SA"/>
                <w14:textFill>
                  <w14:solidFill>
                    <w14:schemeClr w14:val="tx1"/>
                  </w14:solidFill>
                </w14:textFill>
              </w:rPr>
              <w:t>万</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vertAlign w:val="baseline"/>
                <w:lang w:val="en-US" w:eastAsia="zh-CN" w:bidi="ar-SA"/>
                <w14:textFill>
                  <w14:solidFill>
                    <w14:schemeClr w14:val="tx1"/>
                  </w14:solidFill>
                </w14:textFill>
              </w:rPr>
              <w:t>（单面计）</w:t>
            </w:r>
            <w:r>
              <w:rPr>
                <w:rFonts w:hint="default" w:ascii="Times New Roman" w:hAnsi="Times New Roman" w:cs="Times New Roman"/>
                <w:color w:val="000000" w:themeColor="text1"/>
                <w:kern w:val="2"/>
                <w:sz w:val="24"/>
                <w:szCs w:val="24"/>
                <w:highlight w:val="none"/>
                <w:vertAlign w:val="baseline"/>
                <w:lang w:val="en-US" w:eastAsia="zh-CN" w:bidi="ar-SA"/>
                <w14:textFill>
                  <w14:solidFill>
                    <w14:schemeClr w14:val="tx1"/>
                  </w14:solidFill>
                </w14:textFill>
              </w:rPr>
              <w:t>，可满足本项目设计</w:t>
            </w:r>
            <w:r>
              <w:rPr>
                <w:rFonts w:hint="eastAsia" w:cs="Times New Roman"/>
                <w:color w:val="000000" w:themeColor="text1"/>
                <w:kern w:val="2"/>
                <w:sz w:val="24"/>
                <w:szCs w:val="24"/>
                <w:highlight w:val="none"/>
                <w:vertAlign w:val="baseline"/>
                <w:lang w:val="en-US" w:eastAsia="zh-CN" w:bidi="ar-SA"/>
                <w14:textFill>
                  <w14:solidFill>
                    <w14:schemeClr w14:val="tx1"/>
                  </w14:solidFill>
                </w14:textFill>
              </w:rPr>
              <w:t>工件</w:t>
            </w:r>
            <w:r>
              <w:rPr>
                <w:rFonts w:hint="eastAsia" w:ascii="Times New Roman" w:hAnsi="Times New Roman" w:cs="Times New Roman"/>
                <w:color w:val="000000" w:themeColor="text1"/>
                <w:kern w:val="2"/>
                <w:sz w:val="24"/>
                <w:szCs w:val="24"/>
                <w:highlight w:val="none"/>
                <w:vertAlign w:val="baseline"/>
                <w:lang w:val="en-US" w:eastAsia="zh-CN" w:bidi="ar-SA"/>
                <w14:textFill>
                  <w14:solidFill>
                    <w14:schemeClr w14:val="tx1"/>
                  </w14:solidFill>
                </w14:textFill>
              </w:rPr>
              <w:t>11</w:t>
            </w:r>
            <w:r>
              <w:rPr>
                <w:rFonts w:hint="default" w:ascii="Times New Roman" w:hAnsi="Times New Roman" w:cs="Times New Roman"/>
                <w:color w:val="000000" w:themeColor="text1"/>
                <w:kern w:val="2"/>
                <w:sz w:val="24"/>
                <w:szCs w:val="24"/>
                <w:highlight w:val="none"/>
                <w:vertAlign w:val="baseline"/>
                <w:lang w:val="en-US" w:eastAsia="zh-CN" w:bidi="ar-SA"/>
                <w14:textFill>
                  <w14:solidFill>
                    <w14:schemeClr w14:val="tx1"/>
                  </w14:solidFill>
                </w14:textFill>
              </w:rPr>
              <w:t>0万m</w:t>
            </w:r>
            <w:r>
              <w:rPr>
                <w:rFonts w:hint="default" w:ascii="Times New Roman" w:hAnsi="Times New Roman"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vertAlign w:val="baseline"/>
                <w:lang w:val="en-US" w:eastAsia="zh-CN" w:bidi="ar-SA"/>
                <w14:textFill>
                  <w14:solidFill>
                    <w14:schemeClr w14:val="tx1"/>
                  </w14:solidFill>
                </w14:textFill>
              </w:rPr>
              <w:t>（单面计）</w:t>
            </w:r>
            <w:r>
              <w:rPr>
                <w:rFonts w:hint="default" w:ascii="Times New Roman" w:hAnsi="Times New Roman" w:cs="Times New Roman"/>
                <w:color w:val="000000" w:themeColor="text1"/>
                <w:kern w:val="2"/>
                <w:sz w:val="24"/>
                <w:szCs w:val="24"/>
                <w:highlight w:val="none"/>
                <w:vertAlign w:val="baseline"/>
                <w:lang w:val="en-US" w:eastAsia="zh-CN" w:bidi="ar-SA"/>
                <w14:textFill>
                  <w14:solidFill>
                    <w14:schemeClr w14:val="tx1"/>
                  </w14:solidFill>
                </w14:textFill>
              </w:rPr>
              <w:t>的产能需求，设备产能与设计产能匹配。</w:t>
            </w:r>
          </w:p>
          <w:p w14:paraId="067B1724">
            <w:pPr>
              <w:widowControl/>
              <w:kinsoku/>
              <w:autoSpaceDE/>
              <w:autoSpaceDN/>
              <w:adjustRightInd/>
              <w:snapToGrid/>
              <w:spacing w:line="360" w:lineRule="auto"/>
              <w:ind w:firstLine="482" w:firstLineChars="200"/>
              <w:jc w:val="left"/>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14:textFill>
                  <w14:solidFill>
                    <w14:schemeClr w14:val="tx1"/>
                  </w14:solidFill>
                </w14:textFill>
              </w:rPr>
              <w:t>原辅材料用量及</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理化特性</w:t>
            </w:r>
          </w:p>
          <w:p w14:paraId="4816244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t>（1）原辅材料用量</w:t>
            </w:r>
          </w:p>
          <w:p w14:paraId="2439B5F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本项目原辅材料种类及年用量见下表。</w:t>
            </w:r>
          </w:p>
          <w:p w14:paraId="441CFCD0">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原辅材料一览表</w:t>
            </w:r>
          </w:p>
          <w:tbl>
            <w:tblPr>
              <w:tblStyle w:val="44"/>
              <w:tblW w:w="497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4"/>
              <w:gridCol w:w="1324"/>
              <w:gridCol w:w="982"/>
              <w:gridCol w:w="871"/>
              <w:gridCol w:w="457"/>
              <w:gridCol w:w="694"/>
              <w:gridCol w:w="1374"/>
              <w:gridCol w:w="1050"/>
              <w:gridCol w:w="1161"/>
            </w:tblGrid>
            <w:tr w14:paraId="3C9D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A03240C">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118740EE">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1D69386">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年用量</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AD2ABC9">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最大贮存量</w:t>
                  </w:r>
                </w:p>
              </w:tc>
              <w:tc>
                <w:tcPr>
                  <w:tcW w:w="274" w:type="pct"/>
                  <w:tcBorders>
                    <w:top w:val="single" w:color="000000" w:sz="4" w:space="0"/>
                    <w:left w:val="single" w:color="000000" w:sz="4" w:space="0"/>
                    <w:bottom w:val="single" w:color="000000" w:sz="4" w:space="0"/>
                    <w:right w:val="single" w:color="000000" w:sz="4" w:space="0"/>
                  </w:tcBorders>
                  <w:noWrap w:val="0"/>
                  <w:vAlign w:val="center"/>
                </w:tcPr>
                <w:p w14:paraId="663E36A8">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AEAB96A">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形态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E9028B8">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型号/规格</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7ACBCB1">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使用环节</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50C2A817">
                  <w:pPr>
                    <w:adjustRightInd w:val="0"/>
                    <w:snapToGrid w:val="0"/>
                    <w:spacing w:line="240" w:lineRule="auto"/>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贮存位置</w:t>
                  </w:r>
                </w:p>
              </w:tc>
            </w:tr>
            <w:tr w14:paraId="3FE8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9081D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D451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铝卷</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F99D7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8910</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8BAE7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1350</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D4D60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0FF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8FE508B">
                  <w:pPr>
                    <w:keepNext w:val="0"/>
                    <w:keepLines w:val="0"/>
                    <w:pageBreakBefore w:val="0"/>
                    <w:widowControl/>
                    <w:suppressLineNumbers w:val="0"/>
                    <w:kinsoku/>
                    <w:wordWrap w:val="0"/>
                    <w:overflowPunct/>
                    <w:topLinePunct/>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1001</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3003型3mm（厚）×1</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00mm（宽）</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8C87F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工件表面预处理</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机加工</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444DC6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物料仓库（</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#厂房）</w:t>
                  </w:r>
                </w:p>
              </w:tc>
            </w:tr>
            <w:tr w14:paraId="3FB8B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9C68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57B64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天然气</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09AB26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18.2248</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4161DB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0.00032t</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2B6D9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万</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C3F5C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气态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F0979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0.7174kg/m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657FF8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固化</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58054A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管道内</w:t>
                  </w:r>
                </w:p>
              </w:tc>
            </w:tr>
            <w:tr w14:paraId="7AD2D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2BD55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CF882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除油剂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3C3F8B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17.82</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9035E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BC7E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36A1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03A97F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078343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工件表面预处理</w:t>
                  </w:r>
                </w:p>
              </w:tc>
              <w:tc>
                <w:tcPr>
                  <w:tcW w:w="690" w:type="pct"/>
                  <w:vMerge w:val="restart"/>
                  <w:tcBorders>
                    <w:top w:val="single" w:color="000000" w:sz="4" w:space="0"/>
                    <w:left w:val="single" w:color="000000" w:sz="4" w:space="0"/>
                    <w:right w:val="single" w:color="000000" w:sz="4" w:space="0"/>
                  </w:tcBorders>
                  <w:noWrap w:val="0"/>
                  <w:vAlign w:val="center"/>
                </w:tcPr>
                <w:p w14:paraId="62D86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1#厂房</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化学品仓</w:t>
                  </w:r>
                </w:p>
              </w:tc>
            </w:tr>
            <w:tr w14:paraId="3BABB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6F0FD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DA798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E1977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3.2</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E4294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A5CF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1D95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90118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25kg/桶</w:t>
                  </w:r>
                </w:p>
              </w:tc>
              <w:tc>
                <w:tcPr>
                  <w:tcW w:w="629" w:type="pct"/>
                  <w:vMerge w:val="continue"/>
                  <w:tcBorders>
                    <w:left w:val="single" w:color="000000" w:sz="4" w:space="0"/>
                    <w:bottom w:val="single" w:color="000000" w:sz="4" w:space="0"/>
                    <w:right w:val="single" w:color="000000" w:sz="4" w:space="0"/>
                  </w:tcBorders>
                  <w:noWrap w:val="0"/>
                  <w:vAlign w:val="center"/>
                </w:tcPr>
                <w:p w14:paraId="327BA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5B105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60F9A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A8AD2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7132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稀释剂</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25CF4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1.299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57B06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0.11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CE7CD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9EE5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C67DE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53C43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喷涂、固化</w:t>
                  </w:r>
                </w:p>
              </w:tc>
              <w:tc>
                <w:tcPr>
                  <w:tcW w:w="690" w:type="pct"/>
                  <w:vMerge w:val="continue"/>
                  <w:tcBorders>
                    <w:left w:val="single" w:color="000000" w:sz="4" w:space="0"/>
                    <w:right w:val="single" w:color="000000" w:sz="4" w:space="0"/>
                  </w:tcBorders>
                  <w:noWrap w:val="0"/>
                  <w:vAlign w:val="center"/>
                </w:tcPr>
                <w:p w14:paraId="775C7F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5A3BC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826C4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75A879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底漆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2FC08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2.309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219073D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0.18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A879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CDD2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8F18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25kg/桶</w:t>
                  </w:r>
                </w:p>
              </w:tc>
              <w:tc>
                <w:tcPr>
                  <w:tcW w:w="629" w:type="pct"/>
                  <w:vMerge w:val="continue"/>
                  <w:tcBorders>
                    <w:left w:val="single" w:color="000000" w:sz="4" w:space="0"/>
                    <w:right w:val="single" w:color="000000" w:sz="4" w:space="0"/>
                  </w:tcBorders>
                  <w:noWrap w:val="0"/>
                  <w:vAlign w:val="center"/>
                </w:tcPr>
                <w:p w14:paraId="4C9E6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72CD1B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4C9A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45B9D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DD3D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面漆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77FD42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3.242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039A7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0.35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9C97F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683F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638975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25kg/桶</w:t>
                  </w:r>
                </w:p>
              </w:tc>
              <w:tc>
                <w:tcPr>
                  <w:tcW w:w="629" w:type="pct"/>
                  <w:vMerge w:val="continue"/>
                  <w:tcBorders>
                    <w:left w:val="single" w:color="000000" w:sz="4" w:space="0"/>
                    <w:right w:val="single" w:color="000000" w:sz="4" w:space="0"/>
                  </w:tcBorders>
                  <w:noWrap w:val="0"/>
                  <w:vAlign w:val="center"/>
                </w:tcPr>
                <w:p w14:paraId="0494F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5298E8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5906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492A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F1D7E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清漆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5073AFD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2.798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32C58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0.13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6D2B3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3B204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2F5DC3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25kg/桶</w:t>
                  </w:r>
                </w:p>
              </w:tc>
              <w:tc>
                <w:tcPr>
                  <w:tcW w:w="629" w:type="pct"/>
                  <w:vMerge w:val="continue"/>
                  <w:tcBorders>
                    <w:left w:val="single" w:color="000000" w:sz="4" w:space="0"/>
                    <w:right w:val="single" w:color="000000" w:sz="4" w:space="0"/>
                  </w:tcBorders>
                  <w:noWrap w:val="0"/>
                  <w:vAlign w:val="center"/>
                </w:tcPr>
                <w:p w14:paraId="2D3E61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19DD9F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4583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1E2D9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9</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A930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粉末涂料</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78431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109.755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023A1B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7.79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0C4D5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DEEE1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D60A0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箱</w:t>
                  </w:r>
                </w:p>
              </w:tc>
              <w:tc>
                <w:tcPr>
                  <w:tcW w:w="629" w:type="pct"/>
                  <w:vMerge w:val="continue"/>
                  <w:tcBorders>
                    <w:left w:val="single" w:color="000000" w:sz="4" w:space="0"/>
                    <w:right w:val="single" w:color="000000" w:sz="4" w:space="0"/>
                  </w:tcBorders>
                  <w:noWrap w:val="0"/>
                  <w:vAlign w:val="center"/>
                </w:tcPr>
                <w:p w14:paraId="525580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1A78AC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1573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30F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323241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清洗剂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9BD6D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0.084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12092D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8280E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53687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D810E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r>
                    <w:rPr>
                      <w:rFonts w:hint="eastAsia" w:cs="Times New Roman"/>
                      <w:i w:val="0"/>
                      <w:iCs w:val="0"/>
                      <w:color w:val="000000" w:themeColor="text1"/>
                      <w:kern w:val="0"/>
                      <w:sz w:val="21"/>
                      <w:szCs w:val="21"/>
                      <w:u w:val="none"/>
                      <w:lang w:val="en-US" w:eastAsia="zh-CN" w:bidi="ar"/>
                      <w14:textFill>
                        <w14:solidFill>
                          <w14:schemeClr w14:val="tx1"/>
                        </w14:solidFill>
                      </w14:textFill>
                    </w:rPr>
                    <w:t>k</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桶</w:t>
                  </w:r>
                </w:p>
              </w:tc>
              <w:tc>
                <w:tcPr>
                  <w:tcW w:w="629" w:type="pct"/>
                  <w:vMerge w:val="continue"/>
                  <w:tcBorders>
                    <w:left w:val="single" w:color="000000" w:sz="4" w:space="0"/>
                    <w:right w:val="single" w:color="000000" w:sz="4" w:space="0"/>
                  </w:tcBorders>
                  <w:noWrap w:val="0"/>
                  <w:vAlign w:val="center"/>
                </w:tcPr>
                <w:p w14:paraId="35742E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024631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07D8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2D6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11</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02F00C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焊丝</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F7C51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3288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42E56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EBC8A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C2B2F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箱</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E5589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焊接</w:t>
                  </w:r>
                </w:p>
              </w:tc>
              <w:tc>
                <w:tcPr>
                  <w:tcW w:w="690" w:type="pct"/>
                  <w:vMerge w:val="continue"/>
                  <w:tcBorders>
                    <w:left w:val="single" w:color="000000" w:sz="4" w:space="0"/>
                    <w:bottom w:val="single" w:color="000000" w:sz="4" w:space="0"/>
                    <w:right w:val="single" w:color="000000" w:sz="4" w:space="0"/>
                  </w:tcBorders>
                  <w:noWrap w:val="0"/>
                  <w:vAlign w:val="center"/>
                </w:tcPr>
                <w:p w14:paraId="1405B3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71568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9F8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12</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42E2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pH调整剂（硫酸70%）</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43638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416DC5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0.2</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C058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50073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97391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6FA79C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自建污水处理站</w:t>
                  </w:r>
                </w:p>
              </w:tc>
              <w:tc>
                <w:tcPr>
                  <w:tcW w:w="690" w:type="pct"/>
                  <w:vMerge w:val="restart"/>
                  <w:tcBorders>
                    <w:top w:val="single" w:color="000000" w:sz="4" w:space="0"/>
                    <w:left w:val="single" w:color="000000" w:sz="4" w:space="0"/>
                    <w:right w:val="single" w:color="000000" w:sz="4" w:space="0"/>
                  </w:tcBorders>
                  <w:noWrap w:val="0"/>
                  <w:vAlign w:val="center"/>
                </w:tcPr>
                <w:p w14:paraId="4899C6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自建污水处理站</w:t>
                  </w:r>
                </w:p>
              </w:tc>
            </w:tr>
            <w:tr w14:paraId="2EDC1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BF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13</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7C79F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PAC</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62D51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89E8E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0.5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5FD46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B5FD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5404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629" w:type="pct"/>
                  <w:vMerge w:val="continue"/>
                  <w:tcBorders>
                    <w:left w:val="single" w:color="000000" w:sz="4" w:space="0"/>
                    <w:right w:val="single" w:color="000000" w:sz="4" w:space="0"/>
                  </w:tcBorders>
                  <w:noWrap w:val="0"/>
                  <w:vAlign w:val="center"/>
                </w:tcPr>
                <w:p w14:paraId="2FFC5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797E3D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012D8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C9D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14</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1C85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PAM</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81A73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D0C64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5FC5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88513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6BABB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629" w:type="pct"/>
                  <w:vMerge w:val="continue"/>
                  <w:tcBorders>
                    <w:left w:val="single" w:color="000000" w:sz="4" w:space="0"/>
                    <w:right w:val="single" w:color="000000" w:sz="4" w:space="0"/>
                  </w:tcBorders>
                  <w:noWrap w:val="0"/>
                  <w:vAlign w:val="center"/>
                </w:tcPr>
                <w:p w14:paraId="46C368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6B8E1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794D4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0C2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82DBA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氢氧化钙</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D9DFE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2DDE1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2CC0B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542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A26AD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629" w:type="pct"/>
                  <w:vMerge w:val="continue"/>
                  <w:tcBorders>
                    <w:left w:val="single" w:color="000000" w:sz="4" w:space="0"/>
                    <w:right w:val="single" w:color="000000" w:sz="4" w:space="0"/>
                  </w:tcBorders>
                  <w:noWrap w:val="0"/>
                  <w:vAlign w:val="center"/>
                </w:tcPr>
                <w:p w14:paraId="07D900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690" w:type="pct"/>
                  <w:vMerge w:val="continue"/>
                  <w:tcBorders>
                    <w:left w:val="single" w:color="000000" w:sz="4" w:space="0"/>
                    <w:right w:val="single" w:color="000000" w:sz="4" w:space="0"/>
                  </w:tcBorders>
                  <w:noWrap w:val="0"/>
                  <w:vAlign w:val="center"/>
                </w:tcPr>
                <w:p w14:paraId="51F4DE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166C7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72A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16</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3B55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氯化钙</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F6BCC6B">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6B30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85264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A9FB7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18E0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629" w:type="pct"/>
                  <w:vMerge w:val="continue"/>
                  <w:tcBorders>
                    <w:left w:val="single" w:color="000000" w:sz="4" w:space="0"/>
                    <w:bottom w:val="single" w:color="000000" w:sz="4" w:space="0"/>
                    <w:right w:val="single" w:color="000000" w:sz="4" w:space="0"/>
                  </w:tcBorders>
                  <w:noWrap w:val="0"/>
                  <w:vAlign w:val="center"/>
                </w:tcPr>
                <w:p w14:paraId="25C26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690" w:type="pct"/>
                  <w:vMerge w:val="continue"/>
                  <w:tcBorders>
                    <w:left w:val="single" w:color="000000" w:sz="4" w:space="0"/>
                    <w:bottom w:val="single" w:color="000000" w:sz="4" w:space="0"/>
                    <w:right w:val="single" w:color="000000" w:sz="4" w:space="0"/>
                  </w:tcBorders>
                  <w:noWrap w:val="0"/>
                  <w:vAlign w:val="center"/>
                </w:tcPr>
                <w:p w14:paraId="768A73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39F1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E0F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17</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0A2AE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机油</w:t>
                  </w:r>
                </w:p>
                <w:p w14:paraId="69672A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（润滑油）</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D23B89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EEFD9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B064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4815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79521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200L/桶</w:t>
                  </w:r>
                </w:p>
              </w:tc>
              <w:tc>
                <w:tcPr>
                  <w:tcW w:w="629" w:type="pct"/>
                  <w:vMerge w:val="restart"/>
                  <w:tcBorders>
                    <w:top w:val="single" w:color="000000" w:sz="4" w:space="0"/>
                    <w:left w:val="single" w:color="000000" w:sz="4" w:space="0"/>
                    <w:bottom w:val="single" w:color="000000" w:sz="4" w:space="0"/>
                    <w:right w:val="single" w:color="000000" w:sz="4" w:space="0"/>
                  </w:tcBorders>
                  <w:noWrap w:val="0"/>
                  <w:vAlign w:val="center"/>
                </w:tcPr>
                <w:p w14:paraId="3BACDA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设备运行维护</w:t>
                  </w:r>
                </w:p>
              </w:tc>
              <w:tc>
                <w:tcPr>
                  <w:tcW w:w="690" w:type="pct"/>
                  <w:vMerge w:val="restart"/>
                  <w:tcBorders>
                    <w:top w:val="single" w:color="000000" w:sz="4" w:space="0"/>
                    <w:left w:val="single" w:color="000000" w:sz="4" w:space="0"/>
                    <w:bottom w:val="single" w:color="000000" w:sz="4" w:space="0"/>
                    <w:right w:val="single" w:color="000000" w:sz="4" w:space="0"/>
                  </w:tcBorders>
                  <w:noWrap w:val="0"/>
                  <w:vAlign w:val="center"/>
                </w:tcPr>
                <w:p w14:paraId="4603FD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厂房</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化学品仓</w:t>
                  </w:r>
                </w:p>
              </w:tc>
            </w:tr>
            <w:tr w14:paraId="6E15D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6FEB0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A1A0A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液压油</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ABF2C9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4D3C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DD47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CBAE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5CE04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200L/桶</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6ACE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69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962A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31E6B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39958D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注：</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①铝的密度为按2.7×10</w:t>
                  </w:r>
                  <w:r>
                    <w:rPr>
                      <w:rFonts w:hint="eastAsia"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千克/m³计算，项目年处理铝卷</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0万m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，铝卷厚度为3mm，计算铝卷重量为</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91</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0t/a。</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②</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工件表面预处理</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生产线：</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根据建设单位提供资料，固化炉年用天然气182248 m³。</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③厂区内不设天然气储存装置，故本项目按管道中的天然气量计算最大储存量，厂区内天然气管道长度约</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0m，管径40mm，密度0.7174kg/m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固化区</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配备</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根燃气管道。则本项目厂区内最大储存量=天然气管道截面积×厂区内长度×密度×管数，约为</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0.00032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w:t>
                  </w:r>
                </w:p>
                <w:p w14:paraId="59300A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④除油剂用量：除油</w:t>
                  </w:r>
                  <w:r>
                    <w:rPr>
                      <w:rFonts w:hint="eastAsia"/>
                      <w:color w:val="000000" w:themeColor="text1"/>
                      <w:sz w:val="21"/>
                      <w:szCs w:val="21"/>
                      <w14:textFill>
                        <w14:solidFill>
                          <w14:schemeClr w14:val="tx1"/>
                        </w14:solidFill>
                      </w14:textFill>
                    </w:rPr>
                    <w:t>工艺浓度</w:t>
                  </w:r>
                  <w:r>
                    <w:rPr>
                      <w:rFonts w:hint="eastAsia"/>
                      <w:color w:val="000000" w:themeColor="text1"/>
                      <w:sz w:val="21"/>
                      <w:szCs w:val="21"/>
                      <w:lang w:val="en-US" w:eastAsia="zh-CN"/>
                      <w14:textFill>
                        <w14:solidFill>
                          <w14:schemeClr w14:val="tx1"/>
                        </w14:solidFill>
                      </w14:textFill>
                    </w:rPr>
                    <w:t>1~3%（本项目取3%，质量分数），</w:t>
                  </w:r>
                  <w:r>
                    <w:rPr>
                      <w:rFonts w:hint="eastAsia" w:cs="Times New Roman"/>
                      <w:b w:val="0"/>
                      <w:bCs w:val="0"/>
                      <w:color w:val="000000" w:themeColor="text1"/>
                      <w:sz w:val="21"/>
                      <w:szCs w:val="21"/>
                      <w:vertAlign w:val="baseline"/>
                      <w:lang w:val="en-US" w:eastAsia="zh-CN"/>
                      <w14:textFill>
                        <w14:solidFill>
                          <w14:schemeClr w14:val="tx1"/>
                        </w14:solidFill>
                      </w14:textFill>
                    </w:rPr>
                    <w:t>工作槽液密度约 1.002kg/L（t/m</w:t>
                  </w:r>
                  <w:r>
                    <w:rPr>
                      <w:rFonts w:hint="eastAsia" w:cs="Times New Roman"/>
                      <w:b w:val="0"/>
                      <w:bCs w:val="0"/>
                      <w:color w:val="000000" w:themeColor="text1"/>
                      <w:sz w:val="21"/>
                      <w:szCs w:val="21"/>
                      <w:vertAlign w:val="superscript"/>
                      <w:lang w:val="en-US" w:eastAsia="zh-CN"/>
                      <w14:textFill>
                        <w14:solidFill>
                          <w14:schemeClr w14:val="tx1"/>
                        </w14:solidFill>
                      </w14:textFill>
                    </w:rPr>
                    <w:t>3</w:t>
                  </w:r>
                  <w:r>
                    <w:rPr>
                      <w:rFonts w:hint="eastAsia" w:cs="Times New Roman"/>
                      <w:b w:val="0"/>
                      <w:bCs w:val="0"/>
                      <w:color w:val="000000" w:themeColor="text1"/>
                      <w:sz w:val="21"/>
                      <w:szCs w:val="21"/>
                      <w:vertAlign w:val="baseline"/>
                      <w:lang w:val="en-US" w:eastAsia="zh-CN"/>
                      <w14:textFill>
                        <w14:solidFill>
                          <w14:schemeClr w14:val="tx1"/>
                        </w14:solidFill>
                      </w14:textFill>
                    </w:rPr>
                    <w:t>）</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预脱脂池、脱脂</w:t>
                  </w:r>
                  <w:r>
                    <w:rPr>
                      <w:rFonts w:hint="eastAsia"/>
                      <w:color w:val="000000" w:themeColor="text1"/>
                      <w:sz w:val="21"/>
                      <w:szCs w:val="21"/>
                      <w14:textFill>
                        <w14:solidFill>
                          <w14:schemeClr w14:val="tx1"/>
                        </w14:solidFill>
                      </w14:textFill>
                    </w:rPr>
                    <w:t>池</w:t>
                  </w:r>
                  <w:r>
                    <w:rPr>
                      <w:rFonts w:hint="eastAsia"/>
                      <w:color w:val="000000" w:themeColor="text1"/>
                      <w:sz w:val="21"/>
                      <w:szCs w:val="21"/>
                      <w:lang w:val="en-US" w:eastAsia="zh-CN"/>
                      <w14:textFill>
                        <w14:solidFill>
                          <w14:schemeClr w14:val="tx1"/>
                        </w14:solidFill>
                      </w14:textFill>
                    </w:rPr>
                    <w:t>定期更换槽液量179.2m</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lang w:val="en-US" w:eastAsia="zh-CN"/>
                      <w14:textFill>
                        <w14:solidFill>
                          <w14:schemeClr w14:val="tx1"/>
                        </w14:solidFill>
                      </w14:textFill>
                    </w:rPr>
                    <w:t>，对应除油剂</w:t>
                  </w:r>
                  <w:r>
                    <w:rPr>
                      <w:rFonts w:hint="eastAsia"/>
                      <w:color w:val="000000" w:themeColor="text1"/>
                      <w:sz w:val="21"/>
                      <w:szCs w:val="21"/>
                      <w14:textFill>
                        <w14:solidFill>
                          <w14:schemeClr w14:val="tx1"/>
                        </w14:solidFill>
                      </w14:textFill>
                    </w:rPr>
                    <w:t>用量为</w:t>
                  </w:r>
                  <w:r>
                    <w:rPr>
                      <w:rFonts w:hint="eastAsia"/>
                      <w:color w:val="000000" w:themeColor="text1"/>
                      <w:sz w:val="21"/>
                      <w:szCs w:val="21"/>
                      <w:lang w:val="en-US" w:eastAsia="zh-CN"/>
                      <w14:textFill>
                        <w14:solidFill>
                          <w14:schemeClr w14:val="tx1"/>
                        </w14:solidFill>
                      </w14:textFill>
                    </w:rPr>
                    <w:t>=槽液</w:t>
                  </w:r>
                  <w:r>
                    <w:rPr>
                      <w:rFonts w:hint="eastAsia"/>
                      <w:color w:val="000000" w:themeColor="text1"/>
                      <w:sz w:val="21"/>
                      <w:szCs w:val="21"/>
                      <w14:textFill>
                        <w14:solidFill>
                          <w14:schemeClr w14:val="tx1"/>
                        </w14:solidFill>
                      </w14:textFill>
                    </w:rPr>
                    <w:t>年更换量×工艺浓度=</w:t>
                  </w:r>
                  <w:r>
                    <w:rPr>
                      <w:rFonts w:hint="eastAsia"/>
                      <w:color w:val="000000" w:themeColor="text1"/>
                      <w:sz w:val="21"/>
                      <w:szCs w:val="21"/>
                      <w:lang w:val="en-US" w:eastAsia="zh-CN"/>
                      <w14:textFill>
                        <w14:solidFill>
                          <w14:schemeClr w14:val="tx1"/>
                        </w14:solidFill>
                      </w14:textFill>
                    </w:rPr>
                    <w:t>179.2m</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a×3%×1.002kg/L</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5.387</w:t>
                  </w:r>
                  <w:r>
                    <w:rPr>
                      <w:rFonts w:hint="eastAsia"/>
                      <w:color w:val="000000" w:themeColor="text1"/>
                      <w:sz w:val="21"/>
                      <w:szCs w:val="21"/>
                      <w14:textFill>
                        <w14:solidFill>
                          <w14:schemeClr w14:val="tx1"/>
                        </w14:solidFill>
                      </w14:textFill>
                    </w:rPr>
                    <w:t>t/</w:t>
                  </w:r>
                  <w:r>
                    <w:rPr>
                      <w:rFonts w:hint="eastAsia"/>
                      <w:color w:val="000000" w:themeColor="text1"/>
                      <w:sz w:val="21"/>
                      <w:szCs w:val="21"/>
                      <w:lang w:val="en-US" w:eastAsia="zh-CN"/>
                      <w14:textFill>
                        <w14:solidFill>
                          <w14:schemeClr w14:val="tx1"/>
                        </w14:solidFill>
                      </w14:textFill>
                    </w:rPr>
                    <w:t>a。参考《污染源源强核算技术指南 电镀》（HJ984-2018）中附录 D 不同形状镀件镀液带出量参考值一览表中简单镀件形状的自动线挂镀的镀液带出量＜0.1L/m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 取 值 0.1L/m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。工件带出量为0.1L/m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 1100000m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×1.002k</w:t>
                  </w:r>
                  <w:r>
                    <w:rPr>
                      <w:rFonts w:hint="eastAsia" w:cs="Times New Roman"/>
                      <w:b w:val="0"/>
                      <w:bCs w:val="0"/>
                      <w:color w:val="000000" w:themeColor="text1"/>
                      <w:sz w:val="21"/>
                      <w:szCs w:val="21"/>
                      <w:vertAlign w:val="baseline"/>
                      <w:lang w:val="en-US" w:eastAsia="zh-CN"/>
                      <w14:textFill>
                        <w14:solidFill>
                          <w14:schemeClr w14:val="tx1"/>
                        </w14:solidFill>
                      </w14:textFill>
                    </w:rPr>
                    <w:t>g/L</w:t>
                  </w:r>
                  <w:r>
                    <w:rPr>
                      <w:rFonts w:hint="eastAsia"/>
                      <w:color w:val="000000" w:themeColor="text1"/>
                      <w:sz w:val="21"/>
                      <w:szCs w:val="21"/>
                      <w:vertAlign w:val="baseline"/>
                      <w:lang w:val="en-US" w:eastAsia="zh-CN"/>
                      <w14:textFill>
                        <w14:solidFill>
                          <w14:schemeClr w14:val="tx1"/>
                        </w14:solidFill>
                      </w14:textFill>
                    </w:rPr>
                    <w:t>×3%</w:t>
                  </w:r>
                  <w:r>
                    <w:rPr>
                      <w:rFonts w:hint="eastAsia"/>
                      <w:color w:val="000000" w:themeColor="text1"/>
                      <w:sz w:val="21"/>
                      <w:szCs w:val="21"/>
                      <w:lang w:val="en-US" w:eastAsia="zh-CN"/>
                      <w14:textFill>
                        <w14:solidFill>
                          <w14:schemeClr w14:val="tx1"/>
                        </w14:solidFill>
                      </w14:textFill>
                    </w:rPr>
                    <w:t>× 10</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lang w:val="en-US" w:eastAsia="zh-CN"/>
                      <w14:textFill>
                        <w14:solidFill>
                          <w14:schemeClr w14:val="tx1"/>
                        </w14:solidFill>
                      </w14:textFill>
                    </w:rPr>
                    <w:t>= 3.307t/a。根据建设单位提供数据，单位面积工件除油剂消耗量为0.0083kg/m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vertAlign w:val="baseline"/>
                      <w:lang w:val="en-US" w:eastAsia="zh-CN"/>
                      <w14:textFill>
                        <w14:solidFill>
                          <w14:schemeClr w14:val="tx1"/>
                        </w14:solidFill>
                      </w14:textFill>
                    </w:rPr>
                    <w:t>，则</w:t>
                  </w:r>
                  <w:r>
                    <w:rPr>
                      <w:rFonts w:hint="eastAsia"/>
                      <w:color w:val="000000" w:themeColor="text1"/>
                      <w:sz w:val="21"/>
                      <w:szCs w:val="21"/>
                      <w:lang w:val="en-US" w:eastAsia="zh-CN"/>
                      <w14:textFill>
                        <w14:solidFill>
                          <w14:schemeClr w14:val="tx1"/>
                        </w14:solidFill>
                      </w14:textFill>
                    </w:rPr>
                    <w:t>生产消耗量为0.0083kg/m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×1100000m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 10</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vertAlign w:val="baseline"/>
                      <w:lang w:val="en-US" w:eastAsia="zh-CN"/>
                      <w14:textFill>
                        <w14:solidFill>
                          <w14:schemeClr w14:val="tx1"/>
                        </w14:solidFill>
                      </w14:textFill>
                    </w:rPr>
                    <w:t>=9.13t/a。</w:t>
                  </w:r>
                  <w:r>
                    <w:rPr>
                      <w:rFonts w:hint="eastAsia"/>
                      <w:color w:val="000000" w:themeColor="text1"/>
                      <w:sz w:val="21"/>
                      <w:szCs w:val="21"/>
                      <w:lang w:val="en-US" w:eastAsia="zh-CN"/>
                      <w14:textFill>
                        <w14:solidFill>
                          <w14:schemeClr w14:val="tx1"/>
                        </w14:solidFill>
                      </w14:textFill>
                    </w:rPr>
                    <w:t>以上</w:t>
                  </w:r>
                  <w:r>
                    <w:rPr>
                      <w:rFonts w:hint="eastAsia"/>
                      <w:color w:val="000000" w:themeColor="text1"/>
                      <w:sz w:val="21"/>
                      <w:szCs w:val="21"/>
                      <w14:textFill>
                        <w14:solidFill>
                          <w14:schemeClr w14:val="tx1"/>
                        </w14:solidFill>
                      </w14:textFill>
                    </w:rPr>
                    <w:t>合计</w:t>
                  </w:r>
                  <w:r>
                    <w:rPr>
                      <w:rFonts w:hint="eastAsia"/>
                      <w:color w:val="000000" w:themeColor="text1"/>
                      <w:sz w:val="21"/>
                      <w:szCs w:val="21"/>
                      <w:lang w:val="en-US" w:eastAsia="zh-CN"/>
                      <w14:textFill>
                        <w14:solidFill>
                          <w14:schemeClr w14:val="tx1"/>
                        </w14:solidFill>
                      </w14:textFill>
                    </w:rPr>
                    <w:t>除油剂用量为=5.387+3.307+9.13=17.824</w:t>
                  </w:r>
                  <w:r>
                    <w:rPr>
                      <w:rFonts w:hint="eastAsia"/>
                      <w:color w:val="000000" w:themeColor="text1"/>
                      <w:sz w:val="21"/>
                      <w:szCs w:val="21"/>
                      <w14:textFill>
                        <w14:solidFill>
                          <w14:schemeClr w14:val="tx1"/>
                        </w14:solidFill>
                      </w14:textFill>
                    </w:rPr>
                    <w:t>t/a</w:t>
                  </w:r>
                  <w:r>
                    <w:rPr>
                      <w:rFonts w:hint="eastAsia"/>
                      <w:color w:val="000000" w:themeColor="text1"/>
                      <w:sz w:val="21"/>
                      <w:szCs w:val="21"/>
                      <w:lang w:eastAsia="zh-CN"/>
                      <w14:textFill>
                        <w14:solidFill>
                          <w14:schemeClr w14:val="tx1"/>
                        </w14:solidFill>
                      </w14:textFill>
                    </w:rPr>
                    <w:t>。</w:t>
                  </w:r>
                </w:p>
                <w:p w14:paraId="5E499B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⑤无铬钝化剂用量：</w:t>
                  </w:r>
                  <w:r>
                    <w:rPr>
                      <w:rFonts w:hint="eastAsia"/>
                      <w:color w:val="000000" w:themeColor="text1"/>
                      <w:sz w:val="21"/>
                      <w:szCs w:val="21"/>
                      <w14:textFill>
                        <w14:solidFill>
                          <w14:schemeClr w14:val="tx1"/>
                        </w14:solidFill>
                      </w14:textFill>
                    </w:rPr>
                    <w:t>钝化工艺浓度</w:t>
                  </w:r>
                  <w:r>
                    <w:rPr>
                      <w:rFonts w:hint="eastAsia"/>
                      <w:color w:val="000000" w:themeColor="text1"/>
                      <w:sz w:val="21"/>
                      <w:szCs w:val="21"/>
                      <w:lang w:val="en-US" w:eastAsia="zh-CN"/>
                      <w14:textFill>
                        <w14:solidFill>
                          <w14:schemeClr w14:val="tx1"/>
                        </w14:solidFill>
                      </w14:textFill>
                    </w:rPr>
                    <w:t>为1%</w:t>
                  </w:r>
                  <w:r>
                    <w:rPr>
                      <w:rFonts w:hint="eastAsia"/>
                      <w:color w:val="000000" w:themeColor="text1"/>
                      <w:sz w:val="21"/>
                      <w:szCs w:val="21"/>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密</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度:1.32~1.43g/cm</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3</w:t>
                  </w:r>
                  <w:r>
                    <w:rPr>
                      <w:rFonts w:hint="eastAsia" w:cs="Times New Roman"/>
                      <w:b w:val="0"/>
                      <w:bCs w:val="0"/>
                      <w:color w:val="000000" w:themeColor="text1"/>
                      <w:sz w:val="21"/>
                      <w:szCs w:val="21"/>
                      <w:vertAlign w:val="baseline"/>
                      <w:lang w:val="en-US" w:eastAsia="zh-CN"/>
                      <w14:textFill>
                        <w14:solidFill>
                          <w14:schemeClr w14:val="tx1"/>
                        </w14:solidFill>
                      </w14:textFill>
                    </w:rPr>
                    <w:t>，工作槽液密度约 1.003kg/L。</w:t>
                  </w:r>
                  <w:r>
                    <w:rPr>
                      <w:rFonts w:hint="eastAsia"/>
                      <w:color w:val="000000" w:themeColor="text1"/>
                      <w:sz w:val="21"/>
                      <w:szCs w:val="21"/>
                      <w:lang w:val="en-US" w:eastAsia="zh-CN"/>
                      <w14:textFill>
                        <w14:solidFill>
                          <w14:schemeClr w14:val="tx1"/>
                        </w14:solidFill>
                      </w14:textFill>
                    </w:rPr>
                    <w:t>无铬钝化定期更换槽液44.8m</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lang w:val="en-US" w:eastAsia="zh-CN"/>
                      <w14:textFill>
                        <w14:solidFill>
                          <w14:schemeClr w14:val="tx1"/>
                        </w14:solidFill>
                      </w14:textFill>
                    </w:rPr>
                    <w:t>，对应无铬钝化剂</w:t>
                  </w:r>
                  <w:r>
                    <w:rPr>
                      <w:rFonts w:hint="eastAsia"/>
                      <w:color w:val="000000" w:themeColor="text1"/>
                      <w:sz w:val="21"/>
                      <w:szCs w:val="21"/>
                      <w14:textFill>
                        <w14:solidFill>
                          <w14:schemeClr w14:val="tx1"/>
                        </w14:solidFill>
                      </w14:textFill>
                    </w:rPr>
                    <w:t>用量为</w:t>
                  </w:r>
                  <w:r>
                    <w:rPr>
                      <w:rFonts w:hint="eastAsia"/>
                      <w:color w:val="000000" w:themeColor="text1"/>
                      <w:sz w:val="21"/>
                      <w:szCs w:val="21"/>
                      <w:lang w:val="en-US" w:eastAsia="zh-CN"/>
                      <w14:textFill>
                        <w14:solidFill>
                          <w14:schemeClr w14:val="tx1"/>
                        </w14:solidFill>
                      </w14:textFill>
                    </w:rPr>
                    <w:t>=槽液</w:t>
                  </w:r>
                  <w:r>
                    <w:rPr>
                      <w:rFonts w:hint="eastAsia"/>
                      <w:color w:val="000000" w:themeColor="text1"/>
                      <w:sz w:val="21"/>
                      <w:szCs w:val="21"/>
                      <w14:textFill>
                        <w14:solidFill>
                          <w14:schemeClr w14:val="tx1"/>
                        </w14:solidFill>
                      </w14:textFill>
                    </w:rPr>
                    <w:t>年更换量×工艺浓度=</w:t>
                  </w:r>
                  <w:r>
                    <w:rPr>
                      <w:rFonts w:hint="eastAsia"/>
                      <w:color w:val="000000" w:themeColor="text1"/>
                      <w:sz w:val="21"/>
                      <w:szCs w:val="21"/>
                      <w:lang w:val="en-US" w:eastAsia="zh-CN"/>
                      <w14:textFill>
                        <w14:solidFill>
                          <w14:schemeClr w14:val="tx1"/>
                        </w14:solidFill>
                      </w14:textFill>
                    </w:rPr>
                    <w:t>44.8m</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a×1%×1.003t/m</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0.449</w:t>
                  </w:r>
                  <w:r>
                    <w:rPr>
                      <w:rFonts w:hint="eastAsia"/>
                      <w:color w:val="000000" w:themeColor="text1"/>
                      <w:sz w:val="21"/>
                      <w:szCs w:val="21"/>
                      <w14:textFill>
                        <w14:solidFill>
                          <w14:schemeClr w14:val="tx1"/>
                        </w14:solidFill>
                      </w14:textFill>
                    </w:rPr>
                    <w:t>t/</w:t>
                  </w:r>
                  <w:r>
                    <w:rPr>
                      <w:rFonts w:hint="eastAsia"/>
                      <w:color w:val="000000" w:themeColor="text1"/>
                      <w:sz w:val="21"/>
                      <w:szCs w:val="21"/>
                      <w:lang w:val="en-US" w:eastAsia="zh-CN"/>
                      <w14:textFill>
                        <w14:solidFill>
                          <w14:schemeClr w14:val="tx1"/>
                        </w14:solidFill>
                      </w14:textFill>
                    </w:rPr>
                    <w:t>a。参考《污染源源强核算技术指南 电镀》（HJ984-2018）中附录 D 不同形状镀件镀液带出量参考值一览表中简单镀件形状的自动线挂镀的镀液带出量＜0.1L/m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 取 值 0.1L/m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。根据建设单位提供数据，单位面积工件无铬钝化反应消耗量为0.004kg/m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vertAlign w:val="baseline"/>
                      <w:lang w:val="en-US" w:eastAsia="zh-CN"/>
                      <w14:textFill>
                        <w14:solidFill>
                          <w14:schemeClr w14:val="tx1"/>
                        </w14:solidFill>
                      </w14:textFill>
                    </w:rPr>
                    <w:t>，需钝化处理的工件面积为550000m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vertAlign w:val="baseline"/>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工件带出量为0.1L/m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 550000m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×1.003kg/L</w:t>
                  </w:r>
                  <w:r>
                    <w:rPr>
                      <w:rFonts w:hint="eastAsia"/>
                      <w:color w:val="000000" w:themeColor="text1"/>
                      <w:sz w:val="21"/>
                      <w:szCs w:val="21"/>
                      <w:vertAlign w:val="baseline"/>
                      <w:lang w:val="en-US" w:eastAsia="zh-CN"/>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 10</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lang w:val="en-US" w:eastAsia="zh-CN"/>
                      <w14:textFill>
                        <w14:solidFill>
                          <w14:schemeClr w14:val="tx1"/>
                        </w14:solidFill>
                      </w14:textFill>
                    </w:rPr>
                    <w:t>= 0.552t/a。</w:t>
                  </w:r>
                  <w:r>
                    <w:rPr>
                      <w:rFonts w:hint="eastAsia"/>
                      <w:color w:val="000000" w:themeColor="text1"/>
                      <w:sz w:val="21"/>
                      <w:szCs w:val="21"/>
                      <w:vertAlign w:val="baseline"/>
                      <w:lang w:val="en-US" w:eastAsia="zh-CN"/>
                      <w14:textFill>
                        <w14:solidFill>
                          <w14:schemeClr w14:val="tx1"/>
                        </w14:solidFill>
                      </w14:textFill>
                    </w:rPr>
                    <w:t>则</w:t>
                  </w:r>
                  <w:r>
                    <w:rPr>
                      <w:rFonts w:hint="eastAsia"/>
                      <w:color w:val="000000" w:themeColor="text1"/>
                      <w:sz w:val="21"/>
                      <w:szCs w:val="21"/>
                      <w:lang w:val="en-US" w:eastAsia="zh-CN"/>
                      <w14:textFill>
                        <w14:solidFill>
                          <w14:schemeClr w14:val="tx1"/>
                        </w14:solidFill>
                      </w14:textFill>
                    </w:rPr>
                    <w:t>生产消耗量为0.004kg/m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×550000m</w:t>
                  </w:r>
                  <w:r>
                    <w:rPr>
                      <w:rFonts w:hint="eastAsia"/>
                      <w:color w:val="000000" w:themeColor="text1"/>
                      <w:sz w:val="21"/>
                      <w:szCs w:val="21"/>
                      <w:vertAlign w:val="super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 10</w:t>
                  </w:r>
                  <w:r>
                    <w:rPr>
                      <w:rFonts w:hint="eastAsia"/>
                      <w:color w:val="000000" w:themeColor="text1"/>
                      <w:sz w:val="21"/>
                      <w:szCs w:val="21"/>
                      <w:vertAlign w:val="superscript"/>
                      <w:lang w:val="en-US" w:eastAsia="zh-CN"/>
                      <w14:textFill>
                        <w14:solidFill>
                          <w14:schemeClr w14:val="tx1"/>
                        </w14:solidFill>
                      </w14:textFill>
                    </w:rPr>
                    <w:t>-3</w:t>
                  </w:r>
                  <w:r>
                    <w:rPr>
                      <w:rFonts w:hint="eastAsia"/>
                      <w:color w:val="000000" w:themeColor="text1"/>
                      <w:sz w:val="21"/>
                      <w:szCs w:val="21"/>
                      <w:vertAlign w:val="baseline"/>
                      <w:lang w:val="en-US" w:eastAsia="zh-CN"/>
                      <w14:textFill>
                        <w14:solidFill>
                          <w14:schemeClr w14:val="tx1"/>
                        </w14:solidFill>
                      </w14:textFill>
                    </w:rPr>
                    <w:t>=2.2t/a。</w:t>
                  </w:r>
                  <w:r>
                    <w:rPr>
                      <w:rFonts w:hint="eastAsia"/>
                      <w:color w:val="000000" w:themeColor="text1"/>
                      <w:sz w:val="21"/>
                      <w:szCs w:val="21"/>
                      <w:lang w:val="en-US" w:eastAsia="zh-CN"/>
                      <w14:textFill>
                        <w14:solidFill>
                          <w14:schemeClr w14:val="tx1"/>
                        </w14:solidFill>
                      </w14:textFill>
                    </w:rPr>
                    <w:t>以上</w:t>
                  </w:r>
                  <w:r>
                    <w:rPr>
                      <w:rFonts w:hint="eastAsia"/>
                      <w:color w:val="000000" w:themeColor="text1"/>
                      <w:sz w:val="21"/>
                      <w:szCs w:val="21"/>
                      <w14:textFill>
                        <w14:solidFill>
                          <w14:schemeClr w14:val="tx1"/>
                        </w14:solidFill>
                      </w14:textFill>
                    </w:rPr>
                    <w:t>合计</w:t>
                  </w:r>
                  <w:r>
                    <w:rPr>
                      <w:rFonts w:hint="eastAsia"/>
                      <w:color w:val="000000" w:themeColor="text1"/>
                      <w:sz w:val="21"/>
                      <w:szCs w:val="21"/>
                      <w:lang w:val="en-US" w:eastAsia="zh-CN"/>
                      <w14:textFill>
                        <w14:solidFill>
                          <w14:schemeClr w14:val="tx1"/>
                        </w14:solidFill>
                      </w14:textFill>
                    </w:rPr>
                    <w:t>无铬钝化剂用量为=0.449+0.552+2.2=3.201</w:t>
                  </w:r>
                  <w:r>
                    <w:rPr>
                      <w:rFonts w:hint="eastAsia"/>
                      <w:color w:val="000000" w:themeColor="text1"/>
                      <w:sz w:val="21"/>
                      <w:szCs w:val="21"/>
                      <w14:textFill>
                        <w14:solidFill>
                          <w14:schemeClr w14:val="tx1"/>
                        </w14:solidFill>
                      </w14:textFill>
                    </w:rPr>
                    <w:t>t/a</w:t>
                  </w:r>
                  <w:r>
                    <w:rPr>
                      <w:rFonts w:hint="eastAsia"/>
                      <w:color w:val="000000" w:themeColor="text1"/>
                      <w:sz w:val="21"/>
                      <w:szCs w:val="21"/>
                      <w:lang w:eastAsia="zh-CN"/>
                      <w14:textFill>
                        <w14:solidFill>
                          <w14:schemeClr w14:val="tx1"/>
                        </w14:solidFill>
                      </w14:textFill>
                    </w:rPr>
                    <w:t>。</w:t>
                  </w:r>
                </w:p>
                <w:p w14:paraId="0AD8408C">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000000" w:themeColor="text1"/>
                      <w:sz w:val="21"/>
                      <w:szCs w:val="21"/>
                      <w:highlight w:val="none"/>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⑥</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油性漆-底漆</w:t>
                  </w:r>
                  <w:r>
                    <w:rPr>
                      <w:rFonts w:hint="default" w:ascii="Times New Roman" w:hAnsi="Times New Roman" w:cs="Times New Roman"/>
                      <w:bCs/>
                      <w:color w:val="000000" w:themeColor="text1"/>
                      <w:sz w:val="21"/>
                      <w:szCs w:val="21"/>
                      <w:highlight w:val="none"/>
                      <w14:textFill>
                        <w14:solidFill>
                          <w14:schemeClr w14:val="tx1"/>
                        </w14:solidFill>
                      </w14:textFill>
                    </w:rPr>
                    <w:t>调配方案为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底漆:稀释剂=</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已知底</w:t>
                  </w:r>
                  <w:r>
                    <w:rPr>
                      <w:rFonts w:hint="default" w:ascii="Times New Roman" w:hAnsi="Times New Roman" w:cs="Times New Roman"/>
                      <w:bCs/>
                      <w:color w:val="000000" w:themeColor="text1"/>
                      <w:sz w:val="21"/>
                      <w:szCs w:val="21"/>
                      <w:highlight w:val="none"/>
                      <w14:textFill>
                        <w14:solidFill>
                          <w14:schemeClr w14:val="tx1"/>
                        </w14:solidFill>
                      </w14:textFill>
                    </w:rPr>
                    <w:t>漆的密度为1</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173</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稀释</w:t>
                  </w:r>
                  <w:r>
                    <w:rPr>
                      <w:rFonts w:hint="default" w:ascii="Times New Roman" w:hAnsi="Times New Roman" w:cs="Times New Roman"/>
                      <w:bCs/>
                      <w:color w:val="000000" w:themeColor="text1"/>
                      <w:sz w:val="21"/>
                      <w:szCs w:val="21"/>
                      <w:highlight w:val="none"/>
                      <w14:textFill>
                        <w14:solidFill>
                          <w14:schemeClr w14:val="tx1"/>
                        </w14:solidFill>
                      </w14:textFill>
                    </w:rPr>
                    <w:t>剂的密度为</w:t>
                  </w:r>
                  <w:r>
                    <w:rPr>
                      <w:rFonts w:hint="eastAsia" w:cs="Times New Roman"/>
                      <w:bCs/>
                      <w:color w:val="000000" w:themeColor="text1"/>
                      <w:sz w:val="21"/>
                      <w:szCs w:val="21"/>
                      <w:highlight w:val="none"/>
                      <w:lang w:val="en-US" w:eastAsia="zh-CN"/>
                      <w14:textFill>
                        <w14:solidFill>
                          <w14:schemeClr w14:val="tx1"/>
                        </w14:solidFill>
                      </w14:textFill>
                    </w:rPr>
                    <w:t>0.892</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。调配后</w:t>
                  </w:r>
                  <w:r>
                    <w:rPr>
                      <w:rFonts w:hint="eastAsia" w:cs="Times New Roman"/>
                      <w:bCs/>
                      <w:color w:val="000000" w:themeColor="text1"/>
                      <w:sz w:val="21"/>
                      <w:szCs w:val="21"/>
                      <w:highlight w:val="none"/>
                      <w:lang w:val="en-US" w:eastAsia="zh-CN"/>
                      <w14:textFill>
                        <w14:solidFill>
                          <w14:schemeClr w14:val="tx1"/>
                        </w14:solidFill>
                      </w14:textFill>
                    </w:rPr>
                    <w:t>油性</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底漆</w:t>
                  </w:r>
                  <w:r>
                    <w:rPr>
                      <w:rFonts w:hint="default" w:ascii="Times New Roman" w:hAnsi="Times New Roman" w:cs="Times New Roman"/>
                      <w:bCs/>
                      <w:color w:val="000000" w:themeColor="text1"/>
                      <w:sz w:val="21"/>
                      <w:szCs w:val="21"/>
                      <w:highlight w:val="none"/>
                      <w14:textFill>
                        <w14:solidFill>
                          <w14:schemeClr w14:val="tx1"/>
                        </w14:solidFill>
                      </w14:textFill>
                    </w:rPr>
                    <w:t>密度、固含量的计算过程如下：设</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底</w:t>
                  </w:r>
                  <w:r>
                    <w:rPr>
                      <w:rFonts w:hint="default" w:ascii="Times New Roman" w:hAnsi="Times New Roman" w:cs="Times New Roman"/>
                      <w:bCs/>
                      <w:color w:val="000000" w:themeColor="text1"/>
                      <w:sz w:val="21"/>
                      <w:szCs w:val="21"/>
                      <w:highlight w:val="none"/>
                      <w14:textFill>
                        <w14:solidFill>
                          <w14:schemeClr w14:val="tx1"/>
                        </w14:solidFill>
                      </w14:textFill>
                    </w:rPr>
                    <w:t>漆的年用量约为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X克，则稀释剂的年用量为</w:t>
                  </w:r>
                  <w:r>
                    <w:rPr>
                      <w:rFonts w:hint="eastAsia" w:cs="Times New Roman"/>
                      <w:bCs/>
                      <w:color w:val="000000" w:themeColor="text1"/>
                      <w:sz w:val="21"/>
                      <w:szCs w:val="21"/>
                      <w:highlight w:val="none"/>
                      <w:lang w:val="en-US" w:eastAsia="zh-CN"/>
                      <w14:textFill>
                        <w14:solidFill>
                          <w14:schemeClr w14:val="tx1"/>
                        </w14:solidFill>
                      </w14:textFill>
                    </w:rPr>
                    <w:t>0.1</w:t>
                  </w:r>
                  <w:r>
                    <w:rPr>
                      <w:rFonts w:hint="default" w:ascii="Times New Roman" w:hAnsi="Times New Roman" w:cs="Times New Roman"/>
                      <w:bCs/>
                      <w:color w:val="000000" w:themeColor="text1"/>
                      <w:sz w:val="21"/>
                      <w:szCs w:val="21"/>
                      <w:highlight w:val="none"/>
                      <w14:textFill>
                        <w14:solidFill>
                          <w14:schemeClr w14:val="tx1"/>
                        </w14:solidFill>
                      </w14:textFill>
                    </w:rPr>
                    <w:t>X克；调配后的</w:t>
                  </w:r>
                  <w:r>
                    <w:rPr>
                      <w:rFonts w:hint="eastAsia" w:cs="Times New Roman"/>
                      <w:bCs/>
                      <w:color w:val="000000" w:themeColor="text1"/>
                      <w:sz w:val="21"/>
                      <w:szCs w:val="21"/>
                      <w:highlight w:val="none"/>
                      <w:lang w:val="en-US" w:eastAsia="zh-CN"/>
                      <w14:textFill>
                        <w14:solidFill>
                          <w14:schemeClr w14:val="tx1"/>
                        </w14:solidFill>
                      </w14:textFill>
                    </w:rPr>
                    <w:t>油性</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底漆</w:t>
                  </w:r>
                  <w:r>
                    <w:rPr>
                      <w:rFonts w:hint="default" w:ascii="Times New Roman" w:hAnsi="Times New Roman" w:cs="Times New Roman"/>
                      <w:bCs/>
                      <w:color w:val="000000" w:themeColor="text1"/>
                      <w:sz w:val="21"/>
                      <w:szCs w:val="21"/>
                      <w:highlight w:val="none"/>
                      <w14:textFill>
                        <w14:solidFill>
                          <w14:schemeClr w14:val="tx1"/>
                        </w14:solidFill>
                      </w14:textFill>
                    </w:rPr>
                    <w:t>总年用量为：</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eastAsia" w:cs="Times New Roman"/>
                      <w:bCs/>
                      <w:color w:val="000000" w:themeColor="text1"/>
                      <w:sz w:val="21"/>
                      <w:szCs w:val="21"/>
                      <w:highlight w:val="none"/>
                      <w:lang w:val="en-US" w:eastAsia="zh-CN"/>
                      <w14:textFill>
                        <w14:solidFill>
                          <w14:schemeClr w14:val="tx1"/>
                        </w14:solidFill>
                      </w14:textFill>
                    </w:rPr>
                    <w:t>0.1</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eastAsia"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Xg，总体积为：1X/</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173</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0.1</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eastAsia" w:cs="Times New Roman"/>
                      <w:bCs/>
                      <w:color w:val="000000" w:themeColor="text1"/>
                      <w:sz w:val="21"/>
                      <w:szCs w:val="21"/>
                      <w:highlight w:val="none"/>
                      <w:lang w:val="en-US" w:eastAsia="zh-CN"/>
                      <w14:textFill>
                        <w14:solidFill>
                          <w14:schemeClr w14:val="tx1"/>
                        </w14:solidFill>
                      </w14:textFill>
                    </w:rPr>
                    <w:t>0.892</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w:t>
                  </w:r>
                  <w:r>
                    <w:rPr>
                      <w:rFonts w:hint="eastAsia" w:cs="Times New Roman"/>
                      <w:bCs/>
                      <w:color w:val="000000" w:themeColor="text1"/>
                      <w:sz w:val="21"/>
                      <w:szCs w:val="21"/>
                      <w:highlight w:val="none"/>
                      <w:lang w:val="en-US" w:eastAsia="zh-CN"/>
                      <w14:textFill>
                        <w14:solidFill>
                          <w14:schemeClr w14:val="tx1"/>
                        </w14:solidFill>
                      </w14:textFill>
                    </w:rPr>
                    <w:t>0.965</w:t>
                  </w:r>
                  <w:r>
                    <w:rPr>
                      <w:rFonts w:hint="default" w:ascii="Times New Roman" w:hAnsi="Times New Roman" w:cs="Times New Roman"/>
                      <w:bCs/>
                      <w:color w:val="000000" w:themeColor="text1"/>
                      <w:sz w:val="21"/>
                      <w:szCs w:val="21"/>
                      <w:highlight w:val="none"/>
                      <w14:textFill>
                        <w14:solidFill>
                          <w14:schemeClr w14:val="tx1"/>
                        </w14:solidFill>
                      </w14:textFill>
                    </w:rPr>
                    <w:t>Xcm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p>
                <w:p w14:paraId="7FD7AD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eastAsia="宋体"/>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调配后的底漆相对密度为：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eastAsia"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Xg/</w:t>
                  </w:r>
                  <w:r>
                    <w:rPr>
                      <w:rFonts w:hint="eastAsia" w:cs="Times New Roman"/>
                      <w:bCs/>
                      <w:color w:val="000000" w:themeColor="text1"/>
                      <w:sz w:val="21"/>
                      <w:szCs w:val="21"/>
                      <w:highlight w:val="none"/>
                      <w:lang w:val="en-US" w:eastAsia="zh-CN"/>
                      <w14:textFill>
                        <w14:solidFill>
                          <w14:schemeClr w14:val="tx1"/>
                        </w14:solidFill>
                      </w14:textFill>
                    </w:rPr>
                    <w:t>0.965</w:t>
                  </w:r>
                  <w:r>
                    <w:rPr>
                      <w:rFonts w:hint="default" w:ascii="Times New Roman" w:hAnsi="Times New Roman" w:cs="Times New Roman"/>
                      <w:bCs/>
                      <w:color w:val="000000" w:themeColor="text1"/>
                      <w:sz w:val="21"/>
                      <w:szCs w:val="21"/>
                      <w:highlight w:val="none"/>
                      <w14:textFill>
                        <w14:solidFill>
                          <w14:schemeClr w14:val="tx1"/>
                        </w14:solidFill>
                      </w14:textFill>
                    </w:rPr>
                    <w:t>Xcm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w:t>
                  </w:r>
                  <w:r>
                    <w:rPr>
                      <w:rFonts w:hint="eastAsia" w:cs="Times New Roman"/>
                      <w:bCs/>
                      <w:color w:val="000000" w:themeColor="text1"/>
                      <w:sz w:val="21"/>
                      <w:szCs w:val="21"/>
                      <w:highlight w:val="none"/>
                      <w:lang w:val="en-US" w:eastAsia="zh-CN"/>
                      <w14:textFill>
                        <w14:solidFill>
                          <w14:schemeClr w14:val="tx1"/>
                        </w14:solidFill>
                      </w14:textFill>
                    </w:rPr>
                    <w:t>1.14</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，固含率</w:t>
                  </w:r>
                  <w:r>
                    <w:rPr>
                      <w:rFonts w:hint="eastAsia" w:cs="Times New Roman"/>
                      <w:bCs/>
                      <w:color w:val="000000" w:themeColor="text1"/>
                      <w:sz w:val="21"/>
                      <w:szCs w:val="21"/>
                      <w:highlight w:val="none"/>
                      <w:lang w:val="en-US" w:eastAsia="zh-CN"/>
                      <w14:textFill>
                        <w14:solidFill>
                          <w14:schemeClr w14:val="tx1"/>
                        </w14:solidFill>
                      </w14:textFill>
                    </w:rPr>
                    <w:t>=油性底漆的固含量/调配后的油性底漆总年用量=（1-279g/L/1.173</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eastAsia" w:cs="Times New Roman"/>
                      <w:bCs/>
                      <w:color w:val="000000" w:themeColor="text1"/>
                      <w:sz w:val="21"/>
                      <w:szCs w:val="21"/>
                      <w:highlight w:val="none"/>
                      <w:lang w:val="en-US" w:eastAsia="zh-CN"/>
                      <w14:textFill>
                        <w14:solidFill>
                          <w14:schemeClr w14:val="tx1"/>
                        </w14:solidFill>
                      </w14:textFill>
                    </w:rPr>
                    <w:t>）X/1.1Xg×100%=69.29</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eastAsia" w:ascii="Times New Roman" w:hAnsi="Times New Roman" w:cs="Times New Roman"/>
                      <w:bCs/>
                      <w:color w:val="000000" w:themeColor="text1"/>
                      <w:sz w:val="21"/>
                      <w:szCs w:val="21"/>
                      <w:highlight w:val="none"/>
                      <w:lang w:eastAsia="zh-CN"/>
                      <w14:textFill>
                        <w14:solidFill>
                          <w14:schemeClr w14:val="tx1"/>
                        </w14:solidFill>
                      </w14:textFill>
                    </w:rPr>
                    <w:t>。</w:t>
                  </w:r>
                </w:p>
                <w:p w14:paraId="26D9EF74">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⑦</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油性漆-面漆调配方案为：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面漆:稀释剂=1:0.</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已知面</w:t>
                  </w:r>
                  <w:r>
                    <w:rPr>
                      <w:rFonts w:hint="default" w:ascii="Times New Roman" w:hAnsi="Times New Roman" w:cs="Times New Roman"/>
                      <w:bCs/>
                      <w:color w:val="000000" w:themeColor="text1"/>
                      <w:sz w:val="21"/>
                      <w:szCs w:val="21"/>
                      <w:highlight w:val="none"/>
                      <w14:textFill>
                        <w14:solidFill>
                          <w14:schemeClr w14:val="tx1"/>
                        </w14:solidFill>
                      </w14:textFill>
                    </w:rPr>
                    <w:t>漆的密度为1</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.07</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稀释</w:t>
                  </w:r>
                  <w:r>
                    <w:rPr>
                      <w:rFonts w:hint="default" w:ascii="Times New Roman" w:hAnsi="Times New Roman" w:cs="Times New Roman"/>
                      <w:bCs/>
                      <w:color w:val="000000" w:themeColor="text1"/>
                      <w:sz w:val="21"/>
                      <w:szCs w:val="21"/>
                      <w:highlight w:val="none"/>
                      <w14:textFill>
                        <w14:solidFill>
                          <w14:schemeClr w14:val="tx1"/>
                        </w14:solidFill>
                      </w14:textFill>
                    </w:rPr>
                    <w:t>剂的密度为</w:t>
                  </w:r>
                  <w:r>
                    <w:rPr>
                      <w:rFonts w:hint="eastAsia" w:cs="Times New Roman"/>
                      <w:bCs/>
                      <w:color w:val="000000" w:themeColor="text1"/>
                      <w:sz w:val="21"/>
                      <w:szCs w:val="21"/>
                      <w:highlight w:val="none"/>
                      <w:lang w:val="en-US" w:eastAsia="zh-CN"/>
                      <w14:textFill>
                        <w14:solidFill>
                          <w14:schemeClr w14:val="tx1"/>
                        </w14:solidFill>
                      </w14:textFill>
                    </w:rPr>
                    <w:t>0.892</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。调配后</w:t>
                  </w:r>
                  <w:r>
                    <w:rPr>
                      <w:rFonts w:hint="eastAsia" w:cs="Times New Roman"/>
                      <w:bCs/>
                      <w:color w:val="000000" w:themeColor="text1"/>
                      <w:sz w:val="21"/>
                      <w:szCs w:val="21"/>
                      <w:highlight w:val="none"/>
                      <w:lang w:val="en-US" w:eastAsia="zh-CN"/>
                      <w14:textFill>
                        <w14:solidFill>
                          <w14:schemeClr w14:val="tx1"/>
                        </w14:solidFill>
                      </w14:textFill>
                    </w:rPr>
                    <w:t>油性</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面漆</w:t>
                  </w:r>
                  <w:r>
                    <w:rPr>
                      <w:rFonts w:hint="default" w:ascii="Times New Roman" w:hAnsi="Times New Roman" w:cs="Times New Roman"/>
                      <w:bCs/>
                      <w:color w:val="000000" w:themeColor="text1"/>
                      <w:sz w:val="21"/>
                      <w:szCs w:val="21"/>
                      <w:highlight w:val="none"/>
                      <w14:textFill>
                        <w14:solidFill>
                          <w14:schemeClr w14:val="tx1"/>
                        </w14:solidFill>
                      </w14:textFill>
                    </w:rPr>
                    <w:t>密度、固含量的计算过程如下：设</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面漆</w:t>
                  </w:r>
                  <w:r>
                    <w:rPr>
                      <w:rFonts w:hint="default" w:ascii="Times New Roman" w:hAnsi="Times New Roman" w:cs="Times New Roman"/>
                      <w:bCs/>
                      <w:color w:val="000000" w:themeColor="text1"/>
                      <w:sz w:val="21"/>
                      <w:szCs w:val="21"/>
                      <w:highlight w:val="none"/>
                      <w14:textFill>
                        <w14:solidFill>
                          <w14:schemeClr w14:val="tx1"/>
                        </w14:solidFill>
                      </w14:textFill>
                    </w:rPr>
                    <w:t>的年用量约为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X克，</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则</w:t>
                  </w:r>
                  <w:r>
                    <w:rPr>
                      <w:rFonts w:hint="default" w:ascii="Times New Roman" w:hAnsi="Times New Roman" w:cs="Times New Roman"/>
                      <w:bCs/>
                      <w:color w:val="000000" w:themeColor="text1"/>
                      <w:sz w:val="21"/>
                      <w:szCs w:val="21"/>
                      <w:highlight w:val="none"/>
                      <w14:textFill>
                        <w14:solidFill>
                          <w14:schemeClr w14:val="tx1"/>
                        </w14:solidFill>
                      </w14:textFill>
                    </w:rPr>
                    <w:t>稀释剂的年用量为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0.</w:t>
                  </w:r>
                  <w:r>
                    <w:rPr>
                      <w:rFonts w:hint="eastAsia" w:cs="Times New Roman"/>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sz w:val="21"/>
                      <w:szCs w:val="21"/>
                      <w:highlight w:val="none"/>
                      <w14:textFill>
                        <w14:solidFill>
                          <w14:schemeClr w14:val="tx1"/>
                        </w14:solidFill>
                      </w14:textFill>
                    </w:rPr>
                    <w:t>X克</w:t>
                  </w:r>
                  <w:r>
                    <w:rPr>
                      <w:rFonts w:hint="eastAsia"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14:textFill>
                        <w14:solidFill>
                          <w14:schemeClr w14:val="tx1"/>
                        </w14:solidFill>
                      </w14:textFill>
                    </w:rPr>
                    <w:t>调配后的</w:t>
                  </w:r>
                  <w:r>
                    <w:rPr>
                      <w:rFonts w:hint="eastAsia" w:cs="Times New Roman"/>
                      <w:bCs/>
                      <w:color w:val="000000" w:themeColor="text1"/>
                      <w:sz w:val="21"/>
                      <w:szCs w:val="21"/>
                      <w:highlight w:val="none"/>
                      <w:lang w:val="en-US" w:eastAsia="zh-CN"/>
                      <w14:textFill>
                        <w14:solidFill>
                          <w14:schemeClr w14:val="tx1"/>
                        </w14:solidFill>
                      </w14:textFill>
                    </w:rPr>
                    <w:t>油性</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面漆</w:t>
                  </w:r>
                  <w:r>
                    <w:rPr>
                      <w:rFonts w:hint="default" w:ascii="Times New Roman" w:hAnsi="Times New Roman" w:cs="Times New Roman"/>
                      <w:bCs/>
                      <w:color w:val="000000" w:themeColor="text1"/>
                      <w:sz w:val="21"/>
                      <w:szCs w:val="21"/>
                      <w:highlight w:val="none"/>
                      <w14:textFill>
                        <w14:solidFill>
                          <w14:schemeClr w14:val="tx1"/>
                        </w14:solidFill>
                      </w14:textFill>
                    </w:rPr>
                    <w:t>总年用量为：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0.</w:t>
                  </w:r>
                  <w:r>
                    <w:rPr>
                      <w:rFonts w:hint="eastAsia" w:cs="Times New Roman"/>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eastAsia" w:cs="Times New Roman"/>
                      <w:bCs/>
                      <w:color w:val="000000" w:themeColor="text1"/>
                      <w:sz w:val="21"/>
                      <w:szCs w:val="21"/>
                      <w:highlight w:val="none"/>
                      <w:lang w:val="en-US" w:eastAsia="zh-CN"/>
                      <w14:textFill>
                        <w14:solidFill>
                          <w14:schemeClr w14:val="tx1"/>
                        </w14:solidFill>
                      </w14:textFill>
                    </w:rPr>
                    <w:t>1.2</w:t>
                  </w:r>
                  <w:r>
                    <w:rPr>
                      <w:rFonts w:hint="default" w:ascii="Times New Roman" w:hAnsi="Times New Roman" w:cs="Times New Roman"/>
                      <w:bCs/>
                      <w:color w:val="000000" w:themeColor="text1"/>
                      <w:sz w:val="21"/>
                      <w:szCs w:val="21"/>
                      <w:highlight w:val="none"/>
                      <w14:textFill>
                        <w14:solidFill>
                          <w14:schemeClr w14:val="tx1"/>
                        </w14:solidFill>
                      </w14:textFill>
                    </w:rPr>
                    <w:t>Xg，总体积为：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1.07</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0.</w:t>
                  </w:r>
                  <w:r>
                    <w:rPr>
                      <w:rFonts w:hint="eastAsia" w:cs="Times New Roman"/>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eastAsia" w:cs="Times New Roman"/>
                      <w:bCs/>
                      <w:color w:val="000000" w:themeColor="text1"/>
                      <w:sz w:val="21"/>
                      <w:szCs w:val="21"/>
                      <w:highlight w:val="none"/>
                      <w:lang w:val="en-US" w:eastAsia="zh-CN"/>
                      <w14:textFill>
                        <w14:solidFill>
                          <w14:schemeClr w14:val="tx1"/>
                        </w14:solidFill>
                      </w14:textFill>
                    </w:rPr>
                    <w:t>0.892</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eastAsia" w:cs="Times New Roman"/>
                      <w:bCs/>
                      <w:color w:val="000000" w:themeColor="text1"/>
                      <w:sz w:val="21"/>
                      <w:szCs w:val="21"/>
                      <w:highlight w:val="none"/>
                      <w:lang w:val="en-US" w:eastAsia="zh-CN"/>
                      <w14:textFill>
                        <w14:solidFill>
                          <w14:schemeClr w14:val="tx1"/>
                        </w14:solidFill>
                      </w14:textFill>
                    </w:rPr>
                    <w:t>≈1.158</w:t>
                  </w:r>
                  <w:r>
                    <w:rPr>
                      <w:rFonts w:hint="default" w:ascii="Times New Roman" w:hAnsi="Times New Roman" w:cs="Times New Roman"/>
                      <w:bCs/>
                      <w:color w:val="000000" w:themeColor="text1"/>
                      <w:sz w:val="21"/>
                      <w:szCs w:val="21"/>
                      <w:highlight w:val="none"/>
                      <w14:textFill>
                        <w14:solidFill>
                          <w14:schemeClr w14:val="tx1"/>
                        </w14:solidFill>
                      </w14:textFill>
                    </w:rPr>
                    <w:t>Xcm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p>
                <w:p w14:paraId="7BC44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eastAsia="宋体"/>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调配后的</w:t>
                  </w:r>
                  <w:r>
                    <w:rPr>
                      <w:rFonts w:hint="eastAsia" w:cs="Times New Roman"/>
                      <w:bCs/>
                      <w:color w:val="000000" w:themeColor="text1"/>
                      <w:sz w:val="21"/>
                      <w:szCs w:val="21"/>
                      <w:highlight w:val="none"/>
                      <w:lang w:val="en-US" w:eastAsia="zh-CN"/>
                      <w14:textFill>
                        <w14:solidFill>
                          <w14:schemeClr w14:val="tx1"/>
                        </w14:solidFill>
                      </w14:textFill>
                    </w:rPr>
                    <w:t>面</w:t>
                  </w:r>
                  <w:r>
                    <w:rPr>
                      <w:rFonts w:hint="default" w:ascii="Times New Roman" w:hAnsi="Times New Roman" w:cs="Times New Roman"/>
                      <w:bCs/>
                      <w:color w:val="000000" w:themeColor="text1"/>
                      <w:sz w:val="21"/>
                      <w:szCs w:val="21"/>
                      <w:highlight w:val="none"/>
                      <w14:textFill>
                        <w14:solidFill>
                          <w14:schemeClr w14:val="tx1"/>
                        </w14:solidFill>
                      </w14:textFill>
                    </w:rPr>
                    <w:t>漆相对密度为：</w:t>
                  </w:r>
                  <w:r>
                    <w:rPr>
                      <w:rFonts w:hint="eastAsia" w:cs="Times New Roman"/>
                      <w:bCs/>
                      <w:color w:val="000000" w:themeColor="text1"/>
                      <w:sz w:val="21"/>
                      <w:szCs w:val="21"/>
                      <w:highlight w:val="none"/>
                      <w:lang w:val="en-US" w:eastAsia="zh-CN"/>
                      <w14:textFill>
                        <w14:solidFill>
                          <w14:schemeClr w14:val="tx1"/>
                        </w14:solidFill>
                      </w14:textFill>
                    </w:rPr>
                    <w:t>1.2</w:t>
                  </w:r>
                  <w:r>
                    <w:rPr>
                      <w:rFonts w:hint="default" w:ascii="Times New Roman" w:hAnsi="Times New Roman" w:cs="Times New Roman"/>
                      <w:bCs/>
                      <w:color w:val="000000" w:themeColor="text1"/>
                      <w:sz w:val="21"/>
                      <w:szCs w:val="21"/>
                      <w:highlight w:val="none"/>
                      <w14:textFill>
                        <w14:solidFill>
                          <w14:schemeClr w14:val="tx1"/>
                        </w14:solidFill>
                      </w14:textFill>
                    </w:rPr>
                    <w:t>Xg/</w:t>
                  </w:r>
                  <w:r>
                    <w:rPr>
                      <w:rFonts w:hint="eastAsia" w:cs="Times New Roman"/>
                      <w:bCs/>
                      <w:color w:val="000000" w:themeColor="text1"/>
                      <w:sz w:val="21"/>
                      <w:szCs w:val="21"/>
                      <w:highlight w:val="none"/>
                      <w:lang w:val="en-US" w:eastAsia="zh-CN"/>
                      <w14:textFill>
                        <w14:solidFill>
                          <w14:schemeClr w14:val="tx1"/>
                        </w14:solidFill>
                      </w14:textFill>
                    </w:rPr>
                    <w:t>1.158</w:t>
                  </w:r>
                  <w:r>
                    <w:rPr>
                      <w:rFonts w:hint="default" w:ascii="Times New Roman" w:hAnsi="Times New Roman" w:cs="Times New Roman"/>
                      <w:bCs/>
                      <w:color w:val="000000" w:themeColor="text1"/>
                      <w:sz w:val="21"/>
                      <w:szCs w:val="21"/>
                      <w:highlight w:val="none"/>
                      <w14:textFill>
                        <w14:solidFill>
                          <w14:schemeClr w14:val="tx1"/>
                        </w14:solidFill>
                      </w14:textFill>
                    </w:rPr>
                    <w:t>Xcm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eastAsia" w:cs="Times New Roman"/>
                      <w:bCs/>
                      <w:color w:val="000000" w:themeColor="text1"/>
                      <w:sz w:val="21"/>
                      <w:szCs w:val="21"/>
                      <w:highlight w:val="none"/>
                      <w:lang w:val="en-US" w:eastAsia="zh-CN"/>
                      <w14:textFill>
                        <w14:solidFill>
                          <w14:schemeClr w14:val="tx1"/>
                        </w14:solidFill>
                      </w14:textFill>
                    </w:rPr>
                    <w:t>≈1.036</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14:textFill>
                        <w14:solidFill>
                          <w14:schemeClr w14:val="tx1"/>
                        </w14:solidFill>
                      </w14:textFill>
                    </w:rPr>
                    <w:t>固含率</w:t>
                  </w:r>
                  <w:r>
                    <w:rPr>
                      <w:rFonts w:hint="eastAsia" w:cs="Times New Roman"/>
                      <w:bCs/>
                      <w:color w:val="000000" w:themeColor="text1"/>
                      <w:sz w:val="21"/>
                      <w:szCs w:val="21"/>
                      <w:highlight w:val="none"/>
                      <w:lang w:val="en-US" w:eastAsia="zh-CN"/>
                      <w14:textFill>
                        <w14:solidFill>
                          <w14:schemeClr w14:val="tx1"/>
                        </w14:solidFill>
                      </w14:textFill>
                    </w:rPr>
                    <w:t>=油性面漆的固含量/调配后的油性面漆总年用量=（1-328g/L/1.036</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eastAsia" w:cs="Times New Roman"/>
                      <w:bCs/>
                      <w:color w:val="000000" w:themeColor="text1"/>
                      <w:sz w:val="21"/>
                      <w:szCs w:val="21"/>
                      <w:highlight w:val="none"/>
                      <w:lang w:val="en-US" w:eastAsia="zh-CN"/>
                      <w14:textFill>
                        <w14:solidFill>
                          <w14:schemeClr w14:val="tx1"/>
                        </w14:solidFill>
                      </w14:textFill>
                    </w:rPr>
                    <w:t>）X/1.2Xg×100%=57.81</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eastAsia" w:ascii="Times New Roman" w:hAnsi="Times New Roman" w:cs="Times New Roman"/>
                      <w:bCs/>
                      <w:color w:val="000000" w:themeColor="text1"/>
                      <w:sz w:val="21"/>
                      <w:szCs w:val="21"/>
                      <w:highlight w:val="none"/>
                      <w:lang w:eastAsia="zh-CN"/>
                      <w14:textFill>
                        <w14:solidFill>
                          <w14:schemeClr w14:val="tx1"/>
                        </w14:solidFill>
                      </w14:textFill>
                    </w:rPr>
                    <w:t>。</w:t>
                  </w:r>
                </w:p>
                <w:p w14:paraId="4C2D10AB">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000000" w:themeColor="text1"/>
                      <w:sz w:val="21"/>
                      <w:szCs w:val="21"/>
                      <w:highlight w:val="none"/>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⑧</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油性漆-</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清</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漆调配方案为：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面漆:稀释剂=1:0.</w:t>
                  </w:r>
                  <w:r>
                    <w:rPr>
                      <w:rFonts w:hint="eastAsia"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已知</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清</w:t>
                  </w:r>
                  <w:r>
                    <w:rPr>
                      <w:rFonts w:hint="default" w:ascii="Times New Roman" w:hAnsi="Times New Roman" w:cs="Times New Roman"/>
                      <w:bCs/>
                      <w:color w:val="000000" w:themeColor="text1"/>
                      <w:sz w:val="21"/>
                      <w:szCs w:val="21"/>
                      <w:highlight w:val="none"/>
                      <w14:textFill>
                        <w14:solidFill>
                          <w14:schemeClr w14:val="tx1"/>
                        </w14:solidFill>
                      </w14:textFill>
                    </w:rPr>
                    <w:t>漆的密度为1</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173</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稀释</w:t>
                  </w:r>
                  <w:r>
                    <w:rPr>
                      <w:rFonts w:hint="default" w:ascii="Times New Roman" w:hAnsi="Times New Roman" w:cs="Times New Roman"/>
                      <w:bCs/>
                      <w:color w:val="000000" w:themeColor="text1"/>
                      <w:sz w:val="21"/>
                      <w:szCs w:val="21"/>
                      <w:highlight w:val="none"/>
                      <w14:textFill>
                        <w14:solidFill>
                          <w14:schemeClr w14:val="tx1"/>
                        </w14:solidFill>
                      </w14:textFill>
                    </w:rPr>
                    <w:t>剂的密度为</w:t>
                  </w:r>
                  <w:r>
                    <w:rPr>
                      <w:rFonts w:hint="eastAsia" w:cs="Times New Roman"/>
                      <w:bCs/>
                      <w:color w:val="000000" w:themeColor="text1"/>
                      <w:sz w:val="21"/>
                      <w:szCs w:val="21"/>
                      <w:highlight w:val="none"/>
                      <w:lang w:val="en-US" w:eastAsia="zh-CN"/>
                      <w14:textFill>
                        <w14:solidFill>
                          <w14:schemeClr w14:val="tx1"/>
                        </w14:solidFill>
                      </w14:textFill>
                    </w:rPr>
                    <w:t>0.892</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。调配后</w:t>
                  </w:r>
                  <w:r>
                    <w:rPr>
                      <w:rFonts w:hint="eastAsia" w:cs="Times New Roman"/>
                      <w:bCs/>
                      <w:color w:val="000000" w:themeColor="text1"/>
                      <w:sz w:val="21"/>
                      <w:szCs w:val="21"/>
                      <w:highlight w:val="none"/>
                      <w:lang w:val="en-US" w:eastAsia="zh-CN"/>
                      <w14:textFill>
                        <w14:solidFill>
                          <w14:schemeClr w14:val="tx1"/>
                        </w14:solidFill>
                      </w14:textFill>
                    </w:rPr>
                    <w:t>油性</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清</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漆</w:t>
                  </w:r>
                  <w:r>
                    <w:rPr>
                      <w:rFonts w:hint="default" w:ascii="Times New Roman" w:hAnsi="Times New Roman" w:cs="Times New Roman"/>
                      <w:bCs/>
                      <w:color w:val="000000" w:themeColor="text1"/>
                      <w:sz w:val="21"/>
                      <w:szCs w:val="21"/>
                      <w:highlight w:val="none"/>
                      <w14:textFill>
                        <w14:solidFill>
                          <w14:schemeClr w14:val="tx1"/>
                        </w14:solidFill>
                      </w14:textFill>
                    </w:rPr>
                    <w:t>密度、固含量的计算过程如下：设</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清</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漆</w:t>
                  </w:r>
                  <w:r>
                    <w:rPr>
                      <w:rFonts w:hint="default" w:ascii="Times New Roman" w:hAnsi="Times New Roman" w:cs="Times New Roman"/>
                      <w:bCs/>
                      <w:color w:val="000000" w:themeColor="text1"/>
                      <w:sz w:val="21"/>
                      <w:szCs w:val="21"/>
                      <w:highlight w:val="none"/>
                      <w14:textFill>
                        <w14:solidFill>
                          <w14:schemeClr w14:val="tx1"/>
                        </w14:solidFill>
                      </w14:textFill>
                    </w:rPr>
                    <w:t>的年用量约为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X克，</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则</w:t>
                  </w:r>
                  <w:r>
                    <w:rPr>
                      <w:rFonts w:hint="default" w:ascii="Times New Roman" w:hAnsi="Times New Roman" w:cs="Times New Roman"/>
                      <w:bCs/>
                      <w:color w:val="000000" w:themeColor="text1"/>
                      <w:sz w:val="21"/>
                      <w:szCs w:val="21"/>
                      <w:highlight w:val="none"/>
                      <w14:textFill>
                        <w14:solidFill>
                          <w14:schemeClr w14:val="tx1"/>
                        </w14:solidFill>
                      </w14:textFill>
                    </w:rPr>
                    <w:t>稀释剂的年用量为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0.</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15</w:t>
                  </w:r>
                  <w:r>
                    <w:rPr>
                      <w:rFonts w:hint="default" w:ascii="Times New Roman" w:hAnsi="Times New Roman" w:cs="Times New Roman"/>
                      <w:bCs/>
                      <w:color w:val="000000" w:themeColor="text1"/>
                      <w:sz w:val="21"/>
                      <w:szCs w:val="21"/>
                      <w:highlight w:val="none"/>
                      <w14:textFill>
                        <w14:solidFill>
                          <w14:schemeClr w14:val="tx1"/>
                        </w14:solidFill>
                      </w14:textFill>
                    </w:rPr>
                    <w:t>X克</w:t>
                  </w:r>
                  <w:r>
                    <w:rPr>
                      <w:rFonts w:hint="eastAsia"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14:textFill>
                        <w14:solidFill>
                          <w14:schemeClr w14:val="tx1"/>
                        </w14:solidFill>
                      </w14:textFill>
                    </w:rPr>
                    <w:t>调配后的</w:t>
                  </w:r>
                  <w:r>
                    <w:rPr>
                      <w:rFonts w:hint="eastAsia" w:cs="Times New Roman"/>
                      <w:bCs/>
                      <w:color w:val="000000" w:themeColor="text1"/>
                      <w:sz w:val="21"/>
                      <w:szCs w:val="21"/>
                      <w:highlight w:val="none"/>
                      <w:lang w:val="en-US" w:eastAsia="zh-CN"/>
                      <w14:textFill>
                        <w14:solidFill>
                          <w14:schemeClr w14:val="tx1"/>
                        </w14:solidFill>
                      </w14:textFill>
                    </w:rPr>
                    <w:t>油性</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清</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漆</w:t>
                  </w:r>
                  <w:r>
                    <w:rPr>
                      <w:rFonts w:hint="default" w:ascii="Times New Roman" w:hAnsi="Times New Roman" w:cs="Times New Roman"/>
                      <w:bCs/>
                      <w:color w:val="000000" w:themeColor="text1"/>
                      <w:sz w:val="21"/>
                      <w:szCs w:val="21"/>
                      <w:highlight w:val="none"/>
                      <w14:textFill>
                        <w14:solidFill>
                          <w14:schemeClr w14:val="tx1"/>
                        </w14:solidFill>
                      </w14:textFill>
                    </w:rPr>
                    <w:t>总年用量为：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0.</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15</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eastAsia" w:cs="Times New Roman"/>
                      <w:bCs/>
                      <w:color w:val="000000" w:themeColor="text1"/>
                      <w:sz w:val="21"/>
                      <w:szCs w:val="21"/>
                      <w:highlight w:val="none"/>
                      <w:lang w:val="en-US" w:eastAsia="zh-CN"/>
                      <w14:textFill>
                        <w14:solidFill>
                          <w14:schemeClr w14:val="tx1"/>
                        </w14:solidFill>
                      </w14:textFill>
                    </w:rPr>
                    <w:t>1.15</w:t>
                  </w:r>
                  <w:r>
                    <w:rPr>
                      <w:rFonts w:hint="default" w:ascii="Times New Roman" w:hAnsi="Times New Roman" w:cs="Times New Roman"/>
                      <w:bCs/>
                      <w:color w:val="000000" w:themeColor="text1"/>
                      <w:sz w:val="21"/>
                      <w:szCs w:val="21"/>
                      <w:highlight w:val="none"/>
                      <w14:textFill>
                        <w14:solidFill>
                          <w14:schemeClr w14:val="tx1"/>
                        </w14:solidFill>
                      </w14:textFill>
                    </w:rPr>
                    <w:t>Xg，总体积为：</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173</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0.</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15</w:t>
                  </w:r>
                  <w:r>
                    <w:rPr>
                      <w:rFonts w:hint="default" w:ascii="Times New Roman" w:hAnsi="Times New Roman" w:cs="Times New Roman"/>
                      <w:bCs/>
                      <w:color w:val="000000" w:themeColor="text1"/>
                      <w:sz w:val="21"/>
                      <w:szCs w:val="21"/>
                      <w:highlight w:val="none"/>
                      <w14:textFill>
                        <w14:solidFill>
                          <w14:schemeClr w14:val="tx1"/>
                        </w14:solidFill>
                      </w14:textFill>
                    </w:rPr>
                    <w:t>X/</w:t>
                  </w:r>
                  <w:r>
                    <w:rPr>
                      <w:rFonts w:hint="eastAsia" w:cs="Times New Roman"/>
                      <w:bCs/>
                      <w:color w:val="000000" w:themeColor="text1"/>
                      <w:sz w:val="21"/>
                      <w:szCs w:val="21"/>
                      <w:highlight w:val="none"/>
                      <w:lang w:val="en-US" w:eastAsia="zh-CN"/>
                      <w14:textFill>
                        <w14:solidFill>
                          <w14:schemeClr w14:val="tx1"/>
                        </w14:solidFill>
                      </w14:textFill>
                    </w:rPr>
                    <w:t>0.892</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eastAsia" w:cs="Times New Roman"/>
                      <w:bCs/>
                      <w:color w:val="000000" w:themeColor="text1"/>
                      <w:sz w:val="21"/>
                      <w:szCs w:val="21"/>
                      <w:highlight w:val="none"/>
                      <w:lang w:val="en-US" w:eastAsia="zh-CN"/>
                      <w14:textFill>
                        <w14:solidFill>
                          <w14:schemeClr w14:val="tx1"/>
                        </w14:solidFill>
                      </w14:textFill>
                    </w:rPr>
                    <w:t>≈1.021</w:t>
                  </w:r>
                  <w:r>
                    <w:rPr>
                      <w:rFonts w:hint="default" w:ascii="Times New Roman" w:hAnsi="Times New Roman" w:cs="Times New Roman"/>
                      <w:bCs/>
                      <w:color w:val="000000" w:themeColor="text1"/>
                      <w:sz w:val="21"/>
                      <w:szCs w:val="21"/>
                      <w:highlight w:val="none"/>
                      <w14:textFill>
                        <w14:solidFill>
                          <w14:schemeClr w14:val="tx1"/>
                        </w14:solidFill>
                      </w14:textFill>
                    </w:rPr>
                    <w:t>Xcm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p>
                <w:p w14:paraId="08E30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调配后的</w:t>
                  </w:r>
                  <w:r>
                    <w:rPr>
                      <w:rFonts w:hint="eastAsia" w:cs="Times New Roman"/>
                      <w:bCs/>
                      <w:color w:val="000000" w:themeColor="text1"/>
                      <w:sz w:val="21"/>
                      <w:szCs w:val="21"/>
                      <w:highlight w:val="none"/>
                      <w:lang w:val="en-US" w:eastAsia="zh-CN"/>
                      <w14:textFill>
                        <w14:solidFill>
                          <w14:schemeClr w14:val="tx1"/>
                        </w14:solidFill>
                      </w14:textFill>
                    </w:rPr>
                    <w:t>面</w:t>
                  </w:r>
                  <w:r>
                    <w:rPr>
                      <w:rFonts w:hint="default" w:ascii="Times New Roman" w:hAnsi="Times New Roman" w:cs="Times New Roman"/>
                      <w:bCs/>
                      <w:color w:val="000000" w:themeColor="text1"/>
                      <w:sz w:val="21"/>
                      <w:szCs w:val="21"/>
                      <w:highlight w:val="none"/>
                      <w14:textFill>
                        <w14:solidFill>
                          <w14:schemeClr w14:val="tx1"/>
                        </w14:solidFill>
                      </w14:textFill>
                    </w:rPr>
                    <w:t>漆相对密度为：</w:t>
                  </w:r>
                  <w:r>
                    <w:rPr>
                      <w:rFonts w:hint="eastAsia" w:cs="Times New Roman"/>
                      <w:bCs/>
                      <w:color w:val="000000" w:themeColor="text1"/>
                      <w:sz w:val="21"/>
                      <w:szCs w:val="21"/>
                      <w:highlight w:val="none"/>
                      <w:lang w:val="en-US" w:eastAsia="zh-CN"/>
                      <w14:textFill>
                        <w14:solidFill>
                          <w14:schemeClr w14:val="tx1"/>
                        </w14:solidFill>
                      </w14:textFill>
                    </w:rPr>
                    <w:t>1.15</w:t>
                  </w:r>
                  <w:r>
                    <w:rPr>
                      <w:rFonts w:hint="default" w:ascii="Times New Roman" w:hAnsi="Times New Roman" w:cs="Times New Roman"/>
                      <w:bCs/>
                      <w:color w:val="000000" w:themeColor="text1"/>
                      <w:sz w:val="21"/>
                      <w:szCs w:val="21"/>
                      <w:highlight w:val="none"/>
                      <w14:textFill>
                        <w14:solidFill>
                          <w14:schemeClr w14:val="tx1"/>
                        </w14:solidFill>
                      </w14:textFill>
                    </w:rPr>
                    <w:t>Xg/</w:t>
                  </w:r>
                  <w:r>
                    <w:rPr>
                      <w:rFonts w:hint="eastAsia" w:cs="Times New Roman"/>
                      <w:bCs/>
                      <w:color w:val="000000" w:themeColor="text1"/>
                      <w:sz w:val="21"/>
                      <w:szCs w:val="21"/>
                      <w:highlight w:val="none"/>
                      <w:lang w:val="en-US" w:eastAsia="zh-CN"/>
                      <w14:textFill>
                        <w14:solidFill>
                          <w14:schemeClr w14:val="tx1"/>
                        </w14:solidFill>
                      </w14:textFill>
                    </w:rPr>
                    <w:t>1.021</w:t>
                  </w:r>
                  <w:r>
                    <w:rPr>
                      <w:rFonts w:hint="default" w:ascii="Times New Roman" w:hAnsi="Times New Roman" w:cs="Times New Roman"/>
                      <w:bCs/>
                      <w:color w:val="000000" w:themeColor="text1"/>
                      <w:sz w:val="21"/>
                      <w:szCs w:val="21"/>
                      <w:highlight w:val="none"/>
                      <w14:textFill>
                        <w14:solidFill>
                          <w14:schemeClr w14:val="tx1"/>
                        </w14:solidFill>
                      </w14:textFill>
                    </w:rPr>
                    <w:t>Xcm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eastAsia" w:cs="Times New Roman"/>
                      <w:bCs/>
                      <w:color w:val="000000" w:themeColor="text1"/>
                      <w:sz w:val="21"/>
                      <w:szCs w:val="21"/>
                      <w:highlight w:val="none"/>
                      <w:lang w:val="en-US" w:eastAsia="zh-CN"/>
                      <w14:textFill>
                        <w14:solidFill>
                          <w14:schemeClr w14:val="tx1"/>
                        </w14:solidFill>
                      </w14:textFill>
                    </w:rPr>
                    <w:t>≈1.127</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14:textFill>
                        <w14:solidFill>
                          <w14:schemeClr w14:val="tx1"/>
                        </w14:solidFill>
                      </w14:textFill>
                    </w:rPr>
                    <w:t>固含率</w:t>
                  </w:r>
                  <w:r>
                    <w:rPr>
                      <w:rFonts w:hint="eastAsia" w:cs="Times New Roman"/>
                      <w:bCs/>
                      <w:color w:val="000000" w:themeColor="text1"/>
                      <w:sz w:val="21"/>
                      <w:szCs w:val="21"/>
                      <w:highlight w:val="none"/>
                      <w:lang w:val="en-US" w:eastAsia="zh-CN"/>
                      <w14:textFill>
                        <w14:solidFill>
                          <w14:schemeClr w14:val="tx1"/>
                        </w14:solidFill>
                      </w14:textFill>
                    </w:rPr>
                    <w:t>=油性清漆的固含量/调配后的油性清漆总年用量=（1-288g/L/1.173</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r>
                    <w:rPr>
                      <w:rFonts w:hint="eastAsia" w:cs="Times New Roman"/>
                      <w:bCs/>
                      <w:color w:val="000000" w:themeColor="text1"/>
                      <w:sz w:val="21"/>
                      <w:szCs w:val="21"/>
                      <w:highlight w:val="none"/>
                      <w:lang w:val="en-US" w:eastAsia="zh-CN"/>
                      <w14:textFill>
                        <w14:solidFill>
                          <w14:schemeClr w14:val="tx1"/>
                        </w14:solidFill>
                      </w14:textFill>
                    </w:rPr>
                    <w:t>）X/1.15Xg×100%=65.61</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eastAsia" w:ascii="Times New Roman" w:hAnsi="Times New Roman" w:cs="Times New Roman"/>
                      <w:bCs/>
                      <w:color w:val="000000" w:themeColor="text1"/>
                      <w:sz w:val="21"/>
                      <w:szCs w:val="21"/>
                      <w:highlight w:val="none"/>
                      <w:lang w:eastAsia="zh-CN"/>
                      <w14:textFill>
                        <w14:solidFill>
                          <w14:schemeClr w14:val="tx1"/>
                        </w14:solidFill>
                      </w14:textFill>
                    </w:rPr>
                    <w:t>。</w:t>
                  </w:r>
                </w:p>
              </w:tc>
            </w:tr>
            <w:tr w14:paraId="76D4A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AA96E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6094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39C1C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412B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63B46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643DB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7"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1E4B5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bl>
          <w:p w14:paraId="13A3F6C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38557F2D">
            <w:pPr>
              <w:pStyle w:val="11"/>
              <w:widowControl/>
              <w:numPr>
                <w:ilvl w:val="4"/>
                <w:numId w:val="0"/>
              </w:numPr>
              <w:suppressLineNumbers w:val="0"/>
              <w:spacing w:before="0" w:beforeAutospacing="0" w:after="0" w:afterAutospacing="0"/>
              <w:ind w:left="0" w:right="0" w:firstLine="482" w:firstLineChars="200"/>
              <w:rPr>
                <w:rFonts w:hint="default" w:ascii="Times New Roman" w:hAnsi="Times New Roman" w:cs="Times New Roman"/>
                <w:color w:val="000000" w:themeColor="text1"/>
                <w:kern w:val="2"/>
                <w:highlight w:val="none"/>
                <w14:textFill>
                  <w14:solidFill>
                    <w14:schemeClr w14:val="tx1"/>
                  </w14:solidFill>
                </w14:textFill>
              </w:rPr>
            </w:pPr>
            <w:r>
              <w:rPr>
                <w:rFonts w:hint="default" w:ascii="Times New Roman" w:hAnsi="Times New Roman" w:cs="Times New Roman"/>
                <w:color w:val="000000" w:themeColor="text1"/>
                <w:kern w:val="2"/>
                <w:highlight w:val="none"/>
                <w14:textFill>
                  <w14:solidFill>
                    <w14:schemeClr w14:val="tx1"/>
                  </w14:solidFill>
                </w14:textFill>
              </w:rPr>
              <w:t>（2）部分原辅材料理化性质</w:t>
            </w:r>
          </w:p>
          <w:p w14:paraId="23CA56BA">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原辅材料性质一览表</w:t>
            </w:r>
          </w:p>
          <w:tbl>
            <w:tblPr>
              <w:tblStyle w:val="4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2"/>
              <w:gridCol w:w="1597"/>
              <w:gridCol w:w="4832"/>
              <w:gridCol w:w="1088"/>
            </w:tblGrid>
            <w:tr w14:paraId="5E49F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0028298D">
                  <w:pPr>
                    <w:adjustRightInd w:val="0"/>
                    <w:snapToGrid w:val="0"/>
                    <w:spacing w:line="240" w:lineRule="auto"/>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名称</w:t>
                  </w:r>
                </w:p>
              </w:tc>
              <w:tc>
                <w:tcPr>
                  <w:tcW w:w="953" w:type="pct"/>
                  <w:noWrap w:val="0"/>
                  <w:vAlign w:val="center"/>
                </w:tcPr>
                <w:p w14:paraId="02DC465D">
                  <w:pPr>
                    <w:adjustRightInd w:val="0"/>
                    <w:snapToGrid w:val="0"/>
                    <w:spacing w:line="240" w:lineRule="auto"/>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成分</w:t>
                  </w:r>
                </w:p>
              </w:tc>
              <w:tc>
                <w:tcPr>
                  <w:tcW w:w="2882" w:type="pct"/>
                  <w:noWrap w:val="0"/>
                  <w:vAlign w:val="center"/>
                </w:tcPr>
                <w:p w14:paraId="717FA369">
                  <w:pPr>
                    <w:adjustRightInd w:val="0"/>
                    <w:snapToGrid w:val="0"/>
                    <w:spacing w:line="240" w:lineRule="auto"/>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理化</w:t>
                  </w:r>
                  <w:r>
                    <w:rPr>
                      <w:rFonts w:hint="default" w:ascii="Times New Roman" w:hAnsi="Times New Roman" w:cs="Times New Roman"/>
                      <w:b/>
                      <w:bCs/>
                      <w:color w:val="000000" w:themeColor="text1"/>
                      <w:kern w:val="2"/>
                      <w:sz w:val="21"/>
                      <w:szCs w:val="21"/>
                      <w:highlight w:val="none"/>
                      <w14:textFill>
                        <w14:solidFill>
                          <w14:schemeClr w14:val="tx1"/>
                        </w14:solidFill>
                      </w14:textFill>
                    </w:rPr>
                    <w:t>性质/简介</w:t>
                  </w:r>
                </w:p>
              </w:tc>
              <w:tc>
                <w:tcPr>
                  <w:tcW w:w="649" w:type="pct"/>
                  <w:noWrap w:val="0"/>
                  <w:vAlign w:val="center"/>
                </w:tcPr>
                <w:p w14:paraId="5740A5F0">
                  <w:pPr>
                    <w:adjustRightInd w:val="0"/>
                    <w:snapToGrid w:val="0"/>
                    <w:spacing w:line="240" w:lineRule="auto"/>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是否危险化学品</w:t>
                  </w:r>
                </w:p>
              </w:tc>
            </w:tr>
            <w:tr w14:paraId="13BA3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7AC9FE10">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天然气</w:t>
                  </w:r>
                </w:p>
              </w:tc>
              <w:tc>
                <w:tcPr>
                  <w:tcW w:w="953" w:type="pct"/>
                  <w:noWrap w:val="0"/>
                  <w:vAlign w:val="center"/>
                </w:tcPr>
                <w:p w14:paraId="337F66EB">
                  <w:pPr>
                    <w:adjustRightInd w:val="0"/>
                    <w:snapToGrid w:val="0"/>
                    <w:spacing w:line="240" w:lineRule="auto"/>
                    <w:jc w:val="center"/>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fldChar w:fldCharType="begin"/>
                  </w:r>
                  <w:r>
                    <w:rPr>
                      <w:rFonts w:hint="default" w:ascii="Times New Roman" w:hAnsi="Times New Roman" w:cs="Times New Roman"/>
                      <w:color w:val="000000" w:themeColor="text1"/>
                      <w:kern w:val="2"/>
                      <w:sz w:val="21"/>
                      <w:szCs w:val="21"/>
                      <w:highlight w:val="none"/>
                      <w14:textFill>
                        <w14:solidFill>
                          <w14:schemeClr w14:val="tx1"/>
                        </w14:solidFill>
                      </w14:textFill>
                    </w:rPr>
                    <w:instrText xml:space="preserve"> HYPERLINK "https://baike.baidu.com/item/%E7%83%B7%E7%83%83/1138261?fromModule=lemma_inlink" \t "https://baike.baidu.com/item/%E5%A4%A9%E7%84%B6%E6%B0%94/_blank" </w:instrText>
                  </w:r>
                  <w:r>
                    <w:rPr>
                      <w:rFonts w:hint="default" w:ascii="Times New Roman" w:hAnsi="Times New Roman" w:cs="Times New Roman"/>
                      <w:color w:val="000000" w:themeColor="text1"/>
                      <w:kern w:val="2"/>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kern w:val="2"/>
                      <w:sz w:val="21"/>
                      <w:szCs w:val="21"/>
                      <w:highlight w:val="none"/>
                      <w14:textFill>
                        <w14:solidFill>
                          <w14:schemeClr w14:val="tx1"/>
                        </w14:solidFill>
                      </w14:textFill>
                    </w:rPr>
                    <w:t>烷烃</w:t>
                  </w:r>
                  <w:r>
                    <w:rPr>
                      <w:rFonts w:hint="default" w:ascii="Times New Roman" w:hAnsi="Times New Roman" w:cs="Times New Roman"/>
                      <w:color w:val="000000" w:themeColor="text1"/>
                      <w:kern w:val="2"/>
                      <w:sz w:val="21"/>
                      <w:szCs w:val="21"/>
                      <w:highlight w:val="none"/>
                      <w14:textFill>
                        <w14:solidFill>
                          <w14:schemeClr w14:val="tx1"/>
                        </w14:solidFill>
                      </w14:textFill>
                    </w:rPr>
                    <w:fldChar w:fldCharType="end"/>
                  </w:r>
                  <w:r>
                    <w:rPr>
                      <w:rFonts w:hint="default" w:ascii="Times New Roman" w:hAnsi="Times New Roman" w:cs="Times New Roman"/>
                      <w:color w:val="000000" w:themeColor="text1"/>
                      <w:kern w:val="2"/>
                      <w:sz w:val="21"/>
                      <w:szCs w:val="21"/>
                      <w:highlight w:val="none"/>
                      <w14:textFill>
                        <w14:solidFill>
                          <w14:schemeClr w14:val="tx1"/>
                        </w14:solidFill>
                      </w14:textFill>
                    </w:rPr>
                    <w:t>（以甲烷为主）</w:t>
                  </w:r>
                </w:p>
              </w:tc>
              <w:tc>
                <w:tcPr>
                  <w:tcW w:w="2882" w:type="pct"/>
                  <w:noWrap w:val="0"/>
                  <w:vAlign w:val="center"/>
                </w:tcPr>
                <w:p w14:paraId="1BAC3DA9">
                  <w:pPr>
                    <w:adjustRightInd w:val="0"/>
                    <w:snapToGrid w:val="0"/>
                    <w:spacing w:line="240" w:lineRule="auto"/>
                    <w:jc w:val="center"/>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不溶于水，密度为0.7174kg/m</w:t>
                  </w:r>
                  <w:r>
                    <w:rPr>
                      <w:rFonts w:hint="default" w:ascii="Times New Roman" w:hAnsi="Times New Roman" w:cs="Times New Roman"/>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cs="Times New Roman"/>
                      <w:color w:val="000000" w:themeColor="text1"/>
                      <w:kern w:val="2"/>
                      <w:sz w:val="21"/>
                      <w:szCs w:val="21"/>
                      <w:highlight w:val="none"/>
                      <w14:textFill>
                        <w14:solidFill>
                          <w14:schemeClr w14:val="tx1"/>
                        </w14:solidFill>
                      </w14:textFill>
                    </w:rPr>
                    <w:t>，相对密度（水）为0.45（液化）燃点（℃）为650，爆炸极限（V%）为5~15。天然气每立方燃烧热值为8000大卡</w:t>
                  </w:r>
                  <w:r>
                    <w:rPr>
                      <w:rFonts w:hint="default"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8500大卡。每公斤液化气燃烧热值为11000大卡。气态液化气的比重为0.55</w:t>
                  </w:r>
                </w:p>
              </w:tc>
              <w:tc>
                <w:tcPr>
                  <w:tcW w:w="649" w:type="pct"/>
                  <w:noWrap w:val="0"/>
                  <w:vAlign w:val="center"/>
                </w:tcPr>
                <w:p w14:paraId="1A27A5F6">
                  <w:pPr>
                    <w:adjustRightInd w:val="0"/>
                    <w:snapToGrid w:val="0"/>
                    <w:spacing w:line="240" w:lineRule="auto"/>
                    <w:jc w:val="center"/>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是</w:t>
                  </w:r>
                </w:p>
              </w:tc>
            </w:tr>
            <w:tr w14:paraId="1F9D6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14124336">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除油</w:t>
                  </w:r>
                  <w:r>
                    <w:rPr>
                      <w:rFonts w:hint="default" w:ascii="Times New Roman" w:hAnsi="Times New Roman" w:cs="Times New Roman"/>
                      <w:color w:val="000000" w:themeColor="text1"/>
                      <w:sz w:val="21"/>
                      <w:szCs w:val="21"/>
                      <w:highlight w:val="none"/>
                      <w14:textFill>
                        <w14:solidFill>
                          <w14:schemeClr w14:val="tx1"/>
                        </w14:solidFill>
                      </w14:textFill>
                    </w:rPr>
                    <w:t>剂</w:t>
                  </w:r>
                </w:p>
              </w:tc>
              <w:tc>
                <w:tcPr>
                  <w:tcW w:w="953" w:type="pct"/>
                  <w:noWrap w:val="0"/>
                  <w:vAlign w:val="center"/>
                </w:tcPr>
                <w:p w14:paraId="6320A34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磷酸5%</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醋酸</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kern w:val="2"/>
                      <w:sz w:val="21"/>
                      <w:szCs w:val="21"/>
                      <w:highlight w:val="none"/>
                      <w14:textFill>
                        <w14:solidFill>
                          <w14:schemeClr w14:val="tx1"/>
                        </w14:solidFill>
                      </w14:textFill>
                    </w:rPr>
                    <w:t>除油分子</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kern w:val="2"/>
                      <w:sz w:val="21"/>
                      <w:szCs w:val="21"/>
                      <w:highlight w:val="none"/>
                      <w14:textFill>
                        <w14:solidFill>
                          <w14:schemeClr w14:val="tx1"/>
                        </w14:solidFill>
                      </w14:textFill>
                    </w:rPr>
                    <w:t>抗氧化剂10%</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柠檬酸</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kern w:val="2"/>
                      <w:sz w:val="21"/>
                      <w:szCs w:val="21"/>
                      <w:highlight w:val="none"/>
                      <w14:textFill>
                        <w14:solidFill>
                          <w14:schemeClr w14:val="tx1"/>
                        </w14:solidFill>
                      </w14:textFill>
                    </w:rPr>
                    <w:t>活性剂</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kern w:val="2"/>
                      <w:sz w:val="21"/>
                      <w:szCs w:val="21"/>
                      <w:highlight w:val="none"/>
                      <w14:textFill>
                        <w14:solidFill>
                          <w14:schemeClr w14:val="tx1"/>
                        </w14:solidFill>
                      </w14:textFill>
                    </w:rPr>
                    <w:t>氢氟酸</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1%其他（水）</w:t>
                  </w:r>
                  <w:r>
                    <w:rPr>
                      <w:rFonts w:hint="default" w:ascii="Times New Roman" w:hAnsi="Times New Roman" w:cs="Times New Roman"/>
                      <w:color w:val="000000" w:themeColor="text1"/>
                      <w:kern w:val="2"/>
                      <w:sz w:val="21"/>
                      <w:szCs w:val="21"/>
                      <w:highlight w:val="none"/>
                      <w14:textFill>
                        <w14:solidFill>
                          <w14:schemeClr w14:val="tx1"/>
                        </w14:solidFill>
                      </w14:textFill>
                    </w:rPr>
                    <w:t>55%</w:t>
                  </w:r>
                </w:p>
              </w:tc>
              <w:tc>
                <w:tcPr>
                  <w:tcW w:w="2882" w:type="pct"/>
                  <w:noWrap w:val="0"/>
                  <w:vAlign w:val="center"/>
                </w:tcPr>
                <w:p w14:paraId="20CB209D">
                  <w:pPr>
                    <w:adjustRightInd w:val="0"/>
                    <w:snapToGrid w:val="0"/>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产品性能:弱酸性除油剂，</w:t>
                  </w:r>
                  <w:r>
                    <w:rPr>
                      <w:rFonts w:hint="eastAsia" w:cs="Times New Roman"/>
                      <w:b w:val="0"/>
                      <w:bCs w:val="0"/>
                      <w:color w:val="000000" w:themeColor="text1"/>
                      <w:sz w:val="21"/>
                      <w:szCs w:val="21"/>
                      <w:lang w:val="en-US" w:eastAsia="zh-CN"/>
                      <w14:textFill>
                        <w14:solidFill>
                          <w14:schemeClr w14:val="tx1"/>
                        </w14:solidFill>
                      </w14:textFill>
                    </w:rPr>
                    <w:t>密度:1.05~1.07g/cm</w:t>
                  </w:r>
                  <w:r>
                    <w:rPr>
                      <w:rFonts w:hint="eastAsia" w:cs="Times New Roman"/>
                      <w:b w:val="0"/>
                      <w:bCs w:val="0"/>
                      <w:color w:val="000000" w:themeColor="text1"/>
                      <w:sz w:val="21"/>
                      <w:szCs w:val="21"/>
                      <w:vertAlign w:val="superscript"/>
                      <w:lang w:val="en-US" w:eastAsia="zh-CN"/>
                      <w14:textFill>
                        <w14:solidFill>
                          <w14:schemeClr w14:val="tx1"/>
                        </w14:solidFill>
                      </w14:textFill>
                    </w:rPr>
                    <w:t>3</w:t>
                  </w:r>
                  <w:r>
                    <w:rPr>
                      <w:rFonts w:hint="eastAsia" w:cs="Times New Roman"/>
                      <w:b w:val="0"/>
                      <w:bCs w:val="0"/>
                      <w:color w:val="000000" w:themeColor="text1"/>
                      <w:sz w:val="21"/>
                      <w:szCs w:val="21"/>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用于铝，铝合金表面除油，除污。尤其对拉伸油有很好的分解效果，并能快速去除铝材表面的氧化层。活性剂先浸润、乳化表层拉伸油污；弱酸 + 氢氟酸溶解铝氧化皮，剥离内嵌深层油污；柠檬酸络合金属杂质、抗氧化剂保护基材，整套体系常温浸泡即可同步完成除油 + 除氧化层</w:t>
                  </w:r>
                  <w:r>
                    <w:rPr>
                      <w:rFonts w:hint="eastAsia" w:cs="Times New Roman"/>
                      <w:b w:val="0"/>
                      <w:bCs w:val="0"/>
                      <w:color w:val="000000" w:themeColor="text1"/>
                      <w:sz w:val="21"/>
                      <w:szCs w:val="21"/>
                      <w:lang w:val="en-US" w:eastAsia="zh-CN"/>
                      <w14:textFill>
                        <w14:solidFill>
                          <w14:schemeClr w14:val="tx1"/>
                        </w14:solidFill>
                      </w14:textFill>
                    </w:rPr>
                    <w:t>。</w:t>
                  </w:r>
                </w:p>
              </w:tc>
              <w:tc>
                <w:tcPr>
                  <w:tcW w:w="649" w:type="pct"/>
                  <w:noWrap w:val="0"/>
                  <w:vAlign w:val="center"/>
                </w:tcPr>
                <w:p w14:paraId="74BCACA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否</w:t>
                  </w:r>
                </w:p>
              </w:tc>
            </w:tr>
            <w:tr w14:paraId="4CF00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5A5036A">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无铬钝化剂</w:t>
                  </w:r>
                </w:p>
              </w:tc>
              <w:tc>
                <w:tcPr>
                  <w:tcW w:w="953" w:type="pct"/>
                  <w:noWrap w:val="0"/>
                  <w:vAlign w:val="center"/>
                </w:tcPr>
                <w:p w14:paraId="4511D2E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氟锆酸5~10%</w:t>
                  </w:r>
                </w:p>
                <w:p w14:paraId="3136D1E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氟钛酸5~10%</w:t>
                  </w:r>
                </w:p>
                <w:p w14:paraId="62D2E18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环氧改性丙烯酸树脂15~20%</w:t>
                  </w:r>
                </w:p>
                <w:p w14:paraId="64C6A34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一水合柠檬酸45~55%</w:t>
                  </w:r>
                </w:p>
              </w:tc>
              <w:tc>
                <w:tcPr>
                  <w:tcW w:w="2882" w:type="pct"/>
                  <w:noWrap w:val="0"/>
                  <w:vAlign w:val="center"/>
                </w:tcPr>
                <w:p w14:paraId="211477B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液体，</w:t>
                  </w:r>
                  <w:r>
                    <w:rPr>
                      <w:rFonts w:hint="eastAsia" w:cs="Times New Roman"/>
                      <w:b w:val="0"/>
                      <w:bCs w:val="0"/>
                      <w:color w:val="000000" w:themeColor="text1"/>
                      <w:sz w:val="21"/>
                      <w:szCs w:val="21"/>
                      <w:lang w:val="en-US" w:eastAsia="zh-CN"/>
                      <w14:textFill>
                        <w14:solidFill>
                          <w14:schemeClr w14:val="tx1"/>
                        </w14:solidFill>
                      </w14:textFill>
                    </w:rPr>
                    <w:t>密</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度:1.32~1.43g/cm</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可以在铝表面形成一层无色的耐腐蚀钝化层，能为后续的涂装层提供良好的结合力。本项目使用的无铬钝化剂主要有害成分为氟锆酸，氟钛酸</w:t>
                  </w:r>
                </w:p>
              </w:tc>
              <w:tc>
                <w:tcPr>
                  <w:tcW w:w="649" w:type="pct"/>
                  <w:noWrap w:val="0"/>
                  <w:vAlign w:val="center"/>
                </w:tcPr>
                <w:p w14:paraId="155988D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是</w:t>
                  </w:r>
                </w:p>
              </w:tc>
            </w:tr>
            <w:tr w14:paraId="45A7B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3ACE6ED">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pH调整剂（硫酸70%）</w:t>
                  </w:r>
                </w:p>
              </w:tc>
              <w:tc>
                <w:tcPr>
                  <w:tcW w:w="953" w:type="pct"/>
                  <w:noWrap w:val="0"/>
                  <w:vAlign w:val="center"/>
                </w:tcPr>
                <w:p w14:paraId="453BAA7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硫酸70%</w:t>
                  </w:r>
                </w:p>
                <w:p w14:paraId="21BA1EB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水30%</w:t>
                  </w:r>
                </w:p>
              </w:tc>
              <w:tc>
                <w:tcPr>
                  <w:tcW w:w="2882" w:type="pct"/>
                  <w:noWrap w:val="0"/>
                  <w:vAlign w:val="center"/>
                </w:tcPr>
                <w:p w14:paraId="44E8882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化学式H</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2</w:t>
                  </w:r>
                  <w:r>
                    <w:rPr>
                      <w:rFonts w:hint="default" w:ascii="Times New Roman" w:hAnsi="Times New Roman" w:cs="Times New Roman"/>
                      <w:color w:val="000000" w:themeColor="text1"/>
                      <w:kern w:val="2"/>
                      <w:sz w:val="21"/>
                      <w:szCs w:val="21"/>
                      <w:highlight w:val="none"/>
                      <w14:textFill>
                        <w14:solidFill>
                          <w14:schemeClr w14:val="tx1"/>
                        </w14:solidFill>
                      </w14:textFill>
                    </w:rPr>
                    <w:t>SO</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4</w:t>
                  </w:r>
                  <w:r>
                    <w:rPr>
                      <w:rFonts w:hint="default" w:ascii="Times New Roman" w:hAnsi="Times New Roman" w:cs="Times New Roman"/>
                      <w:color w:val="000000" w:themeColor="text1"/>
                      <w:kern w:val="2"/>
                      <w:sz w:val="21"/>
                      <w:szCs w:val="21"/>
                      <w:highlight w:val="none"/>
                      <w14:textFill>
                        <w14:solidFill>
                          <w14:schemeClr w14:val="tx1"/>
                        </w14:solidFill>
                      </w14:textFill>
                    </w:rPr>
                    <w:t>，是一种活泼的二元无机强酸。无水硫酸为无色油状液体，密度为1.84g/cm</w:t>
                  </w:r>
                  <w:r>
                    <w:rPr>
                      <w:rFonts w:hint="default" w:ascii="Times New Roman" w:hAnsi="Times New Roman" w:cs="Times New Roman"/>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cs="Times New Roman"/>
                      <w:color w:val="000000" w:themeColor="text1"/>
                      <w:kern w:val="2"/>
                      <w:sz w:val="21"/>
                      <w:szCs w:val="21"/>
                      <w:highlight w:val="none"/>
                      <w14:textFill>
                        <w14:solidFill>
                          <w14:schemeClr w14:val="tx1"/>
                        </w14:solidFill>
                      </w14:textFill>
                    </w:rPr>
                    <w:t>，熔点10.4℃，沸点338℃；具有强烈的腐蚀性和氧化性，能和许多金属发生反应，高浓度时有强烈吸水性，可用作脱水剂，碳化含碳水化合物的物质；与水混合时，亦会放出大量热能。</w:t>
                  </w:r>
                </w:p>
              </w:tc>
              <w:tc>
                <w:tcPr>
                  <w:tcW w:w="649" w:type="pct"/>
                  <w:noWrap w:val="0"/>
                  <w:vAlign w:val="center"/>
                </w:tcPr>
                <w:p w14:paraId="5BC1C56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是</w:t>
                  </w:r>
                </w:p>
              </w:tc>
            </w:tr>
            <w:tr w14:paraId="6819D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57358CAF">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PAC</w:t>
                  </w:r>
                </w:p>
              </w:tc>
              <w:tc>
                <w:tcPr>
                  <w:tcW w:w="953" w:type="pct"/>
                  <w:noWrap w:val="0"/>
                  <w:vAlign w:val="center"/>
                </w:tcPr>
                <w:p w14:paraId="1BEA9F3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聚合氯化铝</w:t>
                  </w:r>
                </w:p>
              </w:tc>
              <w:tc>
                <w:tcPr>
                  <w:tcW w:w="2882" w:type="pct"/>
                  <w:noWrap w:val="0"/>
                  <w:vAlign w:val="center"/>
                </w:tcPr>
                <w:p w14:paraId="37FE067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颜色呈黄色或淡黄色、深褐色、深灰色树脂状固体。该产品有较强的架桥吸附性能，在水解过程中，伴随发生凝聚，吸附和沉淀等物理化学过程。聚合氯化铝与传统无机混凝剂的根本区别在于传统无机混凝剂为低分子结晶盐，而聚合氯化铝的结构由形态多变的多元羧基络合物组成，絮凝沉淀速度快，适用pH值范围宽，对管道设备无腐蚀性，净水效果明显，能有效</w:t>
                  </w:r>
                  <w:r>
                    <w:rPr>
                      <w:rFonts w:hint="default" w:ascii="Times New Roman" w:hAnsi="Times New Roman" w:cs="Times New Roman"/>
                      <w:color w:val="000000" w:themeColor="text1"/>
                      <w:kern w:val="2"/>
                      <w:sz w:val="21"/>
                      <w:szCs w:val="21"/>
                      <w:highlight w:val="none"/>
                      <w:lang w:eastAsia="zh-CN"/>
                      <w14:textFill>
                        <w14:solidFill>
                          <w14:schemeClr w14:val="tx1"/>
                        </w14:solidFill>
                      </w14:textFill>
                    </w:rPr>
                    <w:t>去</w:t>
                  </w:r>
                  <w:r>
                    <w:rPr>
                      <w:rFonts w:hint="default" w:ascii="Times New Roman" w:hAnsi="Times New Roman" w:cs="Times New Roman"/>
                      <w:color w:val="000000" w:themeColor="text1"/>
                      <w:kern w:val="2"/>
                      <w:sz w:val="21"/>
                      <w:szCs w:val="21"/>
                      <w:highlight w:val="none"/>
                      <w14:textFill>
                        <w14:solidFill>
                          <w14:schemeClr w14:val="tx1"/>
                        </w14:solidFill>
                      </w14:textFill>
                    </w:rPr>
                    <w:t>除水中色质SS、COD、BOD及砷、汞等重金属离子，该产品广泛用于饮用水、工业用水和污水处理领域</w:t>
                  </w:r>
                </w:p>
              </w:tc>
              <w:tc>
                <w:tcPr>
                  <w:tcW w:w="649" w:type="pct"/>
                  <w:noWrap w:val="0"/>
                  <w:vAlign w:val="center"/>
                </w:tcPr>
                <w:p w14:paraId="717251B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否</w:t>
                  </w:r>
                </w:p>
              </w:tc>
            </w:tr>
            <w:tr w14:paraId="69657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1BD338C">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PAM</w:t>
                  </w:r>
                </w:p>
              </w:tc>
              <w:tc>
                <w:tcPr>
                  <w:tcW w:w="953" w:type="pct"/>
                  <w:noWrap w:val="0"/>
                  <w:vAlign w:val="center"/>
                </w:tcPr>
                <w:p w14:paraId="32F4FBA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聚丙烯酰胺</w:t>
                  </w:r>
                </w:p>
              </w:tc>
              <w:tc>
                <w:tcPr>
                  <w:tcW w:w="2882" w:type="pct"/>
                  <w:noWrap w:val="0"/>
                  <w:vAlign w:val="center"/>
                </w:tcPr>
                <w:p w14:paraId="3999C71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聚丙烯酰胺（PAM）是一种线型高分子聚合物，化学式为</w:t>
                  </w:r>
                  <w:r>
                    <w:rPr>
                      <w:rFonts w:hint="default"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C</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3</w:t>
                  </w:r>
                  <w:r>
                    <w:rPr>
                      <w:rFonts w:hint="default" w:ascii="Times New Roman" w:hAnsi="Times New Roman" w:cs="Times New Roman"/>
                      <w:color w:val="000000" w:themeColor="text1"/>
                      <w:kern w:val="2"/>
                      <w:sz w:val="21"/>
                      <w:szCs w:val="21"/>
                      <w:highlight w:val="none"/>
                      <w14:textFill>
                        <w14:solidFill>
                          <w14:schemeClr w14:val="tx1"/>
                        </w14:solidFill>
                      </w14:textFill>
                    </w:rPr>
                    <w:t>H</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5</w:t>
                  </w:r>
                  <w:r>
                    <w:rPr>
                      <w:rFonts w:hint="default" w:ascii="Times New Roman" w:hAnsi="Times New Roman" w:cs="Times New Roman"/>
                      <w:color w:val="000000" w:themeColor="text1"/>
                      <w:kern w:val="2"/>
                      <w:sz w:val="21"/>
                      <w:szCs w:val="21"/>
                      <w:highlight w:val="none"/>
                      <w14:textFill>
                        <w14:solidFill>
                          <w14:schemeClr w14:val="tx1"/>
                        </w14:solidFill>
                      </w14:textFill>
                    </w:rPr>
                    <w:t>NO</w:t>
                  </w:r>
                  <w:r>
                    <w:rPr>
                      <w:rFonts w:hint="default"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n。在常温下为坚硬的玻璃态固体，产品有胶液、胶乳和白色粉粒、半透明珠粒和薄片等。热稳定性良好。能以任意比例溶于水，水溶液为均匀透明的液体。长期存放后会因聚合物缓慢</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地</w:t>
                  </w:r>
                  <w:r>
                    <w:rPr>
                      <w:rFonts w:hint="default" w:ascii="Times New Roman" w:hAnsi="Times New Roman" w:cs="Times New Roman"/>
                      <w:color w:val="000000" w:themeColor="text1"/>
                      <w:kern w:val="2"/>
                      <w:sz w:val="21"/>
                      <w:szCs w:val="21"/>
                      <w:highlight w:val="none"/>
                      <w14:textFill>
                        <w14:solidFill>
                          <w14:schemeClr w14:val="tx1"/>
                        </w14:solidFill>
                      </w14:textFill>
                    </w:rPr>
                    <w:t>降解而使溶液粘度下降，特别是在贮运条件较差时更为明显。聚丙烯酰胺可作为润滑剂、悬浮剂、粘土稳定剂、驱油剂、降失水剂和增稠剂使用</w:t>
                  </w:r>
                </w:p>
              </w:tc>
              <w:tc>
                <w:tcPr>
                  <w:tcW w:w="649" w:type="pct"/>
                  <w:noWrap w:val="0"/>
                  <w:vAlign w:val="center"/>
                </w:tcPr>
                <w:p w14:paraId="6793217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否</w:t>
                  </w:r>
                </w:p>
              </w:tc>
            </w:tr>
            <w:tr w14:paraId="3BC38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46781B6">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底漆</w:t>
                  </w:r>
                </w:p>
              </w:tc>
              <w:tc>
                <w:tcPr>
                  <w:tcW w:w="953" w:type="pct"/>
                  <w:noWrap w:val="0"/>
                  <w:vAlign w:val="center"/>
                </w:tcPr>
                <w:p w14:paraId="5AD3FE17">
                  <w:pPr>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PVDF 树脂1</w:t>
                  </w:r>
                  <w:r>
                    <w:rPr>
                      <w:rFonts w:hint="eastAsia" w:cs="Times New Roman"/>
                      <w:color w:val="000000" w:themeColor="text1"/>
                      <w:lang w:val="en-US" w:eastAsia="zh-CN"/>
                      <w14:textFill>
                        <w14:solidFill>
                          <w14:schemeClr w14:val="tx1"/>
                        </w14:solidFill>
                      </w14:textFill>
                    </w:rPr>
                    <w:t>3.6</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丙烯酸树脂</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二甲苯</w:t>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邻苯二甲酸二甲酯</w:t>
                  </w:r>
                  <w:r>
                    <w:rPr>
                      <w:rFonts w:hint="eastAsia" w:cs="Times New Roman"/>
                      <w:color w:val="000000" w:themeColor="text1"/>
                      <w:lang w:val="en-US" w:eastAsia="zh-CN"/>
                      <w14:textFill>
                        <w14:solidFill>
                          <w14:schemeClr w14:val="tx1"/>
                        </w14:solidFill>
                      </w14:textFill>
                    </w:rPr>
                    <w:t>8.2</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丙二醇</w:t>
                  </w: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颜料</w:t>
                  </w:r>
                  <w:r>
                    <w:rPr>
                      <w:rFonts w:hint="eastAsia" w:cs="Times New Roman"/>
                      <w:color w:val="000000" w:themeColor="text1"/>
                      <w:lang w:val="en-US" w:eastAsia="zh-CN"/>
                      <w14:textFill>
                        <w14:solidFill>
                          <w14:schemeClr w14:val="tx1"/>
                        </w14:solidFill>
                      </w14:textFill>
                    </w:rPr>
                    <w:t>24.4</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填料</w:t>
                  </w:r>
                  <w:r>
                    <w:rPr>
                      <w:rFonts w:hint="eastAsia" w:cs="Times New Roman"/>
                      <w:color w:val="000000" w:themeColor="text1"/>
                      <w:lang w:val="en-US" w:eastAsia="zh-CN"/>
                      <w14:textFill>
                        <w14:solidFill>
                          <w14:schemeClr w14:val="tx1"/>
                        </w14:solidFill>
                      </w14:textFill>
                    </w:rPr>
                    <w:t>23.6</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助剂</w:t>
                  </w:r>
                  <w:r>
                    <w:rPr>
                      <w:rFonts w:hint="eastAsia" w:cs="Times New Roman"/>
                      <w:color w:val="000000" w:themeColor="text1"/>
                      <w:lang w:val="en-US" w:eastAsia="zh-CN"/>
                      <w14:textFill>
                        <w14:solidFill>
                          <w14:schemeClr w14:val="tx1"/>
                        </w14:solidFill>
                      </w14:textFill>
                    </w:rPr>
                    <w:t>1.2</w:t>
                  </w:r>
                  <w:r>
                    <w:rPr>
                      <w:rFonts w:hint="default" w:ascii="Times New Roman" w:hAnsi="Times New Roman" w:cs="Times New Roman"/>
                      <w:color w:val="000000" w:themeColor="text1"/>
                      <w:lang w:val="en-US" w:eastAsia="zh-CN"/>
                      <w14:textFill>
                        <w14:solidFill>
                          <w14:schemeClr w14:val="tx1"/>
                        </w14:solidFill>
                      </w14:textFill>
                    </w:rPr>
                    <w:t>%</w:t>
                  </w:r>
                </w:p>
              </w:tc>
              <w:tc>
                <w:tcPr>
                  <w:tcW w:w="2882" w:type="pct"/>
                  <w:noWrap w:val="0"/>
                  <w:vAlign w:val="center"/>
                </w:tcPr>
                <w:p w14:paraId="0ABB1CB8">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外观与性状：液体，有刺激味 </w:t>
                  </w:r>
                </w:p>
                <w:p w14:paraId="40F35E72">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燃点（℃）：56 自然温度（℃）： </w:t>
                  </w:r>
                </w:p>
                <w:p w14:paraId="157D53C5">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沸点（℃）：&gt;35 闪点（℃）：45</w:t>
                  </w: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 xml:space="preserve"> </w:t>
                  </w:r>
                </w:p>
                <w:p w14:paraId="64008496">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爆炸上限（%）： 爆炸下限（%）： </w:t>
                  </w:r>
                </w:p>
                <w:p w14:paraId="1BA119D2">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相对密度（水=1）：1.173 相对蒸汽密度（空气=1）：</w:t>
                  </w:r>
                </w:p>
                <w:p w14:paraId="5D529A64">
                  <w:pPr>
                    <w:keepNext w:val="0"/>
                    <w:keepLines w:val="0"/>
                    <w:widowControl/>
                    <w:suppressLineNumbers w:val="0"/>
                    <w:jc w:val="left"/>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易燃液体-3、皮肤刺激-1B、吸入危害-1、对水环境的危害-急性 1、严重眼睛刺激-2</w:t>
                  </w:r>
                </w:p>
              </w:tc>
              <w:tc>
                <w:tcPr>
                  <w:tcW w:w="649" w:type="pct"/>
                  <w:noWrap w:val="0"/>
                  <w:vAlign w:val="center"/>
                </w:tcPr>
                <w:p w14:paraId="1BE67F6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是</w:t>
                  </w:r>
                </w:p>
              </w:tc>
            </w:tr>
            <w:tr w14:paraId="50A36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3828D250">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面漆</w:t>
                  </w:r>
                </w:p>
              </w:tc>
              <w:tc>
                <w:tcPr>
                  <w:tcW w:w="953" w:type="pct"/>
                  <w:noWrap w:val="0"/>
                  <w:vAlign w:val="center"/>
                </w:tcPr>
                <w:p w14:paraId="4454743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PVDF 树脂2</w:t>
                  </w:r>
                  <w:r>
                    <w:rPr>
                      <w:rFonts w:hint="eastAsia" w:ascii="Times New Roman" w:hAnsi="Times New Roman" w:cs="Times New Roman"/>
                      <w:color w:val="000000" w:themeColor="text1"/>
                      <w:lang w:val="en-US" w:eastAsia="zh-CN"/>
                      <w14:textFill>
                        <w14:solidFill>
                          <w14:schemeClr w14:val="tx1"/>
                        </w14:solidFill>
                      </w14:textFill>
                    </w:rPr>
                    <w:t>5.4</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丙烯酸树脂</w:t>
                  </w:r>
                  <w:r>
                    <w:rPr>
                      <w:rFonts w:hint="eastAsia" w:ascii="Times New Roman" w:hAnsi="Times New Roman" w:cs="Times New Roman"/>
                      <w:color w:val="000000" w:themeColor="text1"/>
                      <w:lang w:val="en-US" w:eastAsia="zh-CN"/>
                      <w14:textFill>
                        <w14:solidFill>
                          <w14:schemeClr w14:val="tx1"/>
                        </w14:solidFill>
                      </w14:textFill>
                    </w:rPr>
                    <w:t>21.6</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二甲苯</w:t>
                  </w:r>
                  <w:r>
                    <w:rPr>
                      <w:rFonts w:hint="eastAsia" w:ascii="Times New Roman" w:hAnsi="Times New Roman" w:cs="Times New Roman"/>
                      <w:color w:val="000000" w:themeColor="text1"/>
                      <w:lang w:val="en-US" w:eastAsia="zh-CN"/>
                      <w14:textFill>
                        <w14:solidFill>
                          <w14:schemeClr w14:val="tx1"/>
                        </w14:solidFill>
                      </w14:textFill>
                    </w:rPr>
                    <w:t>11</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邻苯二甲酸二甲酯10</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BCS</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丙二醇</w:t>
                  </w:r>
                  <w:r>
                    <w:rPr>
                      <w:rFonts w:hint="eastAsia" w:ascii="Times New Roman" w:hAnsi="Times New Roman" w:cs="Times New Roman"/>
                      <w:color w:val="000000" w:themeColor="text1"/>
                      <w:lang w:val="en-US" w:eastAsia="zh-CN"/>
                      <w14:textFill>
                        <w14:solidFill>
                          <w14:schemeClr w14:val="tx1"/>
                        </w14:solidFill>
                      </w14:textFill>
                    </w:rPr>
                    <w:t>4.1</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颜填料</w:t>
                  </w:r>
                  <w:r>
                    <w:rPr>
                      <w:rFonts w:hint="eastAsia" w:ascii="Times New Roman" w:hAnsi="Times New Roman" w:cs="Times New Roman"/>
                      <w:color w:val="000000" w:themeColor="text1"/>
                      <w:lang w:val="en-US" w:eastAsia="zh-CN"/>
                      <w14:textFill>
                        <w14:solidFill>
                          <w14:schemeClr w14:val="tx1"/>
                        </w14:solidFill>
                      </w14:textFill>
                    </w:rPr>
                    <w:t>24.4</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助剂</w:t>
                  </w:r>
                  <w:r>
                    <w:rPr>
                      <w:rFonts w:hint="eastAsia" w:ascii="Times New Roman" w:hAnsi="Times New Roman" w:cs="Times New Roman"/>
                      <w:color w:val="000000" w:themeColor="text1"/>
                      <w:lang w:val="en-US" w:eastAsia="zh-CN"/>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w:t>
                  </w:r>
                </w:p>
              </w:tc>
              <w:tc>
                <w:tcPr>
                  <w:tcW w:w="2882" w:type="pct"/>
                  <w:noWrap w:val="0"/>
                  <w:vAlign w:val="center"/>
                </w:tcPr>
                <w:p w14:paraId="29756C33">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外观与性状：液体，有刺激味 </w:t>
                  </w:r>
                </w:p>
                <w:p w14:paraId="6ED3B894">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燃点（℃）：44 自然温度（℃）： </w:t>
                  </w:r>
                </w:p>
                <w:p w14:paraId="55D7B88D">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沸点（℃）：&gt;35 闪点（℃）：32</w:t>
                  </w: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 xml:space="preserve"> </w:t>
                  </w:r>
                </w:p>
                <w:p w14:paraId="09E0397F">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爆炸上限（%）： 爆炸下限（%）： </w:t>
                  </w:r>
                </w:p>
                <w:p w14:paraId="0B5B7391">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相对密度（水=1）：1.071 相对蒸汽密度（空气=1）：</w:t>
                  </w:r>
                </w:p>
                <w:p w14:paraId="5E375DB8">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易燃液体和蒸汽，引起皮肤刺激，引起严重眼睛刺激，长期或反复接触引起器官损伤， </w:t>
                  </w:r>
                </w:p>
                <w:p w14:paraId="4AB518E5">
                  <w:pPr>
                    <w:keepNext w:val="0"/>
                    <w:keepLines w:val="0"/>
                    <w:widowControl/>
                    <w:suppressLineNumbers w:val="0"/>
                    <w:jc w:val="left"/>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吞咽并进入呼吸道可能致命，对水生生物有害。</w:t>
                  </w:r>
                </w:p>
              </w:tc>
              <w:tc>
                <w:tcPr>
                  <w:tcW w:w="649" w:type="pct"/>
                  <w:noWrap w:val="0"/>
                  <w:vAlign w:val="center"/>
                </w:tcPr>
                <w:p w14:paraId="7033C79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是</w:t>
                  </w:r>
                </w:p>
              </w:tc>
            </w:tr>
            <w:tr w14:paraId="75748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4A170AC7">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清漆</w:t>
                  </w:r>
                </w:p>
              </w:tc>
              <w:tc>
                <w:tcPr>
                  <w:tcW w:w="953" w:type="pct"/>
                  <w:noWrap w:val="0"/>
                  <w:vAlign w:val="center"/>
                </w:tcPr>
                <w:p w14:paraId="565BBDD4">
                  <w:pPr>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PVDF 树脂</w:t>
                  </w:r>
                  <w:r>
                    <w:rPr>
                      <w:rFonts w:hint="eastAsia" w:cs="Times New Roman"/>
                      <w:color w:val="000000" w:themeColor="text1"/>
                      <w:lang w:val="en-US" w:eastAsia="zh-CN"/>
                      <w14:textFill>
                        <w14:solidFill>
                          <w14:schemeClr w14:val="tx1"/>
                        </w14:solidFill>
                      </w14:textFill>
                    </w:rPr>
                    <w:t>50.2</w:t>
                  </w:r>
                  <w:r>
                    <w:rPr>
                      <w:rFonts w:hint="default" w:ascii="Times New Roman" w:hAnsi="Times New Roman" w:cs="Times New Roman"/>
                      <w:color w:val="000000" w:themeColor="text1"/>
                      <w:lang w:val="en-US" w:eastAsia="zh-CN"/>
                      <w14:textFill>
                        <w14:solidFill>
                          <w14:schemeClr w14:val="tx1"/>
                        </w14:solidFill>
                      </w14:textFill>
                    </w:rPr>
                    <w:t>%、丙烯酸树脂</w:t>
                  </w:r>
                  <w:r>
                    <w:rPr>
                      <w:rFonts w:hint="eastAsia" w:cs="Times New Roman"/>
                      <w:color w:val="000000" w:themeColor="text1"/>
                      <w:lang w:val="en-US" w:eastAsia="zh-CN"/>
                      <w14:textFill>
                        <w14:solidFill>
                          <w14:schemeClr w14:val="tx1"/>
                        </w14:solidFill>
                      </w14:textFill>
                    </w:rPr>
                    <w:t>21.6</w:t>
                  </w:r>
                  <w:r>
                    <w:rPr>
                      <w:rFonts w:hint="default" w:ascii="Times New Roman" w:hAnsi="Times New Roman" w:cs="Times New Roman"/>
                      <w:color w:val="000000" w:themeColor="text1"/>
                      <w:lang w:val="en-US" w:eastAsia="zh-CN"/>
                      <w14:textFill>
                        <w14:solidFill>
                          <w14:schemeClr w14:val="tx1"/>
                        </w14:solidFill>
                      </w14:textFill>
                    </w:rPr>
                    <w:t>%、二甲苯</w:t>
                  </w:r>
                  <w:r>
                    <w:rPr>
                      <w:rFonts w:hint="eastAsia" w:cs="Times New Roman"/>
                      <w:color w:val="000000" w:themeColor="text1"/>
                      <w:lang w:val="en-US" w:eastAsia="zh-CN"/>
                      <w14:textFill>
                        <w14:solidFill>
                          <w14:schemeClr w14:val="tx1"/>
                        </w14:solidFill>
                      </w14:textFill>
                    </w:rPr>
                    <w:t>8.6</w:t>
                  </w:r>
                  <w:r>
                    <w:rPr>
                      <w:rFonts w:hint="default" w:ascii="Times New Roman" w:hAnsi="Times New Roman" w:cs="Times New Roman"/>
                      <w:color w:val="000000" w:themeColor="text1"/>
                      <w:lang w:val="en-US" w:eastAsia="zh-CN"/>
                      <w14:textFill>
                        <w14:solidFill>
                          <w14:schemeClr w14:val="tx1"/>
                        </w14:solidFill>
                      </w14:textFill>
                    </w:rPr>
                    <w:t xml:space="preserve">%、BCS </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lang w:val="en-US" w:eastAsia="zh-CN"/>
                      <w14:textFill>
                        <w14:solidFill>
                          <w14:schemeClr w14:val="tx1"/>
                        </w14:solidFill>
                      </w14:textFill>
                    </w:rPr>
                    <w:t>8%、邻苯二甲酸二甲酯</w:t>
                  </w:r>
                  <w:r>
                    <w:rPr>
                      <w:rFonts w:hint="eastAsia" w:cs="Times New Roman"/>
                      <w:color w:val="000000" w:themeColor="text1"/>
                      <w:lang w:val="en-US" w:eastAsia="zh-CN"/>
                      <w14:textFill>
                        <w14:solidFill>
                          <w14:schemeClr w14:val="tx1"/>
                        </w14:solidFill>
                      </w14:textFill>
                    </w:rPr>
                    <w:t>9.8</w:t>
                  </w:r>
                  <w:r>
                    <w:rPr>
                      <w:rFonts w:hint="default" w:ascii="Times New Roman" w:hAnsi="Times New Roman" w:cs="Times New Roman"/>
                      <w:color w:val="000000" w:themeColor="text1"/>
                      <w:lang w:val="en-US" w:eastAsia="zh-CN"/>
                      <w14:textFill>
                        <w14:solidFill>
                          <w14:schemeClr w14:val="tx1"/>
                        </w14:solidFill>
                      </w14:textFill>
                    </w:rPr>
                    <w:t>%、丙二醇</w:t>
                  </w:r>
                  <w:r>
                    <w:rPr>
                      <w:rFonts w:hint="eastAsia" w:cs="Times New Roman"/>
                      <w:color w:val="000000" w:themeColor="text1"/>
                      <w:lang w:val="en-US" w:eastAsia="zh-CN"/>
                      <w14:textFill>
                        <w14:solidFill>
                          <w14:schemeClr w14:val="tx1"/>
                        </w14:solidFill>
                      </w14:textFill>
                    </w:rPr>
                    <w:t>1.9</w:t>
                  </w:r>
                  <w:r>
                    <w:rPr>
                      <w:rFonts w:hint="default" w:ascii="Times New Roman" w:hAnsi="Times New Roman" w:cs="Times New Roman"/>
                      <w:color w:val="000000" w:themeColor="text1"/>
                      <w:lang w:val="en-US" w:eastAsia="zh-CN"/>
                      <w14:textFill>
                        <w14:solidFill>
                          <w14:schemeClr w14:val="tx1"/>
                        </w14:solidFill>
                      </w14:textFill>
                    </w:rPr>
                    <w:t>%、助剂</w:t>
                  </w:r>
                  <w:r>
                    <w:rPr>
                      <w:rFonts w:hint="eastAsia" w:cs="Times New Roman"/>
                      <w:color w:val="000000" w:themeColor="text1"/>
                      <w:lang w:val="en-US" w:eastAsia="zh-CN"/>
                      <w14:textFill>
                        <w14:solidFill>
                          <w14:schemeClr w14:val="tx1"/>
                        </w14:solidFill>
                      </w14:textFill>
                    </w:rPr>
                    <w:t>0.3</w:t>
                  </w:r>
                  <w:r>
                    <w:rPr>
                      <w:rFonts w:hint="default" w:ascii="Times New Roman" w:hAnsi="Times New Roman" w:cs="Times New Roman"/>
                      <w:color w:val="000000" w:themeColor="text1"/>
                      <w:lang w:val="en-US" w:eastAsia="zh-CN"/>
                      <w14:textFill>
                        <w14:solidFill>
                          <w14:schemeClr w14:val="tx1"/>
                        </w14:solidFill>
                      </w14:textFill>
                    </w:rPr>
                    <w:t>%</w:t>
                  </w:r>
                </w:p>
              </w:tc>
              <w:tc>
                <w:tcPr>
                  <w:tcW w:w="2882" w:type="pct"/>
                  <w:noWrap w:val="0"/>
                  <w:vAlign w:val="center"/>
                </w:tcPr>
                <w:p w14:paraId="5D428710">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外观与性状：液体，有刺激味 </w:t>
                  </w:r>
                </w:p>
                <w:p w14:paraId="0AA0A66D">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燃点（℃）：50 自然温度（℃）： </w:t>
                  </w:r>
                </w:p>
                <w:p w14:paraId="79D18867">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沸点（℃）：&gt;35 闪点（℃）：46 </w:t>
                  </w:r>
                </w:p>
                <w:p w14:paraId="25E567F9">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爆炸上限（%）： 爆炸下限（%）：</w:t>
                  </w: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 xml:space="preserve"> </w:t>
                  </w:r>
                </w:p>
                <w:p w14:paraId="7EB770D5">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相对密度（水=1）：1.173 相对蒸汽密度（空气=1）：</w:t>
                  </w:r>
                </w:p>
                <w:p w14:paraId="55D5CE86">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易燃液体和蒸汽，引起皮肤刺激，引起严重眼睛刺激，长期或反复接触引起器官损伤， </w:t>
                  </w:r>
                </w:p>
                <w:p w14:paraId="083C9696">
                  <w:pPr>
                    <w:keepNext w:val="0"/>
                    <w:keepLines w:val="0"/>
                    <w:widowControl/>
                    <w:suppressLineNumbers w:val="0"/>
                    <w:jc w:val="left"/>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吞咽并进入呼吸道可能致命，对水生生物有害。</w:t>
                  </w:r>
                </w:p>
              </w:tc>
              <w:tc>
                <w:tcPr>
                  <w:tcW w:w="649" w:type="pct"/>
                  <w:noWrap w:val="0"/>
                  <w:vAlign w:val="center"/>
                </w:tcPr>
                <w:p w14:paraId="22F9A6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是</w:t>
                  </w:r>
                </w:p>
              </w:tc>
            </w:tr>
            <w:tr w14:paraId="7D221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D1B1688">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稀释剂</w:t>
                  </w:r>
                </w:p>
              </w:tc>
              <w:tc>
                <w:tcPr>
                  <w:tcW w:w="953" w:type="pct"/>
                  <w:noWrap w:val="0"/>
                  <w:vAlign w:val="center"/>
                </w:tcPr>
                <w:p w14:paraId="2F723A78">
                  <w:pP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二甲苯70%</w:t>
                  </w:r>
                </w:p>
                <w:p w14:paraId="43BEB38C">
                  <w:pPr>
                    <w:rPr>
                      <w:rFonts w:hint="default" w:ascii="Times New Roman" w:hAnsi="Times New Roman" w:cs="Times New Roman"/>
                      <w:color w:val="000000" w:themeColor="text1"/>
                      <w:kern w:val="2"/>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二乙二醇丁醚 30%</w:t>
                  </w:r>
                </w:p>
              </w:tc>
              <w:tc>
                <w:tcPr>
                  <w:tcW w:w="2882" w:type="pct"/>
                  <w:noWrap w:val="0"/>
                  <w:vAlign w:val="center"/>
                </w:tcPr>
                <w:p w14:paraId="686A56C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外观与性状：无色透明液体</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气味：有芳香+轻微醚味</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闪点：约 42℃（闭杯）</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自然温度：约 420℃</w:t>
                  </w:r>
                </w:p>
                <w:p w14:paraId="2EC8D35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left"/>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爆炸极限：约 1.1%-6.5%</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沸点：130-230℃</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溶解性：微溶于水，与多数有机溶剂、涂料混溶</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密度：0.892</w:t>
                  </w:r>
                  <w:r>
                    <w:rPr>
                      <w:rFonts w:hint="default" w:ascii="Times New Roman" w:hAnsi="Times New Roman" w:cs="Times New Roman"/>
                      <w:bCs/>
                      <w:color w:val="000000" w:themeColor="text1"/>
                      <w:sz w:val="21"/>
                      <w:szCs w:val="21"/>
                      <w:highlight w:val="none"/>
                      <w14:textFill>
                        <w14:solidFill>
                          <w14:schemeClr w14:val="tx1"/>
                        </w14:solidFill>
                      </w14:textFill>
                    </w:rPr>
                    <w:t>g/cm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3</w:t>
                  </w:r>
                </w:p>
              </w:tc>
              <w:tc>
                <w:tcPr>
                  <w:tcW w:w="649" w:type="pct"/>
                  <w:noWrap w:val="0"/>
                  <w:vAlign w:val="center"/>
                </w:tcPr>
                <w:p w14:paraId="1691E58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是</w:t>
                  </w:r>
                </w:p>
              </w:tc>
            </w:tr>
            <w:tr w14:paraId="08890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50709C8">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粉末涂料</w:t>
                  </w:r>
                </w:p>
              </w:tc>
              <w:tc>
                <w:tcPr>
                  <w:tcW w:w="953" w:type="pct"/>
                  <w:noWrap w:val="0"/>
                  <w:vAlign w:val="center"/>
                </w:tcPr>
                <w:p w14:paraId="2036E203">
                  <w:pP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聚酯树脂50-60%</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硫酸钡30%</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安息香（脱气剂）1%</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颜料5%</w:t>
                  </w:r>
                </w:p>
              </w:tc>
              <w:tc>
                <w:tcPr>
                  <w:tcW w:w="2882" w:type="pct"/>
                  <w:noWrap w:val="0"/>
                  <w:vAlign w:val="center"/>
                </w:tcPr>
                <w:p w14:paraId="46935B5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外观和性状：干性粉末状</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气味：无气味</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分子式：未知 固化条件：170℃/20min()3 / 4</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pH 值：弱碱性 相对密度: 1.3~1.4</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熔点(℃)：120℃ 爆炸上限：无资料</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爆炸下限：无资料 水溶解度：0</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溶解性：微熔于醇、酮、甲苯等非极性有机溶剂</w:t>
                  </w:r>
                </w:p>
              </w:tc>
              <w:tc>
                <w:tcPr>
                  <w:tcW w:w="649" w:type="pct"/>
                  <w:noWrap w:val="0"/>
                  <w:vAlign w:val="center"/>
                </w:tcPr>
                <w:p w14:paraId="79108B3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否</w:t>
                  </w:r>
                </w:p>
              </w:tc>
            </w:tr>
            <w:tr w14:paraId="00C2D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862" w:type="dxa"/>
                  <w:noWrap w:val="0"/>
                  <w:vAlign w:val="center"/>
                </w:tcPr>
                <w:p w14:paraId="5DA91ADB">
                  <w:pPr>
                    <w:spacing w:line="240" w:lineRule="auto"/>
                    <w:jc w:val="both"/>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清洗剂</w:t>
                  </w:r>
                </w:p>
              </w:tc>
              <w:tc>
                <w:tcPr>
                  <w:tcW w:w="1598" w:type="dxa"/>
                  <w:noWrap w:val="0"/>
                  <w:vAlign w:val="center"/>
                </w:tcPr>
                <w:p w14:paraId="5E81FDDB">
                  <w:pPr>
                    <w:pStyle w:val="109"/>
                    <w:tabs>
                      <w:tab w:val="left" w:pos="-2848"/>
                    </w:tabs>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乙酸乙酯</w:t>
                  </w:r>
                  <w:r>
                    <w:rPr>
                      <w:rFonts w:hint="default" w:ascii="Times New Roman" w:hAnsi="Times New Roman" w:cs="Times New Roman"/>
                      <w:color w:val="000000" w:themeColor="text1"/>
                      <w:lang w:val="en-US" w:eastAsia="zh-CN"/>
                      <w14:textFill>
                        <w14:solidFill>
                          <w14:schemeClr w14:val="tx1"/>
                        </w14:solidFill>
                      </w14:textFill>
                    </w:rPr>
                    <w:t>50%</w:t>
                  </w:r>
                </w:p>
                <w:p w14:paraId="6F05BE1E">
                  <w:pPr>
                    <w:pStyle w:val="109"/>
                    <w:tabs>
                      <w:tab w:val="left" w:pos="-2848"/>
                    </w:tabs>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乙酸正丁酯</w:t>
                  </w:r>
                  <w:r>
                    <w:rPr>
                      <w:rFonts w:hint="default" w:ascii="Times New Roman" w:hAnsi="Times New Roman" w:cs="Times New Roman"/>
                      <w:color w:val="000000" w:themeColor="text1"/>
                      <w:lang w:val="en-US" w:eastAsia="zh-CN"/>
                      <w14:textFill>
                        <w14:solidFill>
                          <w14:schemeClr w14:val="tx1"/>
                        </w14:solidFill>
                      </w14:textFill>
                    </w:rPr>
                    <w:t>50%</w:t>
                  </w:r>
                </w:p>
              </w:tc>
              <w:tc>
                <w:tcPr>
                  <w:tcW w:w="4831" w:type="dxa"/>
                  <w:noWrap w:val="0"/>
                  <w:vAlign w:val="center"/>
                </w:tcPr>
                <w:p w14:paraId="7FFED45D">
                  <w:pPr>
                    <w:pStyle w:val="109"/>
                    <w:pageBreakBefore w:val="0"/>
                    <w:tabs>
                      <w:tab w:val="left" w:pos="-2848"/>
                    </w:tabs>
                    <w:wordWrap w:val="0"/>
                    <w:overflowPunct/>
                    <w:bidi w:val="0"/>
                    <w:spacing w:line="240" w:lineRule="auto"/>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外观为无色透明液体，相对密度:0.8</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28</w:t>
                  </w:r>
                  <w:r>
                    <w:rPr>
                      <w:rFonts w:hint="default" w:ascii="Times New Roman" w:hAnsi="Times New Roman" w:cs="Times New Roman"/>
                      <w:color w:val="000000" w:themeColor="text1"/>
                      <w:sz w:val="21"/>
                      <w:szCs w:val="21"/>
                      <w:highlight w:val="none"/>
                      <w14:textFill>
                        <w14:solidFill>
                          <w14:schemeClr w14:val="tx1"/>
                        </w14:solidFill>
                      </w14:textFill>
                    </w:rPr>
                    <w:t>，危险特征:易燃，遇明火、高热能引起燃烧爆炸。</w:t>
                  </w:r>
                </w:p>
              </w:tc>
              <w:tc>
                <w:tcPr>
                  <w:tcW w:w="649" w:type="pct"/>
                  <w:noWrap w:val="0"/>
                  <w:vAlign w:val="center"/>
                </w:tcPr>
                <w:p w14:paraId="6C562FE2">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是</w:t>
                  </w:r>
                </w:p>
              </w:tc>
            </w:tr>
            <w:tr w14:paraId="3B593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12877CC0">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焊丝</w:t>
                  </w:r>
                </w:p>
              </w:tc>
              <w:tc>
                <w:tcPr>
                  <w:tcW w:w="3836" w:type="pct"/>
                  <w:gridSpan w:val="2"/>
                  <w:noWrap w:val="0"/>
                  <w:vAlign w:val="center"/>
                </w:tcPr>
                <w:p w14:paraId="75610941">
                  <w:pP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ER4043 铝硅焊丝：核心合金成分为 Si（4.5%~6.0%），Mg 含量极低；ER5356 铝镁焊丝：核心合金成分为 Mg（4.5%~5.5%）、Mn（0.05%~0.20%）</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银白色金属丝</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熔点（约560-620℃）、危险性</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不易燃，熔融状态下有烫伤风险等</w:t>
                  </w:r>
                </w:p>
              </w:tc>
              <w:tc>
                <w:tcPr>
                  <w:tcW w:w="649" w:type="pct"/>
                  <w:noWrap w:val="0"/>
                  <w:vAlign w:val="center"/>
                </w:tcPr>
                <w:p w14:paraId="04D8F42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否</w:t>
                  </w:r>
                </w:p>
              </w:tc>
            </w:tr>
          </w:tbl>
          <w:p w14:paraId="7944A3D4">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62D7FF5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t>4、生产设备</w:t>
            </w:r>
          </w:p>
          <w:p w14:paraId="0774030F">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本项目生产设备见下表。</w:t>
            </w:r>
          </w:p>
          <w:p w14:paraId="3CD38D38">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生产设备一览表</w:t>
            </w:r>
          </w:p>
          <w:tbl>
            <w:tblPr>
              <w:tblStyle w:val="44"/>
              <w:tblW w:w="505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3"/>
              <w:gridCol w:w="1362"/>
              <w:gridCol w:w="1986"/>
              <w:gridCol w:w="753"/>
              <w:gridCol w:w="1862"/>
              <w:gridCol w:w="1880"/>
            </w:tblGrid>
            <w:tr w14:paraId="399A0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tcBorders>
                    <w:tl2br w:val="nil"/>
                    <w:tr2bl w:val="nil"/>
                  </w:tcBorders>
                  <w:noWrap/>
                  <w:vAlign w:val="center"/>
                </w:tcPr>
                <w:p w14:paraId="29C5E7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序号</w:t>
                  </w:r>
                </w:p>
              </w:tc>
              <w:tc>
                <w:tcPr>
                  <w:tcW w:w="803" w:type="pct"/>
                  <w:tcBorders>
                    <w:tl2br w:val="nil"/>
                    <w:tr2bl w:val="nil"/>
                  </w:tcBorders>
                  <w:noWrap/>
                  <w:vAlign w:val="center"/>
                </w:tcPr>
                <w:p w14:paraId="11F53B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名称</w:t>
                  </w:r>
                </w:p>
              </w:tc>
              <w:tc>
                <w:tcPr>
                  <w:tcW w:w="1171" w:type="pct"/>
                  <w:tcBorders>
                    <w:tl2br w:val="nil"/>
                    <w:tr2bl w:val="nil"/>
                  </w:tcBorders>
                  <w:noWrap/>
                  <w:vAlign w:val="center"/>
                </w:tcPr>
                <w:p w14:paraId="304D02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设备名称</w:t>
                  </w:r>
                </w:p>
              </w:tc>
              <w:tc>
                <w:tcPr>
                  <w:tcW w:w="444" w:type="pct"/>
                  <w:tcBorders>
                    <w:tl2br w:val="nil"/>
                    <w:tr2bl w:val="nil"/>
                  </w:tcBorders>
                  <w:noWrap/>
                  <w:vAlign w:val="center"/>
                </w:tcPr>
                <w:p w14:paraId="4374B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数量</w:t>
                  </w:r>
                </w:p>
              </w:tc>
              <w:tc>
                <w:tcPr>
                  <w:tcW w:w="1098" w:type="pct"/>
                  <w:tcBorders>
                    <w:tl2br w:val="nil"/>
                    <w:tr2bl w:val="nil"/>
                  </w:tcBorders>
                  <w:noWrap/>
                  <w:vAlign w:val="center"/>
                </w:tcPr>
                <w:p w14:paraId="767817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规格型号</w:t>
                  </w:r>
                </w:p>
              </w:tc>
              <w:tc>
                <w:tcPr>
                  <w:tcW w:w="1109" w:type="pct"/>
                  <w:tcBorders>
                    <w:tl2br w:val="nil"/>
                    <w:tr2bl w:val="nil"/>
                  </w:tcBorders>
                  <w:noWrap/>
                  <w:vAlign w:val="center"/>
                </w:tcPr>
                <w:p w14:paraId="628DAC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用途</w:t>
                  </w:r>
                </w:p>
              </w:tc>
            </w:tr>
            <w:tr w14:paraId="54D04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ign w:val="center"/>
                </w:tcPr>
                <w:p w14:paraId="73CF2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1</w:t>
                  </w:r>
                </w:p>
              </w:tc>
              <w:tc>
                <w:tcPr>
                  <w:tcW w:w="803" w:type="pct"/>
                  <w:vMerge w:val="restart"/>
                  <w:tcBorders>
                    <w:tl2br w:val="nil"/>
                    <w:tr2bl w:val="nil"/>
                  </w:tcBorders>
                  <w:noWrap/>
                  <w:vAlign w:val="center"/>
                </w:tcPr>
                <w:p w14:paraId="32729A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工件表面预处理</w:t>
                  </w:r>
                  <w:r>
                    <w:rPr>
                      <w:rFonts w:hint="default" w:ascii="Times New Roman" w:hAnsi="Times New Roman" w:eastAsia="宋体" w:cs="Times New Roman"/>
                      <w:color w:val="000000" w:themeColor="text1"/>
                      <w:sz w:val="21"/>
                      <w:szCs w:val="21"/>
                      <w:highlight w:val="none"/>
                      <w14:textFill>
                        <w14:solidFill>
                          <w14:schemeClr w14:val="tx1"/>
                        </w14:solidFill>
                      </w14:textFill>
                    </w:rPr>
                    <w:t>生产线</w:t>
                  </w:r>
                </w:p>
              </w:tc>
              <w:tc>
                <w:tcPr>
                  <w:tcW w:w="1171" w:type="pct"/>
                  <w:tcBorders>
                    <w:tl2br w:val="nil"/>
                    <w:tr2bl w:val="nil"/>
                  </w:tcBorders>
                  <w:noWrap/>
                  <w:vAlign w:val="center"/>
                </w:tcPr>
                <w:p w14:paraId="47520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张力机</w:t>
                  </w:r>
                </w:p>
              </w:tc>
              <w:tc>
                <w:tcPr>
                  <w:tcW w:w="444" w:type="pct"/>
                  <w:tcBorders>
                    <w:tl2br w:val="nil"/>
                    <w:tr2bl w:val="nil"/>
                  </w:tcBorders>
                  <w:noWrap/>
                  <w:vAlign w:val="center"/>
                </w:tcPr>
                <w:p w14:paraId="07915A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台</w:t>
                  </w:r>
                </w:p>
              </w:tc>
              <w:tc>
                <w:tcPr>
                  <w:tcW w:w="1098" w:type="pct"/>
                  <w:tcBorders>
                    <w:tl2br w:val="nil"/>
                    <w:tr2bl w:val="nil"/>
                  </w:tcBorders>
                  <w:noWrap/>
                  <w:vAlign w:val="center"/>
                </w:tcPr>
                <w:p w14:paraId="1FD634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m/min</w:t>
                  </w:r>
                </w:p>
              </w:tc>
              <w:tc>
                <w:tcPr>
                  <w:tcW w:w="1109" w:type="pct"/>
                  <w:vMerge w:val="restart"/>
                  <w:tcBorders>
                    <w:tl2br w:val="nil"/>
                    <w:tr2bl w:val="nil"/>
                  </w:tcBorders>
                  <w:noWrap/>
                  <w:vAlign w:val="center"/>
                </w:tcPr>
                <w:p w14:paraId="0694FD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行进动力</w:t>
                  </w:r>
                </w:p>
              </w:tc>
            </w:tr>
            <w:tr w14:paraId="71955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7E999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55BA96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ign w:val="center"/>
                </w:tcPr>
                <w:p w14:paraId="3B7922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牵引机</w:t>
                  </w:r>
                </w:p>
              </w:tc>
              <w:tc>
                <w:tcPr>
                  <w:tcW w:w="444" w:type="pct"/>
                  <w:tcBorders>
                    <w:tl2br w:val="nil"/>
                    <w:tr2bl w:val="nil"/>
                  </w:tcBorders>
                  <w:noWrap/>
                  <w:vAlign w:val="center"/>
                </w:tcPr>
                <w:p w14:paraId="78598B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台</w:t>
                  </w:r>
                </w:p>
              </w:tc>
              <w:tc>
                <w:tcPr>
                  <w:tcW w:w="1098" w:type="pct"/>
                  <w:tcBorders>
                    <w:tl2br w:val="nil"/>
                    <w:tr2bl w:val="nil"/>
                  </w:tcBorders>
                  <w:noWrap/>
                  <w:vAlign w:val="center"/>
                </w:tcPr>
                <w:p w14:paraId="7387F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m/min</w:t>
                  </w:r>
                </w:p>
              </w:tc>
              <w:tc>
                <w:tcPr>
                  <w:tcW w:w="1109" w:type="pct"/>
                  <w:vMerge w:val="continue"/>
                  <w:tcBorders>
                    <w:tl2br w:val="nil"/>
                    <w:tr2bl w:val="nil"/>
                  </w:tcBorders>
                  <w:noWrap/>
                  <w:vAlign w:val="center"/>
                </w:tcPr>
                <w:p w14:paraId="69B01D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1B7F4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04C1ED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6BE85F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0AFB8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水洗</w:t>
                  </w:r>
                  <w:r>
                    <w:rPr>
                      <w:rFonts w:hint="default" w:ascii="Times New Roman" w:hAnsi="Times New Roman" w:eastAsia="宋体" w:cs="Times New Roman"/>
                      <w:color w:val="000000" w:themeColor="text1"/>
                      <w:sz w:val="21"/>
                      <w:szCs w:val="21"/>
                      <w:highlight w:val="none"/>
                      <w14:textFill>
                        <w14:solidFill>
                          <w14:schemeClr w14:val="tx1"/>
                        </w14:solidFill>
                      </w14:textFill>
                    </w:rPr>
                    <w:t>池</w:t>
                  </w:r>
                </w:p>
              </w:tc>
              <w:tc>
                <w:tcPr>
                  <w:tcW w:w="444" w:type="pct"/>
                  <w:tcBorders>
                    <w:tl2br w:val="nil"/>
                    <w:tr2bl w:val="nil"/>
                  </w:tcBorders>
                  <w:noWrap w:val="0"/>
                  <w:vAlign w:val="center"/>
                </w:tcPr>
                <w:p w14:paraId="36DB71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p>
              </w:tc>
              <w:tc>
                <w:tcPr>
                  <w:tcW w:w="1098" w:type="pct"/>
                  <w:tcBorders>
                    <w:tl2br w:val="nil"/>
                    <w:tr2bl w:val="nil"/>
                  </w:tcBorders>
                  <w:noWrap/>
                  <w:vAlign w:val="center"/>
                </w:tcPr>
                <w:p w14:paraId="2D647F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m×2m×1m</w:t>
                  </w:r>
                </w:p>
              </w:tc>
              <w:tc>
                <w:tcPr>
                  <w:tcW w:w="1109" w:type="pct"/>
                  <w:tcBorders>
                    <w:tl2br w:val="nil"/>
                    <w:tr2bl w:val="nil"/>
                  </w:tcBorders>
                  <w:noWrap/>
                  <w:vAlign w:val="center"/>
                </w:tcPr>
                <w:p w14:paraId="390592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预水洗</w:t>
                  </w:r>
                </w:p>
              </w:tc>
            </w:tr>
            <w:tr w14:paraId="3639F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E2D93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4C606D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4E9CCD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预脱脂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池</w:t>
                  </w:r>
                </w:p>
              </w:tc>
              <w:tc>
                <w:tcPr>
                  <w:tcW w:w="444" w:type="pct"/>
                  <w:tcBorders>
                    <w:tl2br w:val="nil"/>
                    <w:tr2bl w:val="nil"/>
                  </w:tcBorders>
                  <w:noWrap w:val="0"/>
                  <w:vAlign w:val="center"/>
                </w:tcPr>
                <w:p w14:paraId="2A45B2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p>
              </w:tc>
              <w:tc>
                <w:tcPr>
                  <w:tcW w:w="1098" w:type="pct"/>
                  <w:tcBorders>
                    <w:tl2br w:val="nil"/>
                    <w:tr2bl w:val="nil"/>
                  </w:tcBorders>
                  <w:noWrap/>
                  <w:vAlign w:val="center"/>
                </w:tcPr>
                <w:p w14:paraId="3A8717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m×2m×1m</w:t>
                  </w:r>
                </w:p>
              </w:tc>
              <w:tc>
                <w:tcPr>
                  <w:tcW w:w="1109" w:type="pct"/>
                  <w:tcBorders>
                    <w:tl2br w:val="nil"/>
                    <w:tr2bl w:val="nil"/>
                  </w:tcBorders>
                  <w:noWrap/>
                  <w:vAlign w:val="center"/>
                </w:tcPr>
                <w:p w14:paraId="1B5EC2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预脱脂</w:t>
                  </w:r>
                </w:p>
              </w:tc>
            </w:tr>
            <w:tr w14:paraId="70019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902A5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03B873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0A56B5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脱脂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池</w:t>
                  </w:r>
                </w:p>
              </w:tc>
              <w:tc>
                <w:tcPr>
                  <w:tcW w:w="444" w:type="pct"/>
                  <w:tcBorders>
                    <w:tl2br w:val="nil"/>
                    <w:tr2bl w:val="nil"/>
                  </w:tcBorders>
                  <w:noWrap w:val="0"/>
                  <w:vAlign w:val="center"/>
                </w:tcPr>
                <w:p w14:paraId="095619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p>
              </w:tc>
              <w:tc>
                <w:tcPr>
                  <w:tcW w:w="1098" w:type="pct"/>
                  <w:tcBorders>
                    <w:tl2br w:val="nil"/>
                    <w:tr2bl w:val="nil"/>
                  </w:tcBorders>
                  <w:noWrap/>
                  <w:vAlign w:val="center"/>
                </w:tcPr>
                <w:p w14:paraId="6F2DA3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m×2m×1m</w:t>
                  </w:r>
                </w:p>
              </w:tc>
              <w:tc>
                <w:tcPr>
                  <w:tcW w:w="1109" w:type="pct"/>
                  <w:tcBorders>
                    <w:tl2br w:val="nil"/>
                    <w:tr2bl w:val="nil"/>
                  </w:tcBorders>
                  <w:noWrap/>
                  <w:vAlign w:val="center"/>
                </w:tcPr>
                <w:p w14:paraId="4682DD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脱脂</w:t>
                  </w:r>
                </w:p>
              </w:tc>
            </w:tr>
            <w:tr w14:paraId="1D06B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EC3F9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402540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7B5FA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444" w:type="pct"/>
                  <w:tcBorders>
                    <w:tl2br w:val="nil"/>
                    <w:tr2bl w:val="nil"/>
                  </w:tcBorders>
                  <w:noWrap w:val="0"/>
                  <w:vAlign w:val="center"/>
                </w:tcPr>
                <w:p w14:paraId="740874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p>
              </w:tc>
              <w:tc>
                <w:tcPr>
                  <w:tcW w:w="1098" w:type="pct"/>
                  <w:tcBorders>
                    <w:tl2br w:val="nil"/>
                    <w:tr2bl w:val="nil"/>
                  </w:tcBorders>
                  <w:noWrap/>
                  <w:vAlign w:val="center"/>
                </w:tcPr>
                <w:p w14:paraId="4197458E">
                  <w:pPr>
                    <w:keepNext w:val="0"/>
                    <w:keepLines w:val="0"/>
                    <w:pageBreakBefore w:val="0"/>
                    <w:widowControl/>
                    <w:suppressLineNumbers w:val="0"/>
                    <w:tabs>
                      <w:tab w:val="left" w:pos="674"/>
                      <w:tab w:val="center" w:pos="147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.5m×2m×1m</w:t>
                  </w:r>
                </w:p>
              </w:tc>
              <w:tc>
                <w:tcPr>
                  <w:tcW w:w="1109" w:type="pct"/>
                  <w:vMerge w:val="restart"/>
                  <w:tcBorders>
                    <w:tl2br w:val="nil"/>
                    <w:tr2bl w:val="nil"/>
                  </w:tcBorders>
                  <w:noWrap/>
                  <w:vAlign w:val="center"/>
                </w:tcPr>
                <w:p w14:paraId="141AD5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水洗</w:t>
                  </w:r>
                </w:p>
              </w:tc>
            </w:tr>
            <w:tr w14:paraId="03813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73003F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6B4276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23145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444" w:type="pct"/>
                  <w:tcBorders>
                    <w:tl2br w:val="nil"/>
                    <w:tr2bl w:val="nil"/>
                  </w:tcBorders>
                  <w:noWrap w:val="0"/>
                  <w:vAlign w:val="center"/>
                </w:tcPr>
                <w:p w14:paraId="71B9D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p>
              </w:tc>
              <w:tc>
                <w:tcPr>
                  <w:tcW w:w="1098" w:type="pct"/>
                  <w:tcBorders>
                    <w:tl2br w:val="nil"/>
                    <w:tr2bl w:val="nil"/>
                  </w:tcBorders>
                  <w:noWrap/>
                  <w:vAlign w:val="center"/>
                </w:tcPr>
                <w:p w14:paraId="117A1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m×2m×1m</w:t>
                  </w:r>
                </w:p>
              </w:tc>
              <w:tc>
                <w:tcPr>
                  <w:tcW w:w="1109" w:type="pct"/>
                  <w:vMerge w:val="continue"/>
                  <w:tcBorders>
                    <w:tl2br w:val="nil"/>
                    <w:tr2bl w:val="nil"/>
                  </w:tcBorders>
                  <w:noWrap/>
                  <w:vAlign w:val="center"/>
                </w:tcPr>
                <w:p w14:paraId="376EC9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2ADEC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A7900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12BDAF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2A8E1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清</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444" w:type="pct"/>
                  <w:tcBorders>
                    <w:tl2br w:val="nil"/>
                    <w:tr2bl w:val="nil"/>
                  </w:tcBorders>
                  <w:noWrap w:val="0"/>
                  <w:vAlign w:val="center"/>
                </w:tcPr>
                <w:p w14:paraId="5A861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p>
              </w:tc>
              <w:tc>
                <w:tcPr>
                  <w:tcW w:w="1098" w:type="pct"/>
                  <w:tcBorders>
                    <w:tl2br w:val="nil"/>
                    <w:tr2bl w:val="nil"/>
                  </w:tcBorders>
                  <w:noWrap/>
                  <w:vAlign w:val="center"/>
                </w:tcPr>
                <w:p w14:paraId="024EDA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m×2m×1m</w:t>
                  </w:r>
                </w:p>
              </w:tc>
              <w:tc>
                <w:tcPr>
                  <w:tcW w:w="1109" w:type="pct"/>
                  <w:tcBorders>
                    <w:tl2br w:val="nil"/>
                    <w:tr2bl w:val="nil"/>
                  </w:tcBorders>
                  <w:noWrap/>
                  <w:vAlign w:val="center"/>
                </w:tcPr>
                <w:p w14:paraId="28BEDE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清</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w:t>
                  </w:r>
                </w:p>
              </w:tc>
            </w:tr>
            <w:tr w14:paraId="1246F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6F6B8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0276F5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6E9563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无铬钝化池</w:t>
                  </w:r>
                </w:p>
              </w:tc>
              <w:tc>
                <w:tcPr>
                  <w:tcW w:w="444" w:type="pct"/>
                  <w:tcBorders>
                    <w:tl2br w:val="nil"/>
                    <w:tr2bl w:val="nil"/>
                  </w:tcBorders>
                  <w:noWrap w:val="0"/>
                  <w:vAlign w:val="center"/>
                </w:tcPr>
                <w:p w14:paraId="570FD7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p>
              </w:tc>
              <w:tc>
                <w:tcPr>
                  <w:tcW w:w="1098" w:type="pct"/>
                  <w:tcBorders>
                    <w:tl2br w:val="nil"/>
                    <w:tr2bl w:val="nil"/>
                  </w:tcBorders>
                  <w:noWrap/>
                  <w:vAlign w:val="center"/>
                </w:tcPr>
                <w:p w14:paraId="5151D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.5m×2m×1m</w:t>
                  </w:r>
                </w:p>
              </w:tc>
              <w:tc>
                <w:tcPr>
                  <w:tcW w:w="1109" w:type="pct"/>
                  <w:tcBorders>
                    <w:tl2br w:val="nil"/>
                    <w:tr2bl w:val="nil"/>
                  </w:tcBorders>
                  <w:noWrap/>
                  <w:vAlign w:val="center"/>
                </w:tcPr>
                <w:p w14:paraId="62AD65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无铬钝化</w:t>
                  </w:r>
                </w:p>
              </w:tc>
            </w:tr>
            <w:tr w14:paraId="72572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7485BFE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3E6E66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7DF7F8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444" w:type="pct"/>
                  <w:tcBorders>
                    <w:tl2br w:val="nil"/>
                    <w:tr2bl w:val="nil"/>
                  </w:tcBorders>
                  <w:noWrap w:val="0"/>
                  <w:vAlign w:val="center"/>
                </w:tcPr>
                <w:p w14:paraId="54D10B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p>
              </w:tc>
              <w:tc>
                <w:tcPr>
                  <w:tcW w:w="1098" w:type="pct"/>
                  <w:tcBorders>
                    <w:tl2br w:val="nil"/>
                    <w:tr2bl w:val="nil"/>
                  </w:tcBorders>
                  <w:noWrap/>
                  <w:vAlign w:val="center"/>
                </w:tcPr>
                <w:p w14:paraId="517CD3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m×2m×1m</w:t>
                  </w:r>
                </w:p>
              </w:tc>
              <w:tc>
                <w:tcPr>
                  <w:tcW w:w="1109" w:type="pct"/>
                  <w:tcBorders>
                    <w:tl2br w:val="nil"/>
                    <w:tr2bl w:val="nil"/>
                  </w:tcBorders>
                  <w:noWrap/>
                  <w:vAlign w:val="center"/>
                </w:tcPr>
                <w:p w14:paraId="230738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水洗</w:t>
                  </w:r>
                </w:p>
              </w:tc>
            </w:tr>
            <w:tr w14:paraId="5EF3F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7E9C7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29BE74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5A193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烘水通道</w:t>
                  </w:r>
                </w:p>
              </w:tc>
              <w:tc>
                <w:tcPr>
                  <w:tcW w:w="444" w:type="pct"/>
                  <w:tcBorders>
                    <w:tl2br w:val="nil"/>
                    <w:tr2bl w:val="nil"/>
                  </w:tcBorders>
                  <w:noWrap w:val="0"/>
                  <w:vAlign w:val="center"/>
                </w:tcPr>
                <w:p w14:paraId="439166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条</w:t>
                  </w:r>
                </w:p>
              </w:tc>
              <w:tc>
                <w:tcPr>
                  <w:tcW w:w="1098" w:type="pct"/>
                  <w:tcBorders>
                    <w:tl2br w:val="nil"/>
                    <w:tr2bl w:val="nil"/>
                  </w:tcBorders>
                  <w:noWrap/>
                  <w:vAlign w:val="center"/>
                </w:tcPr>
                <w:p w14:paraId="1D6237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2570</w:t>
                  </w:r>
                  <w:r>
                    <w:rPr>
                      <w:rFonts w:hint="default" w:ascii="Times New Roman" w:hAnsi="Times New Roman" w:eastAsia="宋体" w:cs="Times New Roman"/>
                      <w:color w:val="000000" w:themeColor="text1"/>
                      <w:sz w:val="21"/>
                      <w:szCs w:val="21"/>
                      <w:highlight w:val="none"/>
                      <w14:textFill>
                        <w14:solidFill>
                          <w14:schemeClr w14:val="tx1"/>
                        </w14:solidFill>
                      </w14:textFill>
                    </w:rPr>
                    <w:t>mm×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p>
              </w:tc>
              <w:tc>
                <w:tcPr>
                  <w:tcW w:w="1109" w:type="pct"/>
                  <w:vMerge w:val="restart"/>
                  <w:tcBorders>
                    <w:tl2br w:val="nil"/>
                    <w:tr2bl w:val="nil"/>
                  </w:tcBorders>
                  <w:noWrap/>
                  <w:vAlign w:val="center"/>
                </w:tcPr>
                <w:p w14:paraId="3004DC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烘干</w:t>
                  </w:r>
                </w:p>
              </w:tc>
            </w:tr>
            <w:tr w14:paraId="64CDA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6BF6D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1D0D18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3A57EF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烘水炉</w:t>
                  </w:r>
                  <w:r>
                    <w:rPr>
                      <w:rFonts w:hint="eastAsia" w:cs="Times New Roman"/>
                      <w:color w:val="000000" w:themeColor="text1"/>
                      <w:sz w:val="21"/>
                      <w:szCs w:val="21"/>
                      <w:highlight w:val="none"/>
                      <w:lang w:val="en-US" w:eastAsia="zh-CN"/>
                      <w14:textFill>
                        <w14:solidFill>
                          <w14:schemeClr w14:val="tx1"/>
                        </w14:solidFill>
                      </w14:textFill>
                    </w:rPr>
                    <w:t>加热</w:t>
                  </w:r>
                  <w:r>
                    <w:rPr>
                      <w:rFonts w:hint="default" w:ascii="Times New Roman" w:hAnsi="Times New Roman" w:eastAsia="宋体" w:cs="Times New Roman"/>
                      <w:color w:val="000000" w:themeColor="text1"/>
                      <w:sz w:val="21"/>
                      <w:szCs w:val="21"/>
                      <w:highlight w:val="none"/>
                      <w14:textFill>
                        <w14:solidFill>
                          <w14:schemeClr w14:val="tx1"/>
                        </w14:solidFill>
                      </w14:textFill>
                    </w:rPr>
                    <w:t>机</w:t>
                  </w:r>
                </w:p>
              </w:tc>
              <w:tc>
                <w:tcPr>
                  <w:tcW w:w="444" w:type="pct"/>
                  <w:tcBorders>
                    <w:tl2br w:val="nil"/>
                    <w:tr2bl w:val="nil"/>
                  </w:tcBorders>
                  <w:noWrap w:val="0"/>
                  <w:vAlign w:val="center"/>
                </w:tcPr>
                <w:p w14:paraId="157EF6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套</w:t>
                  </w:r>
                </w:p>
              </w:tc>
              <w:tc>
                <w:tcPr>
                  <w:tcW w:w="1098" w:type="pct"/>
                  <w:tcBorders>
                    <w:tl2br w:val="nil"/>
                    <w:tr2bl w:val="nil"/>
                  </w:tcBorders>
                  <w:noWrap/>
                  <w:vAlign w:val="center"/>
                </w:tcPr>
                <w:p w14:paraId="49428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109" w:type="pct"/>
                  <w:vMerge w:val="continue"/>
                  <w:tcBorders>
                    <w:tl2br w:val="nil"/>
                    <w:tr2bl w:val="nil"/>
                  </w:tcBorders>
                  <w:noWrap/>
                  <w:vAlign w:val="center"/>
                </w:tcPr>
                <w:p w14:paraId="13DC8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9F2D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ign w:val="center"/>
                </w:tcPr>
                <w:p w14:paraId="14F93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w:t>
                  </w:r>
                </w:p>
              </w:tc>
              <w:tc>
                <w:tcPr>
                  <w:tcW w:w="803" w:type="pct"/>
                  <w:vMerge w:val="restart"/>
                  <w:tcBorders>
                    <w:tl2br w:val="nil"/>
                    <w:tr2bl w:val="nil"/>
                  </w:tcBorders>
                  <w:noWrap/>
                  <w:vAlign w:val="center"/>
                </w:tcPr>
                <w:p w14:paraId="601633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钣金加工车间</w:t>
                  </w:r>
                </w:p>
              </w:tc>
              <w:tc>
                <w:tcPr>
                  <w:tcW w:w="1171" w:type="pct"/>
                  <w:tcBorders>
                    <w:tl2br w:val="nil"/>
                    <w:tr2bl w:val="nil"/>
                  </w:tcBorders>
                  <w:noWrap w:val="0"/>
                  <w:vAlign w:val="center"/>
                </w:tcPr>
                <w:p w14:paraId="4DD9BEF9">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激光切割生产线</w:t>
                  </w:r>
                </w:p>
              </w:tc>
              <w:tc>
                <w:tcPr>
                  <w:tcW w:w="444" w:type="pct"/>
                  <w:tcBorders>
                    <w:tl2br w:val="nil"/>
                    <w:tr2bl w:val="nil"/>
                  </w:tcBorders>
                  <w:noWrap w:val="0"/>
                  <w:vAlign w:val="center"/>
                </w:tcPr>
                <w:p w14:paraId="0418246F">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10条</w:t>
                  </w:r>
                </w:p>
              </w:tc>
              <w:tc>
                <w:tcPr>
                  <w:tcW w:w="1098" w:type="pct"/>
                  <w:tcBorders>
                    <w:tl2br w:val="nil"/>
                    <w:tr2bl w:val="nil"/>
                  </w:tcBorders>
                  <w:noWrap w:val="0"/>
                  <w:vAlign w:val="center"/>
                </w:tcPr>
                <w:p w14:paraId="726169B8">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AWING</w:t>
                  </w:r>
                  <w:r>
                    <w:rPr>
                      <w:rStyle w:val="156"/>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 xml:space="preserve"> 6025</w:t>
                  </w:r>
                </w:p>
              </w:tc>
              <w:tc>
                <w:tcPr>
                  <w:tcW w:w="1109" w:type="pct"/>
                  <w:vMerge w:val="restart"/>
                  <w:tcBorders>
                    <w:tl2br w:val="nil"/>
                    <w:tr2bl w:val="nil"/>
                  </w:tcBorders>
                  <w:noWrap/>
                  <w:vAlign w:val="center"/>
                </w:tcPr>
                <w:p w14:paraId="244B9AE3">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开料</w:t>
                  </w:r>
                </w:p>
              </w:tc>
            </w:tr>
            <w:tr w14:paraId="32E85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433E4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013B39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2C1FEC5F">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数控切割机</w:t>
                  </w:r>
                </w:p>
              </w:tc>
              <w:tc>
                <w:tcPr>
                  <w:tcW w:w="444" w:type="pct"/>
                  <w:tcBorders>
                    <w:tl2br w:val="nil"/>
                    <w:tr2bl w:val="nil"/>
                  </w:tcBorders>
                  <w:noWrap w:val="0"/>
                  <w:vAlign w:val="center"/>
                </w:tcPr>
                <w:p w14:paraId="66980BFB">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10台</w:t>
                  </w:r>
                </w:p>
              </w:tc>
              <w:tc>
                <w:tcPr>
                  <w:tcW w:w="1098" w:type="pct"/>
                  <w:tcBorders>
                    <w:tl2br w:val="nil"/>
                    <w:tr2bl w:val="nil"/>
                  </w:tcBorders>
                  <w:noWrap w:val="0"/>
                  <w:vAlign w:val="center"/>
                </w:tcPr>
                <w:p w14:paraId="317941FF">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HPI-3058-36LA</w:t>
                  </w:r>
                </w:p>
              </w:tc>
              <w:tc>
                <w:tcPr>
                  <w:tcW w:w="1109" w:type="pct"/>
                  <w:vMerge w:val="continue"/>
                  <w:tcBorders>
                    <w:tl2br w:val="nil"/>
                    <w:tr2bl w:val="nil"/>
                  </w:tcBorders>
                  <w:noWrap/>
                  <w:vAlign w:val="center"/>
                </w:tcPr>
                <w:p w14:paraId="4013651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p>
              </w:tc>
            </w:tr>
            <w:tr w14:paraId="1F37A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16737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412239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22084A32">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数控转塔冲床</w:t>
                  </w:r>
                </w:p>
              </w:tc>
              <w:tc>
                <w:tcPr>
                  <w:tcW w:w="444" w:type="pct"/>
                  <w:tcBorders>
                    <w:tl2br w:val="nil"/>
                    <w:tr2bl w:val="nil"/>
                  </w:tcBorders>
                  <w:noWrap w:val="0"/>
                  <w:vAlign w:val="center"/>
                </w:tcPr>
                <w:p w14:paraId="46EC57D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40台</w:t>
                  </w:r>
                </w:p>
              </w:tc>
              <w:tc>
                <w:tcPr>
                  <w:tcW w:w="1098" w:type="pct"/>
                  <w:tcBorders>
                    <w:tl2br w:val="nil"/>
                    <w:tr2bl w:val="nil"/>
                  </w:tcBorders>
                  <w:noWrap w:val="0"/>
                  <w:vAlign w:val="center"/>
                </w:tcPr>
                <w:p w14:paraId="5370E6BB">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HPE-3078</w:t>
                  </w:r>
                </w:p>
              </w:tc>
              <w:tc>
                <w:tcPr>
                  <w:tcW w:w="1109" w:type="pct"/>
                  <w:vMerge w:val="restart"/>
                  <w:tcBorders>
                    <w:tl2br w:val="nil"/>
                    <w:tr2bl w:val="nil"/>
                  </w:tcBorders>
                  <w:noWrap/>
                  <w:vAlign w:val="center"/>
                </w:tcPr>
                <w:p w14:paraId="42C57631">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冲压、折弯、焊接</w:t>
                  </w:r>
                </w:p>
              </w:tc>
            </w:tr>
            <w:tr w14:paraId="31B8B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E4184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4D0937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0D053613">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精密剪板机</w:t>
                  </w:r>
                </w:p>
              </w:tc>
              <w:tc>
                <w:tcPr>
                  <w:tcW w:w="444" w:type="pct"/>
                  <w:tcBorders>
                    <w:tl2br w:val="nil"/>
                    <w:tr2bl w:val="nil"/>
                  </w:tcBorders>
                  <w:noWrap w:val="0"/>
                  <w:vAlign w:val="center"/>
                </w:tcPr>
                <w:p w14:paraId="4910D217">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3台</w:t>
                  </w:r>
                </w:p>
              </w:tc>
              <w:tc>
                <w:tcPr>
                  <w:tcW w:w="1098" w:type="pct"/>
                  <w:tcBorders>
                    <w:tl2br w:val="nil"/>
                    <w:tr2bl w:val="nil"/>
                  </w:tcBorders>
                  <w:noWrap w:val="0"/>
                  <w:vAlign w:val="center"/>
                </w:tcPr>
                <w:p w14:paraId="78DA1F39">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w:t>
                  </w:r>
                </w:p>
              </w:tc>
              <w:tc>
                <w:tcPr>
                  <w:tcW w:w="1109" w:type="pct"/>
                  <w:vMerge w:val="continue"/>
                  <w:tcBorders>
                    <w:tl2br w:val="nil"/>
                    <w:tr2bl w:val="nil"/>
                  </w:tcBorders>
                  <w:noWrap/>
                  <w:vAlign w:val="center"/>
                </w:tcPr>
                <w:p w14:paraId="6B72041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p>
              </w:tc>
            </w:tr>
            <w:tr w14:paraId="30347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 w:hRule="atLeast"/>
                <w:jc w:val="center"/>
              </w:trPr>
              <w:tc>
                <w:tcPr>
                  <w:tcW w:w="373" w:type="pct"/>
                  <w:vMerge w:val="continue"/>
                  <w:tcBorders>
                    <w:tl2br w:val="nil"/>
                    <w:tr2bl w:val="nil"/>
                  </w:tcBorders>
                  <w:noWrap/>
                  <w:vAlign w:val="center"/>
                </w:tcPr>
                <w:p w14:paraId="3C21D3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7233BF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52A37E30">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卧式数控刨槽机</w:t>
                  </w:r>
                </w:p>
              </w:tc>
              <w:tc>
                <w:tcPr>
                  <w:tcW w:w="444" w:type="pct"/>
                  <w:tcBorders>
                    <w:tl2br w:val="nil"/>
                    <w:tr2bl w:val="nil"/>
                  </w:tcBorders>
                  <w:noWrap w:val="0"/>
                  <w:vAlign w:val="center"/>
                </w:tcPr>
                <w:p w14:paraId="4BFBFBE1">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3台</w:t>
                  </w:r>
                </w:p>
              </w:tc>
              <w:tc>
                <w:tcPr>
                  <w:tcW w:w="1098" w:type="pct"/>
                  <w:tcBorders>
                    <w:tl2br w:val="nil"/>
                    <w:tr2bl w:val="nil"/>
                  </w:tcBorders>
                  <w:noWrap w:val="0"/>
                  <w:vAlign w:val="center"/>
                </w:tcPr>
                <w:p w14:paraId="3FD5C9AF">
                  <w:pPr>
                    <w:spacing w:line="240" w:lineRule="auto"/>
                    <w:jc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w:t>
                  </w:r>
                </w:p>
              </w:tc>
              <w:tc>
                <w:tcPr>
                  <w:tcW w:w="1109" w:type="pct"/>
                  <w:vMerge w:val="continue"/>
                  <w:tcBorders>
                    <w:tl2br w:val="nil"/>
                    <w:tr2bl w:val="nil"/>
                  </w:tcBorders>
                  <w:noWrap/>
                  <w:vAlign w:val="center"/>
                </w:tcPr>
                <w:p w14:paraId="316CD66F">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p>
              </w:tc>
            </w:tr>
            <w:tr w14:paraId="246DD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66A25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4F959E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257EDF9B">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数控折弯机</w:t>
                  </w:r>
                </w:p>
              </w:tc>
              <w:tc>
                <w:tcPr>
                  <w:tcW w:w="444" w:type="pct"/>
                  <w:tcBorders>
                    <w:tl2br w:val="nil"/>
                    <w:tr2bl w:val="nil"/>
                  </w:tcBorders>
                  <w:noWrap w:val="0"/>
                  <w:vAlign w:val="center"/>
                </w:tcPr>
                <w:p w14:paraId="5BADD3CB">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60台</w:t>
                  </w:r>
                </w:p>
              </w:tc>
              <w:tc>
                <w:tcPr>
                  <w:tcW w:w="1098" w:type="pct"/>
                  <w:tcBorders>
                    <w:tl2br w:val="nil"/>
                    <w:tr2bl w:val="nil"/>
                  </w:tcBorders>
                  <w:noWrap w:val="0"/>
                  <w:vAlign w:val="center"/>
                </w:tcPr>
                <w:p w14:paraId="7EB088D9">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NP20-150-400H</w:t>
                  </w:r>
                </w:p>
              </w:tc>
              <w:tc>
                <w:tcPr>
                  <w:tcW w:w="1109" w:type="pct"/>
                  <w:vMerge w:val="continue"/>
                  <w:tcBorders>
                    <w:tl2br w:val="nil"/>
                    <w:tr2bl w:val="nil"/>
                  </w:tcBorders>
                  <w:noWrap/>
                  <w:vAlign w:val="center"/>
                </w:tcPr>
                <w:p w14:paraId="41618CD7">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p>
              </w:tc>
            </w:tr>
            <w:tr w14:paraId="4E41B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73" w:type="pct"/>
                  <w:vMerge w:val="continue"/>
                  <w:tcBorders>
                    <w:tl2br w:val="nil"/>
                    <w:tr2bl w:val="nil"/>
                  </w:tcBorders>
                  <w:noWrap/>
                  <w:vAlign w:val="center"/>
                </w:tcPr>
                <w:p w14:paraId="42C41E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084463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02EA05CB">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滚压成型设备</w:t>
                  </w:r>
                </w:p>
              </w:tc>
              <w:tc>
                <w:tcPr>
                  <w:tcW w:w="444" w:type="pct"/>
                  <w:tcBorders>
                    <w:tl2br w:val="nil"/>
                    <w:tr2bl w:val="nil"/>
                  </w:tcBorders>
                  <w:noWrap w:val="0"/>
                  <w:vAlign w:val="center"/>
                </w:tcPr>
                <w:p w14:paraId="6E553A06">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60台</w:t>
                  </w:r>
                </w:p>
              </w:tc>
              <w:tc>
                <w:tcPr>
                  <w:tcW w:w="1098" w:type="pct"/>
                  <w:tcBorders>
                    <w:tl2br w:val="nil"/>
                    <w:tr2bl w:val="nil"/>
                  </w:tcBorders>
                  <w:noWrap w:val="0"/>
                  <w:vAlign w:val="center"/>
                </w:tcPr>
                <w:p w14:paraId="6E91A7C0">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QA28Y-4X200</w:t>
                  </w:r>
                </w:p>
              </w:tc>
              <w:tc>
                <w:tcPr>
                  <w:tcW w:w="1109" w:type="pct"/>
                  <w:vMerge w:val="continue"/>
                  <w:tcBorders>
                    <w:tl2br w:val="nil"/>
                    <w:tr2bl w:val="nil"/>
                  </w:tcBorders>
                  <w:noWrap/>
                  <w:vAlign w:val="center"/>
                </w:tcPr>
                <w:p w14:paraId="493E4C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E1DE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0C198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46C257E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0E51A38C">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全自动冲孔设备</w:t>
                  </w:r>
                </w:p>
              </w:tc>
              <w:tc>
                <w:tcPr>
                  <w:tcW w:w="444" w:type="pct"/>
                  <w:tcBorders>
                    <w:tl2br w:val="nil"/>
                    <w:tr2bl w:val="nil"/>
                  </w:tcBorders>
                  <w:noWrap w:val="0"/>
                  <w:vAlign w:val="center"/>
                </w:tcPr>
                <w:p w14:paraId="40013DB3">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30台</w:t>
                  </w:r>
                </w:p>
              </w:tc>
              <w:tc>
                <w:tcPr>
                  <w:tcW w:w="1098" w:type="pct"/>
                  <w:tcBorders>
                    <w:tl2br w:val="nil"/>
                    <w:tr2bl w:val="nil"/>
                  </w:tcBorders>
                  <w:noWrap w:val="0"/>
                  <w:vAlign w:val="center"/>
                </w:tcPr>
                <w:p w14:paraId="5447A21D">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CKSL150400S</w:t>
                  </w:r>
                </w:p>
              </w:tc>
              <w:tc>
                <w:tcPr>
                  <w:tcW w:w="1109" w:type="pct"/>
                  <w:vMerge w:val="continue"/>
                  <w:tcBorders>
                    <w:tl2br w:val="nil"/>
                    <w:tr2bl w:val="nil"/>
                  </w:tcBorders>
                  <w:noWrap/>
                  <w:vAlign w:val="center"/>
                </w:tcPr>
                <w:p w14:paraId="12D5578D">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p>
              </w:tc>
            </w:tr>
            <w:tr w14:paraId="2875B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6AB8E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2C3FAB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5D47B8E4">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高速激光焊机</w:t>
                  </w:r>
                </w:p>
              </w:tc>
              <w:tc>
                <w:tcPr>
                  <w:tcW w:w="444" w:type="pct"/>
                  <w:tcBorders>
                    <w:tl2br w:val="nil"/>
                    <w:tr2bl w:val="nil"/>
                  </w:tcBorders>
                  <w:noWrap w:val="0"/>
                  <w:vAlign w:val="center"/>
                </w:tcPr>
                <w:p w14:paraId="51988B73">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30台</w:t>
                  </w:r>
                </w:p>
              </w:tc>
              <w:tc>
                <w:tcPr>
                  <w:tcW w:w="1098" w:type="pct"/>
                  <w:tcBorders>
                    <w:tl2br w:val="nil"/>
                    <w:tr2bl w:val="nil"/>
                  </w:tcBorders>
                  <w:noWrap w:val="0"/>
                  <w:vAlign w:val="center"/>
                </w:tcPr>
                <w:p w14:paraId="0AD0FB70">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250DX</w:t>
                  </w:r>
                  <w:r>
                    <w:rPr>
                      <w:rStyle w:val="156"/>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/350DX</w:t>
                  </w:r>
                </w:p>
              </w:tc>
              <w:tc>
                <w:tcPr>
                  <w:tcW w:w="1109" w:type="pct"/>
                  <w:vMerge w:val="continue"/>
                  <w:tcBorders>
                    <w:tl2br w:val="nil"/>
                    <w:tr2bl w:val="nil"/>
                  </w:tcBorders>
                  <w:noWrap/>
                  <w:vAlign w:val="center"/>
                </w:tcPr>
                <w:p w14:paraId="0154B7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74408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89F37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020CEF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04677528">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进口氩弧焊机</w:t>
                  </w:r>
                </w:p>
              </w:tc>
              <w:tc>
                <w:tcPr>
                  <w:tcW w:w="444" w:type="pct"/>
                  <w:tcBorders>
                    <w:tl2br w:val="nil"/>
                    <w:tr2bl w:val="nil"/>
                  </w:tcBorders>
                  <w:noWrap w:val="0"/>
                  <w:vAlign w:val="center"/>
                </w:tcPr>
                <w:p w14:paraId="3E12E7DB">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20台</w:t>
                  </w:r>
                </w:p>
              </w:tc>
              <w:tc>
                <w:tcPr>
                  <w:tcW w:w="1098" w:type="pct"/>
                  <w:tcBorders>
                    <w:tl2br w:val="nil"/>
                    <w:tr2bl w:val="nil"/>
                  </w:tcBorders>
                  <w:noWrap w:val="0"/>
                  <w:vAlign w:val="center"/>
                </w:tcPr>
                <w:p w14:paraId="207F2593">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BMS-8N</w:t>
                  </w:r>
                </w:p>
              </w:tc>
              <w:tc>
                <w:tcPr>
                  <w:tcW w:w="1109" w:type="pct"/>
                  <w:vMerge w:val="continue"/>
                  <w:tcBorders>
                    <w:tl2br w:val="nil"/>
                    <w:tr2bl w:val="nil"/>
                  </w:tcBorders>
                  <w:noWrap/>
                  <w:vAlign w:val="center"/>
                </w:tcPr>
                <w:p w14:paraId="23B72004">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p>
              </w:tc>
            </w:tr>
            <w:tr w14:paraId="22D48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1A8A27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3701F1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7C5F9CA3">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多功能焊机</w:t>
                  </w:r>
                </w:p>
              </w:tc>
              <w:tc>
                <w:tcPr>
                  <w:tcW w:w="444" w:type="pct"/>
                  <w:tcBorders>
                    <w:tl2br w:val="nil"/>
                    <w:tr2bl w:val="nil"/>
                  </w:tcBorders>
                  <w:noWrap w:val="0"/>
                  <w:vAlign w:val="center"/>
                </w:tcPr>
                <w:p w14:paraId="0390BB3D">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20台</w:t>
                  </w:r>
                </w:p>
              </w:tc>
              <w:tc>
                <w:tcPr>
                  <w:tcW w:w="1098" w:type="pct"/>
                  <w:tcBorders>
                    <w:tl2br w:val="nil"/>
                    <w:tr2bl w:val="nil"/>
                  </w:tcBorders>
                  <w:noWrap w:val="0"/>
                  <w:vAlign w:val="center"/>
                </w:tcPr>
                <w:p w14:paraId="1CB28E8C">
                  <w:pPr>
                    <w:spacing w:line="240" w:lineRule="auto"/>
                    <w:jc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w:t>
                  </w:r>
                </w:p>
              </w:tc>
              <w:tc>
                <w:tcPr>
                  <w:tcW w:w="1109" w:type="pct"/>
                  <w:vMerge w:val="continue"/>
                  <w:tcBorders>
                    <w:tl2br w:val="nil"/>
                    <w:tr2bl w:val="nil"/>
                  </w:tcBorders>
                  <w:noWrap/>
                  <w:vAlign w:val="center"/>
                </w:tcPr>
                <w:p w14:paraId="1D8D91D3">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1FA26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EB6FD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ign w:val="center"/>
                </w:tcPr>
                <w:p w14:paraId="315AA1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6764E07B">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color w:val="000000" w:themeColor="text1"/>
                      <w:kern w:val="0"/>
                      <w:sz w:val="21"/>
                      <w:szCs w:val="21"/>
                      <w:highlight w:val="none"/>
                      <w:u w:val="none"/>
                      <w:lang w:val="en-US" w:eastAsia="zh-CN" w:bidi="ar"/>
                      <w14:textFill>
                        <w14:solidFill>
                          <w14:schemeClr w14:val="tx1"/>
                        </w14:solidFill>
                      </w14:textFill>
                    </w:rPr>
                    <w:t>手磨机</w:t>
                  </w:r>
                </w:p>
              </w:tc>
              <w:tc>
                <w:tcPr>
                  <w:tcW w:w="444" w:type="pct"/>
                  <w:tcBorders>
                    <w:tl2br w:val="nil"/>
                    <w:tr2bl w:val="nil"/>
                  </w:tcBorders>
                  <w:noWrap w:val="0"/>
                  <w:vAlign w:val="center"/>
                </w:tcPr>
                <w:p w14:paraId="2DFE385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color w:val="000000" w:themeColor="text1"/>
                      <w:kern w:val="0"/>
                      <w:sz w:val="21"/>
                      <w:szCs w:val="21"/>
                      <w:highlight w:val="none"/>
                      <w:u w:val="none"/>
                      <w:lang w:val="en-US" w:eastAsia="zh-CN" w:bidi="ar"/>
                      <w14:textFill>
                        <w14:solidFill>
                          <w14:schemeClr w14:val="tx1"/>
                        </w14:solidFill>
                      </w14:textFill>
                    </w:rPr>
                    <w:t>3台</w:t>
                  </w:r>
                </w:p>
              </w:tc>
              <w:tc>
                <w:tcPr>
                  <w:tcW w:w="1098" w:type="pct"/>
                  <w:tcBorders>
                    <w:tl2br w:val="nil"/>
                    <w:tr2bl w:val="nil"/>
                  </w:tcBorders>
                  <w:noWrap w:val="0"/>
                  <w:vAlign w:val="center"/>
                </w:tcPr>
                <w:p w14:paraId="053E3450">
                  <w:pPr>
                    <w:spacing w:line="240" w:lineRule="auto"/>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color w:val="000000" w:themeColor="text1"/>
                      <w:kern w:val="0"/>
                      <w:sz w:val="21"/>
                      <w:szCs w:val="21"/>
                      <w:highlight w:val="none"/>
                      <w:u w:val="none"/>
                      <w:lang w:val="en-US" w:eastAsia="zh-CN" w:bidi="ar"/>
                      <w14:textFill>
                        <w14:solidFill>
                          <w14:schemeClr w14:val="tx1"/>
                        </w14:solidFill>
                      </w14:textFill>
                    </w:rPr>
                    <w:t>/</w:t>
                  </w:r>
                </w:p>
              </w:tc>
              <w:tc>
                <w:tcPr>
                  <w:tcW w:w="1109" w:type="pct"/>
                  <w:tcBorders>
                    <w:tl2br w:val="nil"/>
                    <w:tr2bl w:val="nil"/>
                  </w:tcBorders>
                  <w:noWrap/>
                  <w:vAlign w:val="center"/>
                </w:tcPr>
                <w:p w14:paraId="20201129">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手工打磨</w:t>
                  </w:r>
                </w:p>
              </w:tc>
            </w:tr>
            <w:tr w14:paraId="2D997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5B0B38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3" w:type="pct"/>
                  <w:vMerge w:val="continue"/>
                  <w:tcBorders>
                    <w:tl2br w:val="nil"/>
                    <w:tr2bl w:val="nil"/>
                  </w:tcBorders>
                  <w:noWrap w:val="0"/>
                  <w:vAlign w:val="center"/>
                </w:tcPr>
                <w:p w14:paraId="0F6A0B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71" w:type="pct"/>
                  <w:tcBorders>
                    <w:tl2br w:val="nil"/>
                    <w:tr2bl w:val="nil"/>
                  </w:tcBorders>
                  <w:noWrap w:val="0"/>
                  <w:vAlign w:val="center"/>
                </w:tcPr>
                <w:p w14:paraId="3B095FE6">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各类组装设备</w:t>
                  </w:r>
                </w:p>
              </w:tc>
              <w:tc>
                <w:tcPr>
                  <w:tcW w:w="444" w:type="pct"/>
                  <w:tcBorders>
                    <w:tl2br w:val="nil"/>
                    <w:tr2bl w:val="nil"/>
                  </w:tcBorders>
                  <w:noWrap w:val="0"/>
                  <w:vAlign w:val="center"/>
                </w:tcPr>
                <w:p w14:paraId="364BB8C0">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30台</w:t>
                  </w:r>
                </w:p>
              </w:tc>
              <w:tc>
                <w:tcPr>
                  <w:tcW w:w="1098" w:type="pct"/>
                  <w:tcBorders>
                    <w:tl2br w:val="nil"/>
                    <w:tr2bl w:val="nil"/>
                  </w:tcBorders>
                  <w:noWrap w:val="0"/>
                  <w:vAlign w:val="center"/>
                </w:tcPr>
                <w:p w14:paraId="2048B2A8">
                  <w:pPr>
                    <w:spacing w:line="240" w:lineRule="auto"/>
                    <w:jc w:val="center"/>
                    <w:rPr>
                      <w:rFonts w:hint="default" w:ascii="Times New Roman" w:hAnsi="Times New Roman" w:eastAsia="宋体" w:cs="Times New Roman"/>
                      <w:i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w:t>
                  </w:r>
                </w:p>
              </w:tc>
              <w:tc>
                <w:tcPr>
                  <w:tcW w:w="1109" w:type="pct"/>
                  <w:tcBorders>
                    <w:tl2br w:val="nil"/>
                    <w:tr2bl w:val="nil"/>
                  </w:tcBorders>
                  <w:noWrap w:val="0"/>
                  <w:vAlign w:val="center"/>
                </w:tcPr>
                <w:p w14:paraId="3117AEBA">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组装</w:t>
                  </w:r>
                </w:p>
              </w:tc>
            </w:tr>
            <w:tr w14:paraId="7AB76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0"/>
                  <w:vAlign w:val="center"/>
                </w:tcPr>
                <w:p w14:paraId="36BCA0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803" w:type="pct"/>
                  <w:vMerge w:val="restart"/>
                  <w:tcBorders>
                    <w:tl2br w:val="nil"/>
                    <w:tr2bl w:val="nil"/>
                  </w:tcBorders>
                  <w:noWrap w:val="0"/>
                  <w:vAlign w:val="center"/>
                </w:tcPr>
                <w:p w14:paraId="08335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喷涂固化车间</w:t>
                  </w:r>
                </w:p>
              </w:tc>
              <w:tc>
                <w:tcPr>
                  <w:tcW w:w="1171" w:type="pct"/>
                  <w:tcBorders>
                    <w:tl2br w:val="nil"/>
                    <w:tr2bl w:val="nil"/>
                  </w:tcBorders>
                  <w:noWrap w:val="0"/>
                  <w:vAlign w:val="center"/>
                </w:tcPr>
                <w:p w14:paraId="7D6F4556">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喷粉房</w:t>
                  </w:r>
                </w:p>
              </w:tc>
              <w:tc>
                <w:tcPr>
                  <w:tcW w:w="444" w:type="pct"/>
                  <w:tcBorders>
                    <w:tl2br w:val="nil"/>
                    <w:tr2bl w:val="nil"/>
                  </w:tcBorders>
                  <w:noWrap w:val="0"/>
                  <w:vAlign w:val="center"/>
                </w:tcPr>
                <w:p w14:paraId="5FFD9E2E">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1个</w:t>
                  </w:r>
                </w:p>
              </w:tc>
              <w:tc>
                <w:tcPr>
                  <w:tcW w:w="1098" w:type="pct"/>
                  <w:tcBorders>
                    <w:tl2br w:val="nil"/>
                    <w:tr2bl w:val="nil"/>
                  </w:tcBorders>
                  <w:noWrap w:val="0"/>
                  <w:vAlign w:val="center"/>
                </w:tcPr>
                <w:p w14:paraId="307909C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02DB85D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喷粉</w:t>
                  </w:r>
                </w:p>
              </w:tc>
            </w:tr>
            <w:tr w14:paraId="5AC7C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5EB12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61529D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28E0C972">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手持喷枪</w:t>
                  </w:r>
                </w:p>
              </w:tc>
              <w:tc>
                <w:tcPr>
                  <w:tcW w:w="444" w:type="pct"/>
                  <w:tcBorders>
                    <w:tl2br w:val="nil"/>
                    <w:tr2bl w:val="nil"/>
                  </w:tcBorders>
                  <w:noWrap w:val="0"/>
                  <w:vAlign w:val="center"/>
                </w:tcPr>
                <w:p w14:paraId="5D77D698">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2个</w:t>
                  </w:r>
                </w:p>
              </w:tc>
              <w:tc>
                <w:tcPr>
                  <w:tcW w:w="1098" w:type="pct"/>
                  <w:tcBorders>
                    <w:tl2br w:val="nil"/>
                    <w:tr2bl w:val="nil"/>
                  </w:tcBorders>
                  <w:noWrap w:val="0"/>
                  <w:vAlign w:val="center"/>
                </w:tcPr>
                <w:p w14:paraId="25B8AD4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5E7CD29E">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喷粉</w:t>
                  </w:r>
                </w:p>
              </w:tc>
            </w:tr>
            <w:tr w14:paraId="34D07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62735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0B85A7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649CA1B0">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精涂机</w:t>
                  </w:r>
                </w:p>
              </w:tc>
              <w:tc>
                <w:tcPr>
                  <w:tcW w:w="444" w:type="pct"/>
                  <w:tcBorders>
                    <w:tl2br w:val="nil"/>
                    <w:tr2bl w:val="nil"/>
                  </w:tcBorders>
                  <w:noWrap w:val="0"/>
                  <w:vAlign w:val="center"/>
                </w:tcPr>
                <w:p w14:paraId="2ED8FC1D">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2台</w:t>
                  </w:r>
                </w:p>
              </w:tc>
              <w:tc>
                <w:tcPr>
                  <w:tcW w:w="1098" w:type="pct"/>
                  <w:tcBorders>
                    <w:tl2br w:val="nil"/>
                    <w:tr2bl w:val="nil"/>
                  </w:tcBorders>
                  <w:noWrap w:val="0"/>
                  <w:vAlign w:val="center"/>
                </w:tcPr>
                <w:p w14:paraId="1262862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507115F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精涂</w:t>
                  </w:r>
                </w:p>
              </w:tc>
            </w:tr>
            <w:tr w14:paraId="077CC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0A6ED4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64826F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48B9C69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底漆喷房</w:t>
                  </w:r>
                </w:p>
              </w:tc>
              <w:tc>
                <w:tcPr>
                  <w:tcW w:w="444" w:type="pct"/>
                  <w:tcBorders>
                    <w:tl2br w:val="nil"/>
                    <w:tr2bl w:val="nil"/>
                  </w:tcBorders>
                  <w:noWrap w:val="0"/>
                  <w:vAlign w:val="center"/>
                </w:tcPr>
                <w:p w14:paraId="7C3AA3D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2台</w:t>
                  </w:r>
                </w:p>
              </w:tc>
              <w:tc>
                <w:tcPr>
                  <w:tcW w:w="1098" w:type="pct"/>
                  <w:tcBorders>
                    <w:tl2br w:val="nil"/>
                    <w:tr2bl w:val="nil"/>
                  </w:tcBorders>
                  <w:noWrap w:val="0"/>
                  <w:vAlign w:val="center"/>
                </w:tcPr>
                <w:p w14:paraId="105806C8">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16m*5m*3.5m</w:t>
                  </w:r>
                </w:p>
              </w:tc>
              <w:tc>
                <w:tcPr>
                  <w:tcW w:w="1109" w:type="pct"/>
                  <w:tcBorders>
                    <w:tl2br w:val="nil"/>
                    <w:tr2bl w:val="nil"/>
                  </w:tcBorders>
                  <w:noWrap w:val="0"/>
                  <w:vAlign w:val="center"/>
                </w:tcPr>
                <w:p w14:paraId="64022170">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喷漆</w:t>
                  </w:r>
                </w:p>
              </w:tc>
            </w:tr>
            <w:tr w14:paraId="2A7CA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6F2933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68FE8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1E2289A0">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底漆流平室</w:t>
                  </w:r>
                </w:p>
              </w:tc>
              <w:tc>
                <w:tcPr>
                  <w:tcW w:w="444" w:type="pct"/>
                  <w:tcBorders>
                    <w:tl2br w:val="nil"/>
                    <w:tr2bl w:val="nil"/>
                  </w:tcBorders>
                  <w:noWrap w:val="0"/>
                  <w:vAlign w:val="center"/>
                </w:tcPr>
                <w:p w14:paraId="03B45BA6">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1个</w:t>
                  </w:r>
                </w:p>
              </w:tc>
              <w:tc>
                <w:tcPr>
                  <w:tcW w:w="1098" w:type="pct"/>
                  <w:tcBorders>
                    <w:tl2br w:val="nil"/>
                    <w:tr2bl w:val="nil"/>
                  </w:tcBorders>
                  <w:noWrap w:val="0"/>
                  <w:vAlign w:val="center"/>
                </w:tcPr>
                <w:p w14:paraId="5A0D93B7">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13.5m*5m*3.5m</w:t>
                  </w:r>
                </w:p>
              </w:tc>
              <w:tc>
                <w:tcPr>
                  <w:tcW w:w="1109" w:type="pct"/>
                  <w:tcBorders>
                    <w:tl2br w:val="nil"/>
                    <w:tr2bl w:val="nil"/>
                  </w:tcBorders>
                  <w:noWrap w:val="0"/>
                  <w:vAlign w:val="center"/>
                </w:tcPr>
                <w:p w14:paraId="1E586168">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流平</w:t>
                  </w:r>
                </w:p>
              </w:tc>
            </w:tr>
            <w:tr w14:paraId="3E63E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4E2D5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76F09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0517E7D4">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面漆喷房</w:t>
                  </w:r>
                </w:p>
              </w:tc>
              <w:tc>
                <w:tcPr>
                  <w:tcW w:w="444" w:type="pct"/>
                  <w:tcBorders>
                    <w:tl2br w:val="nil"/>
                    <w:tr2bl w:val="nil"/>
                  </w:tcBorders>
                  <w:noWrap w:val="0"/>
                  <w:vAlign w:val="center"/>
                </w:tcPr>
                <w:p w14:paraId="644F5F7D">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2个</w:t>
                  </w:r>
                </w:p>
              </w:tc>
              <w:tc>
                <w:tcPr>
                  <w:tcW w:w="1098" w:type="pct"/>
                  <w:tcBorders>
                    <w:tl2br w:val="nil"/>
                    <w:tr2bl w:val="nil"/>
                  </w:tcBorders>
                  <w:noWrap w:val="0"/>
                  <w:vAlign w:val="center"/>
                </w:tcPr>
                <w:p w14:paraId="744A861D">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16m*5m*3.5m</w:t>
                  </w:r>
                </w:p>
              </w:tc>
              <w:tc>
                <w:tcPr>
                  <w:tcW w:w="1109" w:type="pct"/>
                  <w:tcBorders>
                    <w:tl2br w:val="nil"/>
                    <w:tr2bl w:val="nil"/>
                  </w:tcBorders>
                  <w:noWrap w:val="0"/>
                  <w:vAlign w:val="center"/>
                </w:tcPr>
                <w:p w14:paraId="70FABB3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喷漆</w:t>
                  </w:r>
                </w:p>
              </w:tc>
            </w:tr>
            <w:tr w14:paraId="02DE4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4E30F8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68B9F5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546979B5">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面漆流平室</w:t>
                  </w:r>
                </w:p>
              </w:tc>
              <w:tc>
                <w:tcPr>
                  <w:tcW w:w="444" w:type="pct"/>
                  <w:tcBorders>
                    <w:tl2br w:val="nil"/>
                    <w:tr2bl w:val="nil"/>
                  </w:tcBorders>
                  <w:noWrap w:val="0"/>
                  <w:vAlign w:val="center"/>
                </w:tcPr>
                <w:p w14:paraId="19211D0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1个</w:t>
                  </w:r>
                </w:p>
              </w:tc>
              <w:tc>
                <w:tcPr>
                  <w:tcW w:w="1098" w:type="pct"/>
                  <w:tcBorders>
                    <w:tl2br w:val="nil"/>
                    <w:tr2bl w:val="nil"/>
                  </w:tcBorders>
                  <w:noWrap w:val="0"/>
                  <w:vAlign w:val="center"/>
                </w:tcPr>
                <w:p w14:paraId="5C26E75A">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13.5m*5m*3.5m</w:t>
                  </w:r>
                </w:p>
              </w:tc>
              <w:tc>
                <w:tcPr>
                  <w:tcW w:w="1109" w:type="pct"/>
                  <w:tcBorders>
                    <w:tl2br w:val="nil"/>
                    <w:tr2bl w:val="nil"/>
                  </w:tcBorders>
                  <w:noWrap w:val="0"/>
                  <w:vAlign w:val="center"/>
                </w:tcPr>
                <w:p w14:paraId="2D5936C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流平</w:t>
                  </w:r>
                </w:p>
              </w:tc>
            </w:tr>
            <w:tr w14:paraId="42638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2359C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247823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6518A6EE">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清漆喷房</w:t>
                  </w:r>
                </w:p>
              </w:tc>
              <w:tc>
                <w:tcPr>
                  <w:tcW w:w="444" w:type="pct"/>
                  <w:tcBorders>
                    <w:tl2br w:val="nil"/>
                    <w:tr2bl w:val="nil"/>
                  </w:tcBorders>
                  <w:noWrap w:val="0"/>
                  <w:vAlign w:val="center"/>
                </w:tcPr>
                <w:p w14:paraId="32E2E806">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2个</w:t>
                  </w:r>
                </w:p>
              </w:tc>
              <w:tc>
                <w:tcPr>
                  <w:tcW w:w="1098" w:type="pct"/>
                  <w:tcBorders>
                    <w:tl2br w:val="nil"/>
                    <w:tr2bl w:val="nil"/>
                  </w:tcBorders>
                  <w:noWrap w:val="0"/>
                  <w:vAlign w:val="center"/>
                </w:tcPr>
                <w:p w14:paraId="0C33CF36">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16m*5m*3.5m</w:t>
                  </w:r>
                </w:p>
              </w:tc>
              <w:tc>
                <w:tcPr>
                  <w:tcW w:w="1109" w:type="pct"/>
                  <w:tcBorders>
                    <w:tl2br w:val="nil"/>
                    <w:tr2bl w:val="nil"/>
                  </w:tcBorders>
                  <w:noWrap w:val="0"/>
                  <w:vAlign w:val="center"/>
                </w:tcPr>
                <w:p w14:paraId="0AEE002C">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喷漆</w:t>
                  </w:r>
                </w:p>
              </w:tc>
            </w:tr>
            <w:tr w14:paraId="095E6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1E7797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37D456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171581F5">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清漆流平室</w:t>
                  </w:r>
                </w:p>
              </w:tc>
              <w:tc>
                <w:tcPr>
                  <w:tcW w:w="444" w:type="pct"/>
                  <w:tcBorders>
                    <w:tl2br w:val="nil"/>
                    <w:tr2bl w:val="nil"/>
                  </w:tcBorders>
                  <w:noWrap w:val="0"/>
                  <w:vAlign w:val="center"/>
                </w:tcPr>
                <w:p w14:paraId="7724A71E">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1个</w:t>
                  </w:r>
                </w:p>
              </w:tc>
              <w:tc>
                <w:tcPr>
                  <w:tcW w:w="1098" w:type="pct"/>
                  <w:tcBorders>
                    <w:tl2br w:val="nil"/>
                    <w:tr2bl w:val="nil"/>
                  </w:tcBorders>
                  <w:noWrap w:val="0"/>
                  <w:vAlign w:val="center"/>
                </w:tcPr>
                <w:p w14:paraId="1AA8D4EA">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13.5m*5m*3.5m</w:t>
                  </w:r>
                </w:p>
              </w:tc>
              <w:tc>
                <w:tcPr>
                  <w:tcW w:w="1109" w:type="pct"/>
                  <w:tcBorders>
                    <w:tl2br w:val="nil"/>
                    <w:tr2bl w:val="nil"/>
                  </w:tcBorders>
                  <w:noWrap w:val="0"/>
                  <w:vAlign w:val="center"/>
                </w:tcPr>
                <w:p w14:paraId="7B33BC7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流平</w:t>
                  </w:r>
                </w:p>
              </w:tc>
            </w:tr>
            <w:tr w14:paraId="67C56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D1ED2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46C1E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071AED20">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手持喷枪</w:t>
                  </w:r>
                </w:p>
              </w:tc>
              <w:tc>
                <w:tcPr>
                  <w:tcW w:w="444" w:type="pct"/>
                  <w:tcBorders>
                    <w:tl2br w:val="nil"/>
                    <w:tr2bl w:val="nil"/>
                  </w:tcBorders>
                  <w:noWrap w:val="0"/>
                  <w:vAlign w:val="center"/>
                </w:tcPr>
                <w:p w14:paraId="135EEB96">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6个</w:t>
                  </w:r>
                </w:p>
              </w:tc>
              <w:tc>
                <w:tcPr>
                  <w:tcW w:w="1098" w:type="pct"/>
                  <w:tcBorders>
                    <w:tl2br w:val="nil"/>
                    <w:tr2bl w:val="nil"/>
                  </w:tcBorders>
                  <w:noWrap w:val="0"/>
                  <w:vAlign w:val="center"/>
                </w:tcPr>
                <w:p w14:paraId="12831C1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7DB662EF">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喷漆</w:t>
                  </w:r>
                </w:p>
              </w:tc>
            </w:tr>
            <w:tr w14:paraId="08900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19F0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67ECF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0CF5DFA5">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精涂机</w:t>
                  </w:r>
                </w:p>
              </w:tc>
              <w:tc>
                <w:tcPr>
                  <w:tcW w:w="444" w:type="pct"/>
                  <w:tcBorders>
                    <w:tl2br w:val="nil"/>
                    <w:tr2bl w:val="nil"/>
                  </w:tcBorders>
                  <w:noWrap w:val="0"/>
                  <w:vAlign w:val="center"/>
                </w:tcPr>
                <w:p w14:paraId="19B10AA6">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6台</w:t>
                  </w:r>
                </w:p>
              </w:tc>
              <w:tc>
                <w:tcPr>
                  <w:tcW w:w="1098" w:type="pct"/>
                  <w:tcBorders>
                    <w:tl2br w:val="nil"/>
                    <w:tr2bl w:val="nil"/>
                  </w:tcBorders>
                  <w:noWrap w:val="0"/>
                  <w:vAlign w:val="center"/>
                </w:tcPr>
                <w:p w14:paraId="363FC8B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2053CFFD">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精</w:t>
                  </w:r>
                  <w:r>
                    <w:rPr>
                      <w:rFonts w:hint="eastAsia" w:cs="Times New Roman"/>
                      <w:i w:val="0"/>
                      <w:color w:val="000000" w:themeColor="text1"/>
                      <w:kern w:val="0"/>
                      <w:sz w:val="21"/>
                      <w:szCs w:val="21"/>
                      <w:u w:val="none"/>
                      <w:lang w:val="en-US" w:eastAsia="zh-CN" w:bidi="ar"/>
                      <w14:textFill>
                        <w14:solidFill>
                          <w14:schemeClr w14:val="tx1"/>
                        </w14:solidFill>
                      </w14:textFill>
                    </w:rPr>
                    <w:t>涂</w:t>
                  </w:r>
                </w:p>
              </w:tc>
            </w:tr>
            <w:tr w14:paraId="6538B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283B1B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26C6E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4FC6EB21">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调漆房</w:t>
                  </w:r>
                </w:p>
              </w:tc>
              <w:tc>
                <w:tcPr>
                  <w:tcW w:w="444" w:type="pct"/>
                  <w:tcBorders>
                    <w:tl2br w:val="nil"/>
                    <w:tr2bl w:val="nil"/>
                  </w:tcBorders>
                  <w:noWrap w:val="0"/>
                  <w:vAlign w:val="center"/>
                </w:tcPr>
                <w:p w14:paraId="5615ACFD">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1个</w:t>
                  </w:r>
                </w:p>
              </w:tc>
              <w:tc>
                <w:tcPr>
                  <w:tcW w:w="1098" w:type="pct"/>
                  <w:tcBorders>
                    <w:tl2br w:val="nil"/>
                    <w:tr2bl w:val="nil"/>
                  </w:tcBorders>
                  <w:noWrap w:val="0"/>
                  <w:vAlign w:val="center"/>
                </w:tcPr>
                <w:p w14:paraId="647D86D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07BC493B">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调漆</w:t>
                  </w:r>
                </w:p>
              </w:tc>
            </w:tr>
            <w:tr w14:paraId="4FB94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334A6A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1625D3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5995D571">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固化通道</w:t>
                  </w:r>
                </w:p>
              </w:tc>
              <w:tc>
                <w:tcPr>
                  <w:tcW w:w="444" w:type="pct"/>
                  <w:tcBorders>
                    <w:tl2br w:val="nil"/>
                    <w:tr2bl w:val="nil"/>
                  </w:tcBorders>
                  <w:noWrap w:val="0"/>
                  <w:vAlign w:val="center"/>
                </w:tcPr>
                <w:p w14:paraId="6C500E0D">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条</w:t>
                  </w:r>
                </w:p>
              </w:tc>
              <w:tc>
                <w:tcPr>
                  <w:tcW w:w="1098" w:type="pct"/>
                  <w:tcBorders>
                    <w:tl2br w:val="nil"/>
                    <w:tr2bl w:val="nil"/>
                  </w:tcBorders>
                  <w:noWrap w:val="0"/>
                  <w:vAlign w:val="center"/>
                </w:tcPr>
                <w:p w14:paraId="788B249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eastAsia" w:cs="Times New Roman"/>
                      <w:i w:val="0"/>
                      <w:color w:val="000000" w:themeColor="text1"/>
                      <w:kern w:val="0"/>
                      <w:sz w:val="21"/>
                      <w:szCs w:val="21"/>
                      <w:u w:val="none"/>
                      <w:lang w:val="en-US" w:eastAsia="zh-CN" w:bidi="ar"/>
                      <w14:textFill>
                        <w14:solidFill>
                          <w14:schemeClr w14:val="tx1"/>
                        </w14:solidFill>
                      </w14:textFill>
                    </w:rPr>
                    <w:t>65m×2m</w:t>
                  </w:r>
                </w:p>
              </w:tc>
              <w:tc>
                <w:tcPr>
                  <w:tcW w:w="1109" w:type="pct"/>
                  <w:tcBorders>
                    <w:tl2br w:val="nil"/>
                    <w:tr2bl w:val="nil"/>
                  </w:tcBorders>
                  <w:noWrap w:val="0"/>
                  <w:vAlign w:val="center"/>
                </w:tcPr>
                <w:p w14:paraId="527E622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固化通道</w:t>
                  </w:r>
                </w:p>
              </w:tc>
            </w:tr>
            <w:tr w14:paraId="767A5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9B89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0F7B08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78236EC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牵引机</w:t>
                  </w:r>
                </w:p>
              </w:tc>
              <w:tc>
                <w:tcPr>
                  <w:tcW w:w="444" w:type="pct"/>
                  <w:tcBorders>
                    <w:tl2br w:val="nil"/>
                    <w:tr2bl w:val="nil"/>
                  </w:tcBorders>
                  <w:noWrap w:val="0"/>
                  <w:vAlign w:val="center"/>
                </w:tcPr>
                <w:p w14:paraId="180A8CC1">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1台</w:t>
                  </w:r>
                </w:p>
              </w:tc>
              <w:tc>
                <w:tcPr>
                  <w:tcW w:w="1098" w:type="pct"/>
                  <w:tcBorders>
                    <w:tl2br w:val="nil"/>
                    <w:tr2bl w:val="nil"/>
                  </w:tcBorders>
                  <w:noWrap w:val="0"/>
                  <w:vAlign w:val="center"/>
                </w:tcPr>
                <w:p w14:paraId="797B7A8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3F979A6E">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牵引</w:t>
                  </w:r>
                </w:p>
              </w:tc>
            </w:tr>
            <w:tr w14:paraId="35F3A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F218D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3340B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356F3EA3">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物料预热通道</w:t>
                  </w:r>
                </w:p>
              </w:tc>
              <w:tc>
                <w:tcPr>
                  <w:tcW w:w="444" w:type="pct"/>
                  <w:tcBorders>
                    <w:tl2br w:val="nil"/>
                    <w:tr2bl w:val="nil"/>
                  </w:tcBorders>
                  <w:noWrap w:val="0"/>
                  <w:vAlign w:val="center"/>
                </w:tcPr>
                <w:p w14:paraId="1EEFC696">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1条</w:t>
                  </w:r>
                </w:p>
              </w:tc>
              <w:tc>
                <w:tcPr>
                  <w:tcW w:w="1098" w:type="pct"/>
                  <w:tcBorders>
                    <w:tl2br w:val="nil"/>
                    <w:tr2bl w:val="nil"/>
                  </w:tcBorders>
                  <w:noWrap w:val="0"/>
                  <w:vAlign w:val="center"/>
                </w:tcPr>
                <w:p w14:paraId="6B314FA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194D81D1">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预热</w:t>
                  </w:r>
                </w:p>
              </w:tc>
            </w:tr>
            <w:tr w14:paraId="6B359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010AB8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3E4292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45D29BA8">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喷粉房</w:t>
                  </w:r>
                </w:p>
              </w:tc>
              <w:tc>
                <w:tcPr>
                  <w:tcW w:w="444" w:type="pct"/>
                  <w:tcBorders>
                    <w:tl2br w:val="nil"/>
                    <w:tr2bl w:val="nil"/>
                  </w:tcBorders>
                  <w:noWrap w:val="0"/>
                  <w:vAlign w:val="center"/>
                </w:tcPr>
                <w:p w14:paraId="7ED5D98A">
                  <w:pPr>
                    <w:keepNext w:val="0"/>
                    <w:keepLines w:val="0"/>
                    <w:widowControl/>
                    <w:suppressLineNumbers w:val="0"/>
                    <w:spacing w:line="240" w:lineRule="auto"/>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1个</w:t>
                  </w:r>
                </w:p>
              </w:tc>
              <w:tc>
                <w:tcPr>
                  <w:tcW w:w="1098" w:type="pct"/>
                  <w:tcBorders>
                    <w:tl2br w:val="nil"/>
                    <w:tr2bl w:val="nil"/>
                  </w:tcBorders>
                  <w:noWrap w:val="0"/>
                  <w:vAlign w:val="center"/>
                </w:tcPr>
                <w:p w14:paraId="616F1A1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22E7B392">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喷粉</w:t>
                  </w:r>
                </w:p>
              </w:tc>
            </w:tr>
            <w:tr w14:paraId="10C25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301949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3" w:type="pct"/>
                  <w:vMerge w:val="continue"/>
                  <w:tcBorders>
                    <w:tl2br w:val="nil"/>
                    <w:tr2bl w:val="nil"/>
                  </w:tcBorders>
                  <w:noWrap w:val="0"/>
                  <w:vAlign w:val="center"/>
                </w:tcPr>
                <w:p w14:paraId="5AC9D2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71" w:type="pct"/>
                  <w:tcBorders>
                    <w:tl2br w:val="nil"/>
                    <w:tr2bl w:val="nil"/>
                  </w:tcBorders>
                  <w:noWrap w:val="0"/>
                  <w:vAlign w:val="center"/>
                </w:tcPr>
                <w:p w14:paraId="4DD718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cs="Times New Roman"/>
                      <w:i w:val="0"/>
                      <w:color w:val="000000" w:themeColor="text1"/>
                      <w:kern w:val="0"/>
                      <w:sz w:val="21"/>
                      <w:szCs w:val="21"/>
                      <w:u w:val="none"/>
                      <w:lang w:val="en-US" w:eastAsia="zh-CN" w:bidi="ar"/>
                      <w14:textFill>
                        <w14:solidFill>
                          <w14:schemeClr w14:val="tx1"/>
                        </w14:solidFill>
                      </w14:textFill>
                    </w:rPr>
                    <w:t>固化</w:t>
                  </w: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炉</w:t>
                  </w:r>
                </w:p>
              </w:tc>
              <w:tc>
                <w:tcPr>
                  <w:tcW w:w="444" w:type="pct"/>
                  <w:tcBorders>
                    <w:tl2br w:val="nil"/>
                    <w:tr2bl w:val="nil"/>
                  </w:tcBorders>
                  <w:noWrap w:val="0"/>
                  <w:vAlign w:val="center"/>
                </w:tcPr>
                <w:p w14:paraId="609DE37A">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4个</w:t>
                  </w:r>
                </w:p>
              </w:tc>
              <w:tc>
                <w:tcPr>
                  <w:tcW w:w="1098" w:type="pct"/>
                  <w:tcBorders>
                    <w:tl2br w:val="nil"/>
                    <w:tr2bl w:val="nil"/>
                  </w:tcBorders>
                  <w:noWrap w:val="0"/>
                  <w:vAlign w:val="center"/>
                </w:tcPr>
                <w:p w14:paraId="7009D87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电气两用</w:t>
                  </w:r>
                </w:p>
              </w:tc>
              <w:tc>
                <w:tcPr>
                  <w:tcW w:w="1109" w:type="pct"/>
                  <w:tcBorders>
                    <w:tl2br w:val="nil"/>
                    <w:tr2bl w:val="nil"/>
                  </w:tcBorders>
                  <w:noWrap w:val="0"/>
                  <w:vAlign w:val="center"/>
                </w:tcPr>
                <w:p w14:paraId="25F98EFA">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烘烤固化</w:t>
                  </w:r>
                </w:p>
              </w:tc>
            </w:tr>
            <w:tr w14:paraId="25E76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tcBorders>
                    <w:tl2br w:val="nil"/>
                    <w:tr2bl w:val="nil"/>
                  </w:tcBorders>
                  <w:noWrap w:val="0"/>
                  <w:vAlign w:val="center"/>
                </w:tcPr>
                <w:p w14:paraId="76EDA5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803" w:type="pct"/>
                  <w:tcBorders>
                    <w:tl2br w:val="nil"/>
                    <w:tr2bl w:val="nil"/>
                  </w:tcBorders>
                  <w:noWrap w:val="0"/>
                  <w:vAlign w:val="center"/>
                </w:tcPr>
                <w:p w14:paraId="5EF53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公用工程</w:t>
                  </w:r>
                </w:p>
              </w:tc>
              <w:tc>
                <w:tcPr>
                  <w:tcW w:w="1171" w:type="pct"/>
                  <w:tcBorders>
                    <w:tl2br w:val="nil"/>
                    <w:tr2bl w:val="nil"/>
                  </w:tcBorders>
                  <w:noWrap w:val="0"/>
                  <w:vAlign w:val="center"/>
                </w:tcPr>
                <w:p w14:paraId="4AD5B0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空压机</w:t>
                  </w:r>
                </w:p>
              </w:tc>
              <w:tc>
                <w:tcPr>
                  <w:tcW w:w="444" w:type="pct"/>
                  <w:tcBorders>
                    <w:tl2br w:val="nil"/>
                    <w:tr2bl w:val="nil"/>
                  </w:tcBorders>
                  <w:noWrap w:val="0"/>
                  <w:vAlign w:val="center"/>
                </w:tcPr>
                <w:p w14:paraId="540FABD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3台</w:t>
                  </w:r>
                </w:p>
              </w:tc>
              <w:tc>
                <w:tcPr>
                  <w:tcW w:w="1098" w:type="pct"/>
                  <w:tcBorders>
                    <w:tl2br w:val="nil"/>
                    <w:tr2bl w:val="nil"/>
                  </w:tcBorders>
                  <w:noWrap w:val="0"/>
                  <w:vAlign w:val="center"/>
                </w:tcPr>
                <w:p w14:paraId="24DD208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w:t>
                  </w:r>
                </w:p>
              </w:tc>
              <w:tc>
                <w:tcPr>
                  <w:tcW w:w="1109" w:type="pct"/>
                  <w:tcBorders>
                    <w:tl2br w:val="nil"/>
                    <w:tr2bl w:val="nil"/>
                  </w:tcBorders>
                  <w:noWrap w:val="0"/>
                  <w:vAlign w:val="center"/>
                </w:tcPr>
                <w:p w14:paraId="2B21ED3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吹扫、气动设施</w:t>
                  </w:r>
                </w:p>
              </w:tc>
            </w:tr>
          </w:tbl>
          <w:p w14:paraId="7B760590">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49CC267D">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t>5、劳动定员和工作制度</w:t>
            </w:r>
          </w:p>
          <w:p w14:paraId="1BF1E840">
            <w:pPr>
              <w:widowControl/>
              <w:kinsoku/>
              <w:autoSpaceDE/>
              <w:autoSpaceDN/>
              <w:adjustRightInd/>
              <w:snapToGrid/>
              <w:spacing w:line="360" w:lineRule="auto"/>
              <w:ind w:firstLine="480" w:firstLineChars="200"/>
              <w:jc w:val="left"/>
              <w:textAlignment w:val="auto"/>
              <w:rPr>
                <w:rFonts w:hint="eastAsia" w:ascii="Times New Roman" w:hAnsi="Times New Roman" w:eastAsia="宋体" w:cs="Times New Roman"/>
                <w:b/>
                <w:bCs/>
                <w:color w:val="000000" w:themeColor="text1"/>
                <w:spacing w:val="-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项目劳动定员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160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人</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其中140人</w:t>
            </w:r>
            <w:r>
              <w:rPr>
                <w:rFonts w:hint="default" w:ascii="Times New Roman" w:hAnsi="Times New Roman" w:eastAsia="宋体" w:cs="Times New Roman"/>
                <w:color w:val="000000" w:themeColor="text1"/>
                <w:sz w:val="24"/>
                <w:szCs w:val="24"/>
                <w:highlight w:val="none"/>
                <w14:textFill>
                  <w14:solidFill>
                    <w14:schemeClr w14:val="tx1"/>
                  </w14:solidFill>
                </w14:textFill>
              </w:rPr>
              <w:t>在厂内食宿；</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项目工作制度为1班制，</w:t>
            </w:r>
            <w:r>
              <w:rPr>
                <w:rFonts w:hint="default" w:ascii="Times New Roman" w:hAnsi="Times New Roman" w:eastAsia="宋体" w:cs="Times New Roman"/>
                <w:color w:val="000000" w:themeColor="text1"/>
                <w:sz w:val="24"/>
                <w:szCs w:val="24"/>
                <w:highlight w:val="none"/>
                <w14:textFill>
                  <w14:solidFill>
                    <w14:schemeClr w14:val="tx1"/>
                  </w14:solidFill>
                </w14:textFill>
              </w:rPr>
              <w:t>每天工作8小时，年工作天数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241</w:t>
            </w:r>
            <w:r>
              <w:rPr>
                <w:rFonts w:hint="default" w:ascii="Times New Roman" w:hAnsi="Times New Roman" w:eastAsia="宋体" w:cs="Times New Roman"/>
                <w:color w:val="000000" w:themeColor="text1"/>
                <w:sz w:val="24"/>
                <w:szCs w:val="24"/>
                <w:highlight w:val="none"/>
                <w14:textFill>
                  <w14:solidFill>
                    <w14:schemeClr w14:val="tx1"/>
                  </w14:solidFill>
                </w14:textFill>
              </w:rPr>
              <w:t>天</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1DBB6E01">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t>6、能源和资源消耗</w:t>
            </w:r>
          </w:p>
          <w:p w14:paraId="0EB00DC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（1）供电</w:t>
            </w:r>
          </w:p>
          <w:p w14:paraId="5790F33A">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本项目用电由市政供电网提供，年用电量约</w:t>
            </w:r>
            <w:r>
              <w:rPr>
                <w:rFonts w:hint="eastAsia" w:cs="Times New Roman"/>
                <w:color w:val="000000" w:themeColor="text1"/>
                <w:spacing w:val="-1"/>
                <w:sz w:val="24"/>
                <w:szCs w:val="24"/>
                <w:highlight w:val="none"/>
                <w:lang w:val="en-US" w:eastAsia="zh-CN"/>
                <w14:textFill>
                  <w14:solidFill>
                    <w14:schemeClr w14:val="tx1"/>
                  </w14:solidFill>
                </w14:textFill>
              </w:rPr>
              <w:t>235</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万千瓦·时，不设备用发电机或锅炉。</w:t>
            </w:r>
          </w:p>
          <w:p w14:paraId="22C6CA7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（2）给水</w:t>
            </w:r>
          </w:p>
          <w:p w14:paraId="71252184">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本项目营运期用水主要为生活用水和生产用水，废水产生主要为生活污水和生产废水。</w:t>
            </w:r>
          </w:p>
          <w:p w14:paraId="0525C2E2">
            <w:pPr>
              <w:pStyle w:val="22"/>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①生活用水：本项目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设置</w:t>
            </w:r>
            <w:r>
              <w:rPr>
                <w:rFonts w:hint="default" w:ascii="Times New Roman" w:hAnsi="Times New Roman" w:cs="Times New Roman"/>
                <w:color w:val="000000" w:themeColor="text1"/>
                <w:sz w:val="24"/>
                <w:szCs w:val="24"/>
                <w:highlight w:val="none"/>
                <w14:textFill>
                  <w14:solidFill>
                    <w14:schemeClr w14:val="tx1"/>
                  </w14:solidFill>
                </w14:textFill>
              </w:rPr>
              <w:t>职工宿舍</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设</w:t>
            </w:r>
            <w:r>
              <w:rPr>
                <w:rFonts w:hint="eastAsia" w:cs="Times New Roman"/>
                <w:color w:val="000000" w:themeColor="text1"/>
                <w:sz w:val="24"/>
                <w:szCs w:val="24"/>
                <w:highlight w:val="none"/>
                <w:lang w:val="en-US" w:eastAsia="zh-CN"/>
                <w14:textFill>
                  <w14:solidFill>
                    <w14:schemeClr w14:val="tx1"/>
                  </w14:solidFill>
                </w14:textFill>
              </w:rPr>
              <w:t>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食堂</w:t>
            </w:r>
            <w:r>
              <w:rPr>
                <w:rFonts w:hint="default" w:ascii="Times New Roman" w:hAnsi="Times New Roman" w:cs="Times New Roman"/>
                <w:color w:val="000000" w:themeColor="text1"/>
                <w:sz w:val="24"/>
                <w:szCs w:val="24"/>
                <w:highlight w:val="none"/>
                <w14:textFill>
                  <w14:solidFill>
                    <w14:schemeClr w14:val="tx1"/>
                  </w14:solidFill>
                </w14:textFill>
              </w:rPr>
              <w:t>，劳动定员</w:t>
            </w:r>
            <w:r>
              <w:rPr>
                <w:rFonts w:hint="eastAsia" w:cs="Times New Roman"/>
                <w:color w:val="000000" w:themeColor="text1"/>
                <w:sz w:val="24"/>
                <w:szCs w:val="24"/>
                <w:highlight w:val="none"/>
                <w:lang w:val="en-US" w:eastAsia="zh-CN"/>
                <w14:textFill>
                  <w14:solidFill>
                    <w14:schemeClr w14:val="tx1"/>
                  </w14:solidFill>
                </w14:textFill>
              </w:rPr>
              <w:t>16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color w:val="000000" w:themeColor="text1"/>
                <w:sz w:val="24"/>
                <w:szCs w:val="24"/>
                <w:highlight w:val="none"/>
                <w14:textFill>
                  <w14:solidFill>
                    <w14:schemeClr w14:val="tx1"/>
                  </w14:solidFill>
                </w14:textFill>
              </w:rPr>
              <w:t>人</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其中140人</w:t>
            </w:r>
            <w:r>
              <w:rPr>
                <w:rFonts w:hint="default" w:ascii="Times New Roman" w:hAnsi="Times New Roman" w:eastAsia="宋体" w:cs="Times New Roman"/>
                <w:color w:val="000000" w:themeColor="text1"/>
                <w:sz w:val="24"/>
                <w:szCs w:val="24"/>
                <w:highlight w:val="none"/>
                <w14:textFill>
                  <w14:solidFill>
                    <w14:schemeClr w14:val="tx1"/>
                  </w14:solidFill>
                </w14:textFill>
              </w:rPr>
              <w:t>在厂内食宿</w:t>
            </w:r>
            <w:r>
              <w:rPr>
                <w:rFonts w:hint="default" w:ascii="Times New Roman" w:hAnsi="Times New Roman" w:cs="Times New Roman"/>
                <w:color w:val="000000" w:themeColor="text1"/>
                <w:sz w:val="24"/>
                <w:szCs w:val="24"/>
                <w:highlight w:val="none"/>
                <w14:textFill>
                  <w14:solidFill>
                    <w14:schemeClr w14:val="tx1"/>
                  </w14:solidFill>
                </w14:textFill>
              </w:rPr>
              <w:t>，年工作时间为</w:t>
            </w:r>
            <w:r>
              <w:rPr>
                <w:rFonts w:hint="eastAsia" w:cs="Times New Roman"/>
                <w:color w:val="000000" w:themeColor="text1"/>
                <w:sz w:val="24"/>
                <w:szCs w:val="24"/>
                <w:highlight w:val="none"/>
                <w:lang w:val="en-US" w:eastAsia="zh-CN"/>
                <w14:textFill>
                  <w14:solidFill>
                    <w14:schemeClr w14:val="tx1"/>
                  </w14:solidFill>
                </w14:textFill>
              </w:rPr>
              <w:t>241</w:t>
            </w:r>
            <w:r>
              <w:rPr>
                <w:rFonts w:hint="default" w:ascii="Times New Roman" w:hAnsi="Times New Roman" w:cs="Times New Roman"/>
                <w:color w:val="000000" w:themeColor="text1"/>
                <w:sz w:val="24"/>
                <w:szCs w:val="24"/>
                <w:highlight w:val="none"/>
                <w14:textFill>
                  <w14:solidFill>
                    <w14:schemeClr w14:val="tx1"/>
                  </w14:solidFill>
                </w14:textFill>
              </w:rPr>
              <w:t>天，每天工作8小时，生活用水量为</w:t>
            </w:r>
            <w:r>
              <w:rPr>
                <w:rFonts w:hint="eastAsia" w:cs="Times New Roman"/>
                <w:color w:val="000000" w:themeColor="text1"/>
                <w:sz w:val="24"/>
                <w:szCs w:val="24"/>
                <w:highlight w:val="none"/>
                <w:lang w:val="en-US" w:eastAsia="zh-CN"/>
                <w14:textFill>
                  <w14:solidFill>
                    <w14:schemeClr w14:val="tx1"/>
                  </w14:solidFill>
                </w14:textFill>
              </w:rPr>
              <w:t>2300</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p>
          <w:p w14:paraId="74C4F9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②生产用水：本项目生产用水为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水帘柜用水、喷淋塔用水</w:t>
            </w:r>
            <w:r>
              <w:rPr>
                <w:rFonts w:hint="eastAsia" w:cs="Times New Roman"/>
                <w:color w:val="000000" w:themeColor="text1"/>
                <w:sz w:val="24"/>
                <w:szCs w:val="24"/>
                <w:highlight w:val="none"/>
                <w:lang w:val="en-US" w:eastAsia="zh-CN"/>
                <w14:textFill>
                  <w14:solidFill>
                    <w14:schemeClr w14:val="tx1"/>
                  </w14:solidFill>
                </w14:textFill>
              </w:rPr>
              <w:t>和</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前处理用水。</w:t>
            </w:r>
            <w:r>
              <w:rPr>
                <w:rFonts w:hint="eastAsia" w:cs="Times New Roman"/>
                <w:color w:val="000000" w:themeColor="text1"/>
                <w:sz w:val="24"/>
                <w:szCs w:val="24"/>
                <w:highlight w:val="none"/>
                <w:lang w:val="en-US" w:eastAsia="zh-CN"/>
                <w14:textFill>
                  <w14:solidFill>
                    <w14:schemeClr w14:val="tx1"/>
                  </w14:solidFill>
                </w14:textFill>
              </w:rPr>
              <w:t>根据建设单位提供资料，项目设备自带封闭式冷却功能，无需额外设置冷却塔等敞开式冷却设备，无冷却用新鲜水。</w:t>
            </w:r>
          </w:p>
          <w:p w14:paraId="57577C14">
            <w:pPr>
              <w:pStyle w:val="29"/>
              <w:wordWrap w:val="0"/>
              <w:topLinePunct/>
              <w:spacing w:line="360" w:lineRule="auto"/>
              <w:ind w:firstLine="482"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highlight w:val="none"/>
                <w:lang w:val="en-US" w:eastAsia="zh-CN"/>
                <w14:textFill>
                  <w14:solidFill>
                    <w14:schemeClr w14:val="tx1"/>
                  </w14:solidFill>
                </w14:textFill>
              </w:rPr>
              <w:t>A.水帘柜用水</w:t>
            </w:r>
          </w:p>
          <w:p w14:paraId="2AEADD55">
            <w:pPr>
              <w:pStyle w:val="29"/>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cs="Times New Roman"/>
                <w:color w:val="000000" w:themeColor="text1"/>
                <w:sz w:val="24"/>
                <w:highlight w:val="none"/>
                <w14:textFill>
                  <w14:solidFill>
                    <w14:schemeClr w14:val="tx1"/>
                  </w14:solidFill>
                </w14:textFill>
              </w:rPr>
              <w:t>根据</w:t>
            </w:r>
            <w:r>
              <w:rPr>
                <w:rFonts w:ascii="Times New Roman" w:hAnsi="Times New Roman" w:cs="Times New Roman"/>
                <w:color w:val="000000" w:themeColor="text1"/>
                <w:sz w:val="24"/>
                <w:highlight w:val="none"/>
                <w14:textFill>
                  <w14:solidFill>
                    <w14:schemeClr w14:val="tx1"/>
                  </w14:solidFill>
                </w14:textFill>
              </w:rPr>
              <w:t>《简明通风设计手册》（孙一坚主编）第527页表10-48“各种吸收装置的技术经济比较”内容，</w:t>
            </w:r>
            <w:r>
              <w:rPr>
                <w:rFonts w:hint="eastAsia" w:ascii="Times New Roman" w:hAnsi="Times New Roman" w:cs="Times New Roman"/>
                <w:color w:val="000000" w:themeColor="text1"/>
                <w:sz w:val="24"/>
                <w:szCs w:val="24"/>
                <w:highlight w:val="none"/>
                <w14:textFill>
                  <w14:solidFill>
                    <w14:schemeClr w14:val="tx1"/>
                  </w14:solidFill>
                </w14:textFill>
              </w:rPr>
              <w:t>喷淋塔的液气比0.1 L/m</w:t>
            </w:r>
            <w:r>
              <w:rPr>
                <w:rFonts w:hint="eastAsia" w:ascii="Times New Roman" w:hAnsi="Times New Roman" w:cs="Times New Roman"/>
                <w:color w:val="000000" w:themeColor="text1"/>
                <w:sz w:val="24"/>
                <w:szCs w:val="24"/>
                <w:highlight w:val="none"/>
                <w:vertAlign w:val="superscript"/>
                <w14:textFill>
                  <w14:solidFill>
                    <w14:schemeClr w14:val="tx1"/>
                  </w14:solidFill>
                </w14:textFill>
              </w:rPr>
              <w:t>3</w:t>
            </w:r>
            <w:r>
              <w:rPr>
                <w:rFonts w:hint="eastAsia" w:ascii="Times New Roman" w:hAnsi="Times New Roman" w:cs="Times New Roman"/>
                <w:color w:val="000000" w:themeColor="text1"/>
                <w:sz w:val="24"/>
                <w:szCs w:val="24"/>
                <w:highlight w:val="none"/>
                <w14:textFill>
                  <w14:solidFill>
                    <w14:schemeClr w14:val="tx1"/>
                  </w14:solidFill>
                </w14:textFill>
              </w:rPr>
              <w:t>～1.0 L/m</w:t>
            </w:r>
            <w:r>
              <w:rPr>
                <w:rFonts w:hint="eastAsia" w:ascii="Times New Roman" w:hAnsi="Times New Roman" w:cs="Times New Roman"/>
                <w:color w:val="000000" w:themeColor="text1"/>
                <w:sz w:val="24"/>
                <w:szCs w:val="24"/>
                <w:highlight w:val="none"/>
                <w:vertAlign w:val="superscript"/>
                <w14:textFill>
                  <w14:solidFill>
                    <w14:schemeClr w14:val="tx1"/>
                  </w14:solidFill>
                </w14:textFill>
              </w:rPr>
              <w:t>3</w:t>
            </w:r>
            <w:r>
              <w:rPr>
                <w:rFonts w:hint="eastAsia" w:ascii="Times New Roman" w:hAnsi="Times New Roman" w:cs="Times New Roman"/>
                <w:color w:val="000000" w:themeColor="text1"/>
                <w:sz w:val="24"/>
                <w:szCs w:val="24"/>
                <w:highlight w:val="none"/>
                <w14:textFill>
                  <w14:solidFill>
                    <w14:schemeClr w14:val="tx1"/>
                  </w14:solidFill>
                </w14:textFill>
              </w:rPr>
              <w:t>，水帘柜喷淋用水参考液气比1.0 L/m</w:t>
            </w:r>
            <w:r>
              <w:rPr>
                <w:rFonts w:hint="eastAsia" w:ascii="Times New Roman" w:hAnsi="Times New Roman" w:cs="Times New Roman"/>
                <w:color w:val="000000" w:themeColor="text1"/>
                <w:sz w:val="24"/>
                <w:szCs w:val="24"/>
                <w:highlight w:val="none"/>
                <w:vertAlign w:val="superscript"/>
                <w14:textFill>
                  <w14:solidFill>
                    <w14:schemeClr w14:val="tx1"/>
                  </w14:solidFill>
                </w14:textFill>
              </w:rPr>
              <w:t>3</w:t>
            </w:r>
            <w:r>
              <w:rPr>
                <w:rFonts w:hint="eastAsia" w:ascii="Times New Roman" w:hAnsi="Times New Roman" w:cs="Times New Roman"/>
                <w:color w:val="000000" w:themeColor="text1"/>
                <w:sz w:val="24"/>
                <w:szCs w:val="24"/>
                <w:highlight w:val="none"/>
                <w14:textFill>
                  <w14:solidFill>
                    <w14:schemeClr w14:val="tx1"/>
                  </w14:solidFill>
                </w14:textFill>
              </w:rPr>
              <w:t>算，本次评价取</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ascii="Times New Roman" w:hAnsi="Times New Roman" w:cs="Times New Roman"/>
                <w:color w:val="000000" w:themeColor="text1"/>
                <w:sz w:val="24"/>
                <w:szCs w:val="24"/>
                <w:highlight w:val="none"/>
                <w14:textFill>
                  <w14:solidFill>
                    <w14:schemeClr w14:val="tx1"/>
                  </w14:solidFill>
                </w14:textFill>
              </w:rPr>
              <w:t>L/m</w:t>
            </w:r>
            <w:r>
              <w:rPr>
                <w:rFonts w:ascii="Times New Roman" w:hAnsi="Times New Roman" w:cs="Times New Roman"/>
                <w:color w:val="000000" w:themeColor="text1"/>
                <w:sz w:val="24"/>
                <w:szCs w:val="24"/>
                <w:highlight w:val="none"/>
                <w:vertAlign w:val="superscript"/>
                <w14:textFill>
                  <w14:solidFill>
                    <w14:schemeClr w14:val="tx1"/>
                  </w14:solidFill>
                </w14:textFill>
              </w:rPr>
              <w:t>3</w:t>
            </w:r>
            <w:r>
              <w:rPr>
                <w:rFonts w:ascii="Times New Roman" w:hAnsi="Times New Roman" w:cs="Times New Roman"/>
                <w:color w:val="000000" w:themeColor="text1"/>
                <w:sz w:val="24"/>
                <w:szCs w:val="24"/>
                <w:highlight w:val="none"/>
                <w14:textFill>
                  <w14:solidFill>
                    <w14:schemeClr w14:val="tx1"/>
                  </w14:solidFill>
                </w14:textFill>
              </w:rPr>
              <w:t>计算，</w:t>
            </w:r>
            <w:r>
              <w:rPr>
                <w:rFonts w:ascii="Times New Roman" w:hAnsi="Times New Roman" w:cs="Times New Roman"/>
                <w:color w:val="000000" w:themeColor="text1"/>
                <w:sz w:val="24"/>
                <w:highlight w:val="none"/>
                <w14:textFill>
                  <w14:solidFill>
                    <w14:schemeClr w14:val="tx1"/>
                  </w14:solidFill>
                </w14:textFill>
              </w:rPr>
              <w:t>在</w:t>
            </w:r>
            <w:r>
              <w:rPr>
                <w:rFonts w:hint="eastAsia" w:ascii="Times New Roman" w:hAnsi="Times New Roman" w:cs="Times New Roman"/>
                <w:color w:val="000000" w:themeColor="text1"/>
                <w:sz w:val="24"/>
                <w:highlight w:val="none"/>
                <w14:textFill>
                  <w14:solidFill>
                    <w14:schemeClr w14:val="tx1"/>
                  </w14:solidFill>
                </w14:textFill>
              </w:rPr>
              <w:t>喷漆工序收集</w:t>
            </w:r>
            <w:r>
              <w:rPr>
                <w:rFonts w:ascii="Times New Roman" w:hAnsi="Times New Roman" w:cs="Times New Roman"/>
                <w:color w:val="000000" w:themeColor="text1"/>
                <w:sz w:val="24"/>
                <w:highlight w:val="none"/>
                <w14:textFill>
                  <w14:solidFill>
                    <w14:schemeClr w14:val="tx1"/>
                  </w14:solidFill>
                </w14:textFill>
              </w:rPr>
              <w:t>风量为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181200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/h的情况下</w:t>
            </w:r>
            <w:r>
              <w:rPr>
                <w:rFonts w:hint="eastAsia" w:ascii="Times New Roman" w:hAnsi="Times New Roman" w:cs="Times New Roman"/>
                <w:color w:val="000000" w:themeColor="text1"/>
                <w:sz w:val="24"/>
                <w:highlight w:val="none"/>
                <w14:textFill>
                  <w14:solidFill>
                    <w14:schemeClr w14:val="tx1"/>
                  </w14:solidFill>
                </w14:textFill>
              </w:rPr>
              <w:t>（不含固化过程）</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eastAsia="zh-CN"/>
                <w14:textFill>
                  <w14:solidFill>
                    <w14:schemeClr w14:val="tx1"/>
                  </w14:solidFill>
                </w14:textFill>
              </w:rPr>
              <w:t>漆粉涂装线</w:t>
            </w:r>
            <w:r>
              <w:rPr>
                <w:rFonts w:ascii="Times New Roman" w:hAnsi="Times New Roman" w:cs="Times New Roman"/>
                <w:color w:val="000000" w:themeColor="text1"/>
                <w:sz w:val="24"/>
                <w:highlight w:val="none"/>
                <w14:textFill>
                  <w14:solidFill>
                    <w14:schemeClr w14:val="tx1"/>
                  </w14:solidFill>
                </w14:textFill>
              </w:rPr>
              <w:t>的</w:t>
            </w:r>
            <w:r>
              <w:rPr>
                <w:rFonts w:hint="eastAsia" w:ascii="Times New Roman" w:hAnsi="Times New Roman" w:cs="Times New Roman"/>
                <w:color w:val="000000" w:themeColor="text1"/>
                <w:sz w:val="24"/>
                <w:highlight w:val="none"/>
                <w:lang w:eastAsia="zh-CN"/>
                <w14:textFill>
                  <w14:solidFill>
                    <w14:schemeClr w14:val="tx1"/>
                  </w14:solidFill>
                </w14:textFill>
              </w:rPr>
              <w:t>水帘柜</w:t>
            </w:r>
            <w:r>
              <w:rPr>
                <w:rFonts w:ascii="Times New Roman" w:hAnsi="Times New Roman" w:cs="Times New Roman"/>
                <w:color w:val="000000" w:themeColor="text1"/>
                <w:sz w:val="24"/>
                <w:highlight w:val="none"/>
                <w14:textFill>
                  <w14:solidFill>
                    <w14:schemeClr w14:val="tx1"/>
                  </w14:solidFill>
                </w14:textFill>
              </w:rPr>
              <w:t>循环用水量为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181.2</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/h，即</w:t>
            </w:r>
            <w:r>
              <w:rPr>
                <w:rFonts w:hint="eastAsia" w:ascii="Times New Roman" w:hAnsi="Times New Roman" w:cs="Times New Roman"/>
                <w:color w:val="000000" w:themeColor="text1"/>
                <w:sz w:val="24"/>
                <w:highlight w:val="none"/>
                <w:lang w:val="en-US" w:eastAsia="zh-CN"/>
                <w14:textFill>
                  <w14:solidFill>
                    <w14:schemeClr w14:val="tx1"/>
                  </w14:solidFill>
                </w14:textFill>
              </w:rPr>
              <w:t>349353.6</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32B4AD05">
            <w:pPr>
              <w:pStyle w:val="29"/>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cs="Times New Roman"/>
                <w:color w:val="000000" w:themeColor="text1"/>
                <w:sz w:val="24"/>
                <w:highlight w:val="none"/>
                <w:lang w:eastAsia="zh-CN"/>
                <w14:textFill>
                  <w14:solidFill>
                    <w14:schemeClr w14:val="tx1"/>
                  </w14:solidFill>
                </w14:textFill>
              </w:rPr>
              <w:t>水帘柜</w:t>
            </w:r>
            <w:r>
              <w:rPr>
                <w:rFonts w:ascii="Times New Roman" w:hAnsi="Times New Roman" w:cs="Times New Roman"/>
                <w:color w:val="000000" w:themeColor="text1"/>
                <w:sz w:val="24"/>
                <w:highlight w:val="none"/>
                <w14:textFill>
                  <w14:solidFill>
                    <w14:schemeClr w14:val="tx1"/>
                  </w14:solidFill>
                </w14:textFill>
              </w:rPr>
              <w:t>喷淋损耗量根据《给水排水设计手册2-建筑集水排水》（第二版，中国建筑工业出版社）P559表7-32水量损失表，水膜、冰塔、孔流等风吹损失占循环流量的0.5~1.5%（本项目取1%），蒸发损失占循环流量的0.4~0.6%（本项目取0.</w:t>
            </w:r>
            <w:r>
              <w:rPr>
                <w:rFonts w:hint="eastAsia" w:ascii="Times New Roman" w:hAnsi="Times New Roman" w:cs="Times New Roman"/>
                <w:color w:val="000000" w:themeColor="text1"/>
                <w:sz w:val="24"/>
                <w:highlight w:val="none"/>
                <w14:textFill>
                  <w14:solidFill>
                    <w14:schemeClr w14:val="tx1"/>
                  </w14:solidFill>
                </w14:textFill>
              </w:rPr>
              <w:t>5</w:t>
            </w:r>
            <w:r>
              <w:rPr>
                <w:rFonts w:ascii="Times New Roman" w:hAnsi="Times New Roman" w:cs="Times New Roman"/>
                <w:color w:val="000000" w:themeColor="text1"/>
                <w:sz w:val="24"/>
                <w:highlight w:val="none"/>
                <w14:textFill>
                  <w14:solidFill>
                    <w14:schemeClr w14:val="tx1"/>
                  </w14:solidFill>
                </w14:textFill>
              </w:rPr>
              <w:t>%），即损耗量共占循环流量</w:t>
            </w:r>
            <w:r>
              <w:rPr>
                <w:rFonts w:hint="eastAsia" w:ascii="Times New Roman" w:hAnsi="Times New Roman" w:cs="Times New Roman"/>
                <w:color w:val="000000" w:themeColor="text1"/>
                <w:sz w:val="24"/>
                <w:highlight w:val="none"/>
                <w14:textFill>
                  <w14:solidFill>
                    <w14:schemeClr w14:val="tx1"/>
                  </w14:solidFill>
                </w14:textFill>
              </w:rPr>
              <w:t>1.5</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eastAsia="zh-CN"/>
                <w14:textFill>
                  <w14:solidFill>
                    <w14:schemeClr w14:val="tx1"/>
                  </w14:solidFill>
                </w14:textFill>
              </w:rPr>
              <w:t>漆粉涂装线</w:t>
            </w:r>
            <w:r>
              <w:rPr>
                <w:rFonts w:ascii="Times New Roman" w:hAnsi="Times New Roman" w:cs="Times New Roman"/>
                <w:color w:val="000000" w:themeColor="text1"/>
                <w:sz w:val="24"/>
                <w:highlight w:val="none"/>
                <w14:textFill>
                  <w14:solidFill>
                    <w14:schemeClr w14:val="tx1"/>
                  </w14:solidFill>
                </w14:textFill>
              </w:rPr>
              <w:t>的</w:t>
            </w:r>
            <w:r>
              <w:rPr>
                <w:rFonts w:hint="eastAsia" w:ascii="Times New Roman" w:hAnsi="Times New Roman" w:cs="Times New Roman"/>
                <w:color w:val="000000" w:themeColor="text1"/>
                <w:sz w:val="24"/>
                <w:highlight w:val="none"/>
                <w:lang w:eastAsia="zh-CN"/>
                <w14:textFill>
                  <w14:solidFill>
                    <w14:schemeClr w14:val="tx1"/>
                  </w14:solidFill>
                </w14:textFill>
              </w:rPr>
              <w:t>水帘柜</w:t>
            </w:r>
            <w:r>
              <w:rPr>
                <w:rFonts w:ascii="Times New Roman" w:hAnsi="Times New Roman" w:cs="Times New Roman"/>
                <w:color w:val="000000" w:themeColor="text1"/>
                <w:sz w:val="24"/>
                <w:highlight w:val="none"/>
                <w14:textFill>
                  <w14:solidFill>
                    <w14:schemeClr w14:val="tx1"/>
                  </w14:solidFill>
                </w14:textFill>
              </w:rPr>
              <w:t>循环损耗补充水量为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349353.6</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14:textFill>
                  <w14:solidFill>
                    <w14:schemeClr w14:val="tx1"/>
                  </w14:solidFill>
                </w14:textFill>
              </w:rPr>
              <w:t>1.5</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5240.304</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214171D3">
            <w:pPr>
              <w:pStyle w:val="29"/>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喷漆房内设有</w:t>
            </w:r>
            <w:r>
              <w:rPr>
                <w:rFonts w:hint="eastAsia" w:ascii="Times New Roman" w:hAnsi="Times New Roman" w:cs="Times New Roman"/>
                <w:color w:val="000000" w:themeColor="text1"/>
                <w:sz w:val="24"/>
                <w:highlight w:val="none"/>
                <w:lang w:eastAsia="zh-CN"/>
                <w14:textFill>
                  <w14:solidFill>
                    <w14:schemeClr w14:val="tx1"/>
                  </w14:solidFill>
                </w14:textFill>
              </w:rPr>
              <w:t>水帘柜</w:t>
            </w:r>
            <w:r>
              <w:rPr>
                <w:rFonts w:ascii="Times New Roman" w:hAnsi="Times New Roman" w:cs="Times New Roman"/>
                <w:color w:val="000000" w:themeColor="text1"/>
                <w:sz w:val="24"/>
                <w:highlight w:val="none"/>
                <w14:textFill>
                  <w14:solidFill>
                    <w14:schemeClr w14:val="tx1"/>
                  </w14:solidFill>
                </w14:textFill>
              </w:rPr>
              <w:t>的循环水池，</w:t>
            </w:r>
            <w:r>
              <w:rPr>
                <w:rFonts w:hint="eastAsia" w:ascii="Times New Roman" w:hAnsi="Times New Roman" w:cs="Times New Roman"/>
                <w:color w:val="000000" w:themeColor="text1"/>
                <w:sz w:val="24"/>
                <w:highlight w:val="none"/>
                <w:lang w:eastAsia="zh-CN"/>
                <w14:textFill>
                  <w14:solidFill>
                    <w14:schemeClr w14:val="tx1"/>
                  </w14:solidFill>
                </w14:textFill>
              </w:rPr>
              <w:t>漆粉涂装线</w:t>
            </w:r>
            <w:r>
              <w:rPr>
                <w:rFonts w:ascii="Times New Roman" w:hAnsi="Times New Roman" w:cs="Times New Roman"/>
                <w:color w:val="000000" w:themeColor="text1"/>
                <w:sz w:val="24"/>
                <w:highlight w:val="none"/>
                <w14:textFill>
                  <w14:solidFill>
                    <w14:schemeClr w14:val="tx1"/>
                  </w14:solidFill>
                </w14:textFill>
              </w:rPr>
              <w:t>循环水池总有效容积为</w:t>
            </w:r>
            <w:r>
              <w:rPr>
                <w:rFonts w:hint="eastAsia" w:ascii="Times New Roman" w:hAnsi="Times New Roman" w:cs="Times New Roman"/>
                <w:color w:val="000000" w:themeColor="text1"/>
                <w:sz w:val="24"/>
                <w:highlight w:val="none"/>
                <w14:textFill>
                  <w14:solidFill>
                    <w14:schemeClr w14:val="tx1"/>
                  </w14:solidFill>
                </w14:textFill>
              </w:rPr>
              <w:t>16.2</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，每</w:t>
            </w:r>
            <w:r>
              <w:rPr>
                <w:rFonts w:hint="eastAsia" w:ascii="Times New Roman" w:hAnsi="Times New Roman" w:cs="Times New Roman"/>
                <w:color w:val="000000" w:themeColor="text1"/>
                <w:sz w:val="24"/>
                <w:highlight w:val="none"/>
                <w14:textFill>
                  <w14:solidFill>
                    <w14:schemeClr w14:val="tx1"/>
                  </w14:solidFill>
                </w14:textFill>
              </w:rPr>
              <w:t>月</w:t>
            </w:r>
            <w:r>
              <w:rPr>
                <w:rFonts w:ascii="Times New Roman" w:hAnsi="Times New Roman" w:cs="Times New Roman"/>
                <w:color w:val="000000" w:themeColor="text1"/>
                <w:sz w:val="24"/>
                <w:highlight w:val="none"/>
                <w14:textFill>
                  <w14:solidFill>
                    <w14:schemeClr w14:val="tx1"/>
                  </w14:solidFill>
                </w14:textFill>
              </w:rPr>
              <w:t>更换一次，对应更换补充用水量为</w:t>
            </w:r>
            <w:r>
              <w:rPr>
                <w:rFonts w:hint="eastAsia" w:ascii="Times New Roman" w:hAnsi="Times New Roman" w:cs="Times New Roman"/>
                <w:color w:val="000000" w:themeColor="text1"/>
                <w:sz w:val="24"/>
                <w:highlight w:val="none"/>
                <w14:textFill>
                  <w14:solidFill>
                    <w14:schemeClr w14:val="tx1"/>
                  </w14:solidFill>
                </w14:textFill>
              </w:rPr>
              <w:t>16.2</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14:textFill>
                  <w14:solidFill>
                    <w14:schemeClr w14:val="tx1"/>
                  </w14:solidFill>
                </w14:textFill>
              </w:rPr>
              <w:t>12</w:t>
            </w:r>
            <w:r>
              <w:rPr>
                <w:rFonts w:ascii="Times New Roman" w:hAnsi="Times New Roman" w:cs="Times New Roman"/>
                <w:color w:val="000000" w:themeColor="text1"/>
                <w:sz w:val="24"/>
                <w:highlight w:val="none"/>
                <w14:textFill>
                  <w14:solidFill>
                    <w14:schemeClr w14:val="tx1"/>
                  </w14:solidFill>
                </w14:textFill>
              </w:rPr>
              <w:t>次/年=</w:t>
            </w:r>
            <w:r>
              <w:rPr>
                <w:rFonts w:hint="eastAsia" w:ascii="Times New Roman" w:hAnsi="Times New Roman" w:cs="Times New Roman"/>
                <w:color w:val="000000" w:themeColor="text1"/>
                <w:sz w:val="24"/>
                <w:highlight w:val="none"/>
                <w14:textFill>
                  <w14:solidFill>
                    <w14:schemeClr w14:val="tx1"/>
                  </w14:solidFill>
                </w14:textFill>
              </w:rPr>
              <w:t>194.4</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/a，更换后的废水</w:t>
            </w:r>
            <w:r>
              <w:rPr>
                <w:rFonts w:hint="eastAsia" w:ascii="Times New Roman" w:hAnsi="Times New Roman" w:cs="Times New Roman"/>
                <w:color w:val="000000" w:themeColor="text1"/>
                <w:sz w:val="24"/>
                <w:highlight w:val="none"/>
                <w:lang w:val="en-US" w:eastAsia="zh-CN"/>
                <w14:textFill>
                  <w14:solidFill>
                    <w14:schemeClr w14:val="tx1"/>
                  </w14:solidFill>
                </w14:textFill>
              </w:rPr>
              <w:t>交由有资质单位处置</w:t>
            </w:r>
            <w:r>
              <w:rPr>
                <w:rFonts w:ascii="Times New Roman" w:hAnsi="Times New Roman" w:cs="Times New Roman"/>
                <w:color w:val="000000" w:themeColor="text1"/>
                <w:sz w:val="24"/>
                <w:highlight w:val="none"/>
                <w14:textFill>
                  <w14:solidFill>
                    <w14:schemeClr w14:val="tx1"/>
                  </w14:solidFill>
                </w14:textFill>
              </w:rPr>
              <w:t>，本项目</w:t>
            </w:r>
            <w:r>
              <w:rPr>
                <w:rFonts w:hint="eastAsia" w:ascii="Times New Roman" w:hAnsi="Times New Roman" w:cs="Times New Roman"/>
                <w:color w:val="000000" w:themeColor="text1"/>
                <w:sz w:val="24"/>
                <w:highlight w:val="none"/>
                <w:lang w:eastAsia="zh-CN"/>
                <w14:textFill>
                  <w14:solidFill>
                    <w14:schemeClr w14:val="tx1"/>
                  </w14:solidFill>
                </w14:textFill>
              </w:rPr>
              <w:t>漆粉涂装线水帘柜</w:t>
            </w:r>
            <w:r>
              <w:rPr>
                <w:rFonts w:ascii="Times New Roman" w:hAnsi="Times New Roman" w:cs="Times New Roman"/>
                <w:color w:val="000000" w:themeColor="text1"/>
                <w:sz w:val="24"/>
                <w:highlight w:val="none"/>
                <w14:textFill>
                  <w14:solidFill>
                    <w14:schemeClr w14:val="tx1"/>
                  </w14:solidFill>
                </w14:textFill>
              </w:rPr>
              <w:t>用水总量为：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5240.304</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14:textFill>
                  <w14:solidFill>
                    <w14:schemeClr w14:val="tx1"/>
                  </w14:solidFill>
                </w14:textFill>
              </w:rPr>
              <w:t>194.4</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lang w:val="en-US" w:eastAsia="zh-CN"/>
                <w14:textFill>
                  <w14:solidFill>
                    <w14:schemeClr w14:val="tx1"/>
                  </w14:solidFill>
                </w14:textFill>
              </w:rPr>
              <w:t>5434.704</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2E91286B">
            <w:pPr>
              <w:pStyle w:val="29"/>
              <w:wordWrap w:val="0"/>
              <w:topLinePunct/>
              <w:spacing w:line="360" w:lineRule="auto"/>
              <w:ind w:firstLine="482" w:firstLineChars="200"/>
              <w:rPr>
                <w:rFonts w:ascii="Times New Roman" w:hAnsi="Times New Roman" w:cs="Times New Roman"/>
                <w:b/>
                <w:bCs/>
                <w:color w:val="000000" w:themeColor="text1"/>
                <w:sz w:val="24"/>
                <w:highlight w:val="none"/>
                <w14:textFill>
                  <w14:solidFill>
                    <w14:schemeClr w14:val="tx1"/>
                  </w14:solidFill>
                </w14:textFill>
              </w:rPr>
            </w:pPr>
            <w:r>
              <w:rPr>
                <w:rFonts w:ascii="Times New Roman" w:hAnsi="Times New Roman" w:cs="Times New Roman"/>
                <w:b/>
                <w:bCs/>
                <w:color w:val="000000" w:themeColor="text1"/>
                <w:sz w:val="24"/>
                <w:highlight w:val="none"/>
                <w14:textFill>
                  <w14:solidFill>
                    <w14:schemeClr w14:val="tx1"/>
                  </w14:solidFill>
                </w14:textFill>
              </w:rPr>
              <w:t>B、</w:t>
            </w:r>
            <w:r>
              <w:rPr>
                <w:rFonts w:hint="eastAsia" w:ascii="Times New Roman" w:hAnsi="Times New Roman" w:cs="Times New Roman"/>
                <w:b/>
                <w:bCs/>
                <w:color w:val="000000" w:themeColor="text1"/>
                <w:sz w:val="24"/>
                <w:highlight w:val="none"/>
                <w14:textFill>
                  <w14:solidFill>
                    <w14:schemeClr w14:val="tx1"/>
                  </w14:solidFill>
                </w14:textFill>
              </w:rPr>
              <w:t>喷淋塔用</w:t>
            </w:r>
            <w:r>
              <w:rPr>
                <w:rFonts w:ascii="Times New Roman" w:hAnsi="Times New Roman" w:cs="Times New Roman"/>
                <w:b/>
                <w:bCs/>
                <w:color w:val="000000" w:themeColor="text1"/>
                <w:sz w:val="24"/>
                <w:highlight w:val="none"/>
                <w14:textFill>
                  <w14:solidFill>
                    <w14:schemeClr w14:val="tx1"/>
                  </w14:solidFill>
                </w14:textFill>
              </w:rPr>
              <w:t>水</w:t>
            </w:r>
          </w:p>
          <w:p w14:paraId="77B2E2E4">
            <w:pPr>
              <w:pStyle w:val="29"/>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与</w:t>
            </w:r>
            <w:r>
              <w:rPr>
                <w:rFonts w:hint="eastAsia" w:ascii="Times New Roman" w:hAnsi="Times New Roman" w:cs="Times New Roman"/>
                <w:color w:val="000000" w:themeColor="text1"/>
                <w:sz w:val="24"/>
                <w:highlight w:val="none"/>
                <w:lang w:eastAsia="zh-CN"/>
                <w14:textFill>
                  <w14:solidFill>
                    <w14:schemeClr w14:val="tx1"/>
                  </w14:solidFill>
                </w14:textFill>
              </w:rPr>
              <w:t>水帘柜</w:t>
            </w:r>
            <w:r>
              <w:rPr>
                <w:rFonts w:ascii="Times New Roman" w:hAnsi="Times New Roman" w:cs="Times New Roman"/>
                <w:color w:val="000000" w:themeColor="text1"/>
                <w:sz w:val="24"/>
                <w:highlight w:val="none"/>
                <w14:textFill>
                  <w14:solidFill>
                    <w14:schemeClr w14:val="tx1"/>
                  </w14:solidFill>
                </w14:textFill>
              </w:rPr>
              <w:t>用水计算过程相同，</w:t>
            </w:r>
            <w:r>
              <w:rPr>
                <w:rFonts w:hint="eastAsia" w:ascii="Times New Roman" w:hAnsi="Times New Roman" w:cs="Times New Roman"/>
                <w:color w:val="000000" w:themeColor="text1"/>
                <w:sz w:val="24"/>
                <w:highlight w:val="none"/>
                <w:lang w:val="en-US" w:eastAsia="zh-CN"/>
                <w14:textFill>
                  <w14:solidFill>
                    <w14:schemeClr w14:val="tx1"/>
                  </w14:solidFill>
                </w14:textFill>
              </w:rPr>
              <w:t>喷淋塔</w:t>
            </w:r>
            <w:r>
              <w:rPr>
                <w:rFonts w:hint="eastAsia" w:ascii="Times New Roman" w:hAnsi="Times New Roman" w:cs="Times New Roman"/>
                <w:color w:val="000000" w:themeColor="text1"/>
                <w:sz w:val="24"/>
                <w:highlight w:val="none"/>
                <w14:textFill>
                  <w14:solidFill>
                    <w14:schemeClr w14:val="tx1"/>
                  </w14:solidFill>
                </w14:textFill>
              </w:rPr>
              <w:t>总风量为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40</w:t>
            </w:r>
            <w:r>
              <w:rPr>
                <w:rFonts w:hint="eastAsia" w:ascii="Times New Roman" w:hAnsi="Times New Roman" w:cs="Times New Roman"/>
                <w:color w:val="000000" w:themeColor="text1"/>
                <w:sz w:val="24"/>
                <w:highlight w:val="none"/>
                <w14:textFill>
                  <w14:solidFill>
                    <w14:schemeClr w14:val="tx1"/>
                  </w14:solidFill>
                </w14:textFill>
              </w:rPr>
              <w:t>000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/h</w:t>
            </w:r>
            <w:r>
              <w:rPr>
                <w:rFonts w:hint="eastAsia" w:ascii="Times New Roman" w:hAnsi="Times New Roman" w:cs="Times New Roman"/>
                <w:color w:val="000000" w:themeColor="text1"/>
                <w:sz w:val="24"/>
                <w:highlight w:val="none"/>
                <w14:textFill>
                  <w14:solidFill>
                    <w14:schemeClr w14:val="tx1"/>
                  </w14:solidFill>
                </w14:textFill>
              </w:rPr>
              <w:t>，对应</w:t>
            </w:r>
            <w:r>
              <w:rPr>
                <w:rFonts w:ascii="Times New Roman" w:hAnsi="Times New Roman" w:cs="Times New Roman"/>
                <w:color w:val="000000" w:themeColor="text1"/>
                <w:sz w:val="24"/>
                <w:highlight w:val="none"/>
                <w14:textFill>
                  <w14:solidFill>
                    <w14:schemeClr w14:val="tx1"/>
                  </w14:solidFill>
                </w14:textFill>
              </w:rPr>
              <w:t>喷淋塔循环用水量为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40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/h，即</w:t>
            </w:r>
            <w:r>
              <w:rPr>
                <w:rFonts w:hint="eastAsia" w:ascii="Times New Roman" w:hAnsi="Times New Roman" w:cs="Times New Roman"/>
                <w:color w:val="000000" w:themeColor="text1"/>
                <w:sz w:val="24"/>
                <w:highlight w:val="none"/>
                <w:lang w:val="en-US" w:eastAsia="zh-CN"/>
                <w14:textFill>
                  <w14:solidFill>
                    <w14:schemeClr w14:val="tx1"/>
                  </w14:solidFill>
                </w14:textFill>
              </w:rPr>
              <w:t>77120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/a，循环损耗补充水量为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7712</w:t>
            </w:r>
            <w:r>
              <w:rPr>
                <w:rFonts w:ascii="Times New Roman" w:hAnsi="Times New Roman" w:cs="Times New Roman"/>
                <w:color w:val="000000" w:themeColor="text1"/>
                <w:sz w:val="24"/>
                <w:highlight w:val="none"/>
                <w14:textFill>
                  <w14:solidFill>
                    <w14:schemeClr w14:val="tx1"/>
                  </w14:solidFill>
                </w14:textFill>
              </w:rPr>
              <w:t>0m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14:textFill>
                  <w14:solidFill>
                    <w14:schemeClr w14:val="tx1"/>
                  </w14:solidFill>
                </w14:textFill>
              </w:rPr>
              <w:t>1.5</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1156.8</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7B9FB325">
            <w:pPr>
              <w:pStyle w:val="29"/>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cs="Times New Roman"/>
                <w:color w:val="000000" w:themeColor="text1"/>
                <w:sz w:val="24"/>
                <w:highlight w:val="none"/>
                <w14:textFill>
                  <w14:solidFill>
                    <w14:schemeClr w14:val="tx1"/>
                  </w14:solidFill>
                </w14:textFill>
              </w:rPr>
              <w:t>本项目废气治理设施设置</w:t>
            </w:r>
            <w:r>
              <w:rPr>
                <w:rFonts w:ascii="Times New Roman" w:hAnsi="Times New Roman" w:cs="Times New Roman"/>
                <w:color w:val="000000" w:themeColor="text1"/>
                <w:sz w:val="24"/>
                <w:highlight w:val="none"/>
                <w14:textFill>
                  <w14:solidFill>
                    <w14:schemeClr w14:val="tx1"/>
                  </w14:solidFill>
                </w14:textFill>
              </w:rPr>
              <w:t>喷淋塔</w:t>
            </w:r>
            <w:r>
              <w:rPr>
                <w:rFonts w:hint="eastAsia" w:ascii="Times New Roman" w:hAnsi="Times New Roman" w:cs="Times New Roman"/>
                <w:color w:val="000000" w:themeColor="text1"/>
                <w:sz w:val="24"/>
                <w:highlight w:val="none"/>
                <w:lang w:val="en-US" w:eastAsia="zh-CN"/>
                <w14:textFill>
                  <w14:solidFill>
                    <w14:schemeClr w14:val="tx1"/>
                  </w14:solidFill>
                </w14:textFill>
              </w:rPr>
              <w:t>1个</w:t>
            </w:r>
            <w:r>
              <w:rPr>
                <w:rFonts w:hint="eastAsia" w:ascii="Times New Roman" w:hAnsi="Times New Roman" w:cs="Times New Roman"/>
                <w:color w:val="000000" w:themeColor="text1"/>
                <w:sz w:val="24"/>
                <w:highlight w:val="none"/>
                <w14:textFill>
                  <w14:solidFill>
                    <w14:schemeClr w14:val="tx1"/>
                  </w14:solidFill>
                </w14:textFill>
              </w:rPr>
              <w:t>，塔内</w:t>
            </w:r>
            <w:r>
              <w:rPr>
                <w:rFonts w:ascii="Times New Roman" w:hAnsi="Times New Roman" w:cs="Times New Roman"/>
                <w:color w:val="000000" w:themeColor="text1"/>
                <w:sz w:val="24"/>
                <w:highlight w:val="none"/>
                <w14:textFill>
                  <w14:solidFill>
                    <w14:schemeClr w14:val="tx1"/>
                  </w14:solidFill>
                </w14:textFill>
              </w:rPr>
              <w:t>循环水吸附漆雾后污染物浓度会增大，需定期</w:t>
            </w:r>
            <w:r>
              <w:rPr>
                <w:rFonts w:hint="eastAsia" w:ascii="Times New Roman" w:hAnsi="Times New Roman" w:cs="Times New Roman"/>
                <w:color w:val="000000" w:themeColor="text1"/>
                <w:sz w:val="24"/>
                <w:highlight w:val="none"/>
                <w:lang w:val="en-US" w:eastAsia="zh-CN"/>
                <w14:textFill>
                  <w14:solidFill>
                    <w14:schemeClr w14:val="tx1"/>
                  </w14:solidFill>
                </w14:textFill>
              </w:rPr>
              <w:t>捞渣</w:t>
            </w:r>
            <w:r>
              <w:rPr>
                <w:rFonts w:ascii="Times New Roman" w:hAnsi="Times New Roman" w:cs="Times New Roman"/>
                <w:color w:val="000000" w:themeColor="text1"/>
                <w:sz w:val="24"/>
                <w:highlight w:val="none"/>
                <w14:textFill>
                  <w14:solidFill>
                    <w14:schemeClr w14:val="tx1"/>
                  </w14:solidFill>
                </w14:textFill>
              </w:rPr>
              <w:t>更换，预计每周更换1次，一个月更换4次，</w:t>
            </w:r>
            <w:r>
              <w:rPr>
                <w:rFonts w:hint="eastAsia" w:ascii="Times New Roman" w:hAnsi="Times New Roman" w:cs="Times New Roman"/>
                <w:color w:val="000000" w:themeColor="text1"/>
                <w:sz w:val="24"/>
                <w:highlight w:val="none"/>
                <w14:textFill>
                  <w14:solidFill>
                    <w14:schemeClr w14:val="tx1"/>
                  </w14:solidFill>
                </w14:textFill>
              </w:rPr>
              <w:t>喷淋塔内</w:t>
            </w:r>
            <w:r>
              <w:rPr>
                <w:rFonts w:ascii="Times New Roman" w:hAnsi="Times New Roman" w:cs="Times New Roman"/>
                <w:color w:val="000000" w:themeColor="text1"/>
                <w:sz w:val="24"/>
                <w:highlight w:val="none"/>
                <w14:textFill>
                  <w14:solidFill>
                    <w14:schemeClr w14:val="tx1"/>
                  </w14:solidFill>
                </w14:textFill>
              </w:rPr>
              <w:t>循环水箱容积约0.7t，则喷淋塔循环水更换量为</w:t>
            </w:r>
            <w:r>
              <w:rPr>
                <w:rFonts w:hint="eastAsia" w:ascii="Times New Roman" w:hAnsi="Times New Roman" w:cs="Times New Roman"/>
                <w:color w:val="000000" w:themeColor="text1"/>
                <w:sz w:val="24"/>
                <w:highlight w:val="none"/>
                <w14:textFill>
                  <w14:solidFill>
                    <w14:schemeClr w14:val="tx1"/>
                  </w14:solidFill>
                </w14:textFill>
              </w:rPr>
              <w:t>1台×</w:t>
            </w:r>
            <w:r>
              <w:rPr>
                <w:rFonts w:ascii="Times New Roman" w:hAnsi="Times New Roman" w:cs="Times New Roman"/>
                <w:color w:val="000000" w:themeColor="text1"/>
                <w:sz w:val="24"/>
                <w:highlight w:val="none"/>
                <w14:textFill>
                  <w14:solidFill>
                    <w14:schemeClr w14:val="tx1"/>
                  </w14:solidFill>
                </w14:textFill>
              </w:rPr>
              <w:t>0.7t×4</w:t>
            </w:r>
            <w:r>
              <w:rPr>
                <w:rFonts w:hint="eastAsia" w:ascii="Times New Roman" w:hAnsi="Times New Roman" w:cs="Times New Roman"/>
                <w:color w:val="000000" w:themeColor="text1"/>
                <w:sz w:val="24"/>
                <w:highlight w:val="none"/>
                <w14:textFill>
                  <w14:solidFill>
                    <w14:schemeClr w14:val="tx1"/>
                  </w14:solidFill>
                </w14:textFill>
              </w:rPr>
              <w:t>8次/年</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14:textFill>
                  <w14:solidFill>
                    <w14:schemeClr w14:val="tx1"/>
                  </w14:solidFill>
                </w14:textFill>
              </w:rPr>
              <w:t>33.6</w:t>
            </w:r>
            <w:r>
              <w:rPr>
                <w:rFonts w:ascii="Times New Roman" w:hAnsi="Times New Roman" w:cs="Times New Roman"/>
                <w:color w:val="000000" w:themeColor="text1"/>
                <w:sz w:val="24"/>
                <w:highlight w:val="none"/>
                <w14:textFill>
                  <w14:solidFill>
                    <w14:schemeClr w14:val="tx1"/>
                  </w14:solidFill>
                </w14:textFill>
              </w:rPr>
              <w:t>t/a，更换后的废水</w:t>
            </w:r>
            <w:r>
              <w:rPr>
                <w:rFonts w:hint="eastAsia" w:ascii="Times New Roman" w:hAnsi="Times New Roman" w:cs="Times New Roman"/>
                <w:color w:val="000000" w:themeColor="text1"/>
                <w:sz w:val="24"/>
                <w:highlight w:val="none"/>
                <w:lang w:val="en-US" w:eastAsia="zh-CN"/>
                <w14:textFill>
                  <w14:solidFill>
                    <w14:schemeClr w14:val="tx1"/>
                  </w14:solidFill>
                </w14:textFill>
              </w:rPr>
              <w:t>交由有资质单位处置</w:t>
            </w:r>
            <w:r>
              <w:rPr>
                <w:rFonts w:ascii="Times New Roman" w:hAnsi="Times New Roman" w:cs="Times New Roman"/>
                <w:color w:val="000000" w:themeColor="text1"/>
                <w:sz w:val="24"/>
                <w:highlight w:val="none"/>
                <w14:textFill>
                  <w14:solidFill>
                    <w14:schemeClr w14:val="tx1"/>
                  </w14:solidFill>
                </w14:textFill>
              </w:rPr>
              <w:t>，本项目喷淋塔用水总量为：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1156.8</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14:textFill>
                  <w14:solidFill>
                    <w14:schemeClr w14:val="tx1"/>
                  </w14:solidFill>
                </w14:textFill>
              </w:rPr>
              <w:t>33.6</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lang w:val="en-US" w:eastAsia="zh-CN"/>
                <w14:textFill>
                  <w14:solidFill>
                    <w14:schemeClr w14:val="tx1"/>
                  </w14:solidFill>
                </w14:textFill>
              </w:rPr>
              <w:t>1190.4</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276FB9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C.</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前处理用水</w:t>
            </w:r>
          </w:p>
          <w:p w14:paraId="2646B4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本项目设置2条规模和处理能力都相同的前处理线。用水环节主要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包括</w:t>
            </w:r>
            <w:r>
              <w:rPr>
                <w:rFonts w:hint="default" w:ascii="Times New Roman" w:hAnsi="Times New Roman" w:cs="Times New Roman"/>
                <w:color w:val="000000" w:themeColor="text1"/>
                <w:sz w:val="24"/>
                <w:szCs w:val="24"/>
                <w:highlight w:val="none"/>
                <w14:textFill>
                  <w14:solidFill>
                    <w14:schemeClr w14:val="tx1"/>
                  </w14:solidFill>
                </w14:textFill>
              </w:rPr>
              <w:t>表面预处理工序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喷淋补充用水、整槽更换用水和溢流用水</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前处理线总</w:t>
            </w:r>
            <w:r>
              <w:rPr>
                <w:rFonts w:hint="default" w:ascii="Times New Roman" w:hAnsi="Times New Roman" w:cs="Times New Roman"/>
                <w:color w:val="000000" w:themeColor="text1"/>
                <w:sz w:val="24"/>
                <w:szCs w:val="24"/>
                <w:highlight w:val="none"/>
                <w14:textFill>
                  <w14:solidFill>
                    <w14:schemeClr w14:val="tx1"/>
                  </w14:solidFill>
                </w14:textFill>
              </w:rPr>
              <w:t>用水量为</w:t>
            </w:r>
            <w:r>
              <w:rPr>
                <w:rFonts w:hint="default" w:ascii="Times New Roman" w:hAnsi="Times New Roman" w:cs="Times New Roman"/>
                <w:color w:val="000000" w:themeColor="text1"/>
                <w:sz w:val="24"/>
                <w:szCs w:val="24"/>
                <w:highlight w:val="none"/>
                <w:lang w:val="zh-CN"/>
                <w14:textFill>
                  <w14:solidFill>
                    <w14:schemeClr w14:val="tx1"/>
                  </w14:solidFill>
                </w14:textFill>
              </w:rPr>
              <w:t>1</w:t>
            </w:r>
            <w:r>
              <w:rPr>
                <w:rFonts w:hint="eastAsia" w:cs="Times New Roman"/>
                <w:color w:val="000000" w:themeColor="text1"/>
                <w:sz w:val="24"/>
                <w:szCs w:val="24"/>
                <w:highlight w:val="none"/>
                <w:lang w:val="en-US" w:eastAsia="zh-CN"/>
                <w14:textFill>
                  <w14:solidFill>
                    <w14:schemeClr w14:val="tx1"/>
                  </w14:solidFill>
                </w14:textFill>
              </w:rPr>
              <w:t>9895.11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eastAsia" w:cs="Times New Roman"/>
                <w:color w:val="000000" w:themeColor="text1"/>
                <w:sz w:val="24"/>
                <w:szCs w:val="24"/>
                <w:highlight w:val="none"/>
                <w:lang w:val="en-US" w:eastAsia="zh-CN"/>
                <w14:textFill>
                  <w14:solidFill>
                    <w14:schemeClr w14:val="tx1"/>
                  </w14:solidFill>
                </w14:textFill>
              </w:rPr>
              <w:t>其中：</w:t>
            </w:r>
          </w:p>
          <w:p w14:paraId="087BE5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①</w:t>
            </w:r>
            <w:r>
              <w:rPr>
                <w:rFonts w:hint="eastAsia" w:cs="Times New Roman"/>
                <w:b/>
                <w:bCs/>
                <w:color w:val="000000" w:themeColor="text1"/>
                <w:sz w:val="24"/>
                <w:szCs w:val="24"/>
                <w:highlight w:val="none"/>
                <w:lang w:val="en-US" w:eastAsia="zh-CN"/>
                <w14:textFill>
                  <w14:solidFill>
                    <w14:schemeClr w14:val="tx1"/>
                  </w14:solidFill>
                </w14:textFill>
              </w:rPr>
              <w:t>循环</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补充用水</w:t>
            </w:r>
          </w:p>
          <w:p w14:paraId="45E18E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本项目前处理线各池体处理方法均采用喷淋处理，喷淋过程产生用水损耗，需要定期补充用水，喷淋水损耗按循环水量的1%计算，本项目各前处理线喷淋补充用水计算见下表。</w:t>
            </w:r>
          </w:p>
          <w:p w14:paraId="25E111E4">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单条</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前处理线</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循环</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补充用水计算表</w:t>
            </w:r>
          </w:p>
          <w:tbl>
            <w:tblPr>
              <w:tblStyle w:val="44"/>
              <w:tblW w:w="82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1"/>
              <w:gridCol w:w="1155"/>
              <w:gridCol w:w="743"/>
              <w:gridCol w:w="929"/>
              <w:gridCol w:w="920"/>
              <w:gridCol w:w="864"/>
              <w:gridCol w:w="947"/>
              <w:gridCol w:w="1053"/>
              <w:gridCol w:w="1053"/>
            </w:tblGrid>
            <w:tr w14:paraId="66DC2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jc w:val="center"/>
              </w:trPr>
              <w:tc>
                <w:tcPr>
                  <w:tcW w:w="571" w:type="dxa"/>
                  <w:tcBorders>
                    <w:top w:val="single" w:color="000000" w:sz="4" w:space="0"/>
                    <w:left w:val="single" w:color="000000" w:sz="4" w:space="0"/>
                    <w:bottom w:val="single" w:color="000000" w:sz="4" w:space="0"/>
                    <w:right w:val="single" w:color="000000" w:sz="4" w:space="0"/>
                  </w:tcBorders>
                  <w:noWrap/>
                  <w:vAlign w:val="center"/>
                </w:tcPr>
                <w:p w14:paraId="5ABC7C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生产线</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636302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工序</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5C868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水池水量m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A96B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运行时间h</w:t>
                  </w:r>
                </w:p>
              </w:tc>
              <w:tc>
                <w:tcPr>
                  <w:tcW w:w="920" w:type="dxa"/>
                  <w:tcBorders>
                    <w:top w:val="single" w:color="000000" w:sz="4" w:space="0"/>
                    <w:left w:val="single" w:color="000000" w:sz="4" w:space="0"/>
                    <w:bottom w:val="single" w:color="000000" w:sz="4" w:space="0"/>
                    <w:right w:val="single" w:color="000000" w:sz="4" w:space="0"/>
                  </w:tcBorders>
                  <w:noWrap w:val="0"/>
                  <w:vAlign w:val="center"/>
                </w:tcPr>
                <w:p w14:paraId="4DB13E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槽液循环量m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/h</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3211D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槽液循环量m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/d</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27C8B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循环</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补充用水量m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/a</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3D80DBCF">
                  <w:pPr>
                    <w:keepNext w:val="0"/>
                    <w:keepLines w:val="0"/>
                    <w:widowControl/>
                    <w:suppressLineNumbers w:val="0"/>
                    <w:jc w:val="center"/>
                    <w:textAlignment w:val="cente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工件带出水量m</w:t>
                  </w:r>
                  <w:r>
                    <w:rPr>
                      <w:rFonts w:hint="eastAsia" w:ascii="宋体" w:hAnsi="宋体" w:eastAsia="宋体" w:cs="宋体"/>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/a</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5EBD20E">
                  <w:pPr>
                    <w:keepNext w:val="0"/>
                    <w:keepLines w:val="0"/>
                    <w:widowControl/>
                    <w:suppressLineNumbers w:val="0"/>
                    <w:jc w:val="center"/>
                    <w:textAlignment w:val="cente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循环补充新鲜用水量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/a</w:t>
                  </w:r>
                </w:p>
              </w:tc>
            </w:tr>
            <w:tr w14:paraId="04A38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restart"/>
                  <w:tcBorders>
                    <w:top w:val="single" w:color="000000" w:sz="4" w:space="0"/>
                    <w:left w:val="single" w:color="000000" w:sz="4" w:space="0"/>
                    <w:bottom w:val="single" w:color="000000" w:sz="4" w:space="0"/>
                    <w:right w:val="single" w:color="000000" w:sz="4" w:space="0"/>
                  </w:tcBorders>
                  <w:noWrap/>
                  <w:vAlign w:val="center"/>
                </w:tcPr>
                <w:p w14:paraId="02B8A4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工件表面预处理</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线</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D06B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水洗</w:t>
                  </w:r>
                  <w:r>
                    <w:rPr>
                      <w:rFonts w:hint="default" w:ascii="Times New Roman" w:hAnsi="Times New Roman" w:eastAsia="宋体" w:cs="Times New Roman"/>
                      <w:color w:val="000000" w:themeColor="text1"/>
                      <w:sz w:val="21"/>
                      <w:szCs w:val="21"/>
                      <w:highlight w:val="none"/>
                      <w14:textFill>
                        <w14:solidFill>
                          <w14:schemeClr w14:val="tx1"/>
                        </w14:solidFill>
                      </w14:textFill>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71FBEB8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43FB4F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D6F2C5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12.8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2BD297F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102.4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0E3370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246.8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43442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2B9BCF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356.78 </w:t>
                  </w:r>
                </w:p>
              </w:tc>
            </w:tr>
            <w:tr w14:paraId="3DA0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507EF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CF2F3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预脱脂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2A04360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614A47C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9127CB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44.8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64E52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358.4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BBB080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863.7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00CD0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A67AA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973.74 </w:t>
                  </w:r>
                </w:p>
              </w:tc>
            </w:tr>
            <w:tr w14:paraId="4142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1586E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A6564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脱脂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0D8B987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4B9A53B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4A7476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44.8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5380030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358.4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C572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863.7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248FE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DB5AB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973.74 </w:t>
                  </w:r>
                </w:p>
              </w:tc>
            </w:tr>
            <w:tr w14:paraId="45FA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00FC0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9CDBA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4B8FC7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DD2CAB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117522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72BED8A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7B03A0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50B8B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2A667E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w:t>
                  </w:r>
                </w:p>
              </w:tc>
            </w:tr>
            <w:tr w14:paraId="5096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208DD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BA36D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2F523FC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1886A3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0D37984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CEBA73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89C2B6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C0E1F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3BAFC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w:t>
                  </w:r>
                </w:p>
              </w:tc>
            </w:tr>
            <w:tr w14:paraId="33CC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339C1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A0170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清</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38F2AF5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D43454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C5ABCF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6.4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0E189D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51.2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D3B76E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123.4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DF507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D2E2D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1317.13</w:t>
                  </w:r>
                </w:p>
              </w:tc>
            </w:tr>
            <w:tr w14:paraId="1D32E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20A185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3CF09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无铬钝化池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027A102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60F0F4F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8EDE108">
                  <w:pPr>
                    <w:keepNext w:val="0"/>
                    <w:keepLines w:val="0"/>
                    <w:widowControl/>
                    <w:suppressLineNumbers w:val="0"/>
                    <w:spacing w:line="240" w:lineRule="auto"/>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601EC6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46EC1B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EA09C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287203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486.87 </w:t>
                  </w:r>
                </w:p>
              </w:tc>
            </w:tr>
            <w:tr w14:paraId="132E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0B476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13CD0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4942A82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8E4B24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619F67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12.8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444C0BB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102.4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FBE28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246.8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080D8C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F8EA7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301.78 </w:t>
                  </w:r>
                </w:p>
              </w:tc>
            </w:tr>
            <w:tr w14:paraId="14F09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726" w:type="dxa"/>
                  <w:gridSpan w:val="2"/>
                  <w:tcBorders>
                    <w:top w:val="single" w:color="000000" w:sz="4" w:space="0"/>
                    <w:left w:val="single" w:color="000000" w:sz="4" w:space="0"/>
                    <w:bottom w:val="single" w:color="000000" w:sz="4" w:space="0"/>
                    <w:right w:val="single" w:color="000000" w:sz="4" w:space="0"/>
                  </w:tcBorders>
                  <w:noWrap/>
                  <w:vAlign w:val="center"/>
                </w:tcPr>
                <w:p w14:paraId="4E7425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合计</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581F4F3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47.2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4779793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5AD57DE">
                  <w:pPr>
                    <w:keepNext w:val="0"/>
                    <w:keepLines w:val="0"/>
                    <w:widowControl/>
                    <w:suppressLineNumbers w:val="0"/>
                    <w:spacing w:line="240" w:lineRule="auto"/>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188.8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EA0999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1510.4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2C0181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3640.1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86AEC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770.0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32BEBEC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4410.1 </w:t>
                  </w:r>
                </w:p>
              </w:tc>
            </w:tr>
            <w:tr w14:paraId="0183A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8235" w:type="dxa"/>
                  <w:gridSpan w:val="9"/>
                  <w:tcBorders>
                    <w:top w:val="single" w:color="000000" w:sz="4" w:space="0"/>
                    <w:left w:val="single" w:color="000000" w:sz="4" w:space="0"/>
                    <w:bottom w:val="single" w:color="000000" w:sz="4" w:space="0"/>
                    <w:right w:val="single" w:color="000000" w:sz="4" w:space="0"/>
                  </w:tcBorders>
                  <w:noWrap/>
                  <w:vAlign w:val="center"/>
                </w:tcPr>
                <w:p w14:paraId="6625FE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备注：</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①</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根据设计资料，槽液每小时循环水量为池体水量的</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倍</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；采用管道循环方式，设置过滤装置。</w:t>
                  </w:r>
                </w:p>
                <w:p w14:paraId="13FAC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olor w:val="000000" w:themeColor="text1"/>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②工件水洗采用三级逆流漂洗工艺，设置 3 座漂洗槽1#水洗池、2#水洗池和清水池；新鲜水从清水洗池补给，漂洗废水逆向逐级溢流，1#水洗池产生高浓度清洗废水外排处理。该工艺可大幅降低清水消耗量，提升污染物去除效率。</w:t>
                  </w:r>
                </w:p>
              </w:tc>
            </w:tr>
          </w:tbl>
          <w:p w14:paraId="7D068E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p>
          <w:p w14:paraId="40470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从上表计得</w:t>
            </w:r>
            <w:r>
              <w:rPr>
                <w:rFonts w:hint="eastAsia" w:cs="Times New Roman"/>
                <w:color w:val="000000" w:themeColor="text1"/>
                <w:kern w:val="0"/>
                <w:sz w:val="24"/>
                <w:szCs w:val="24"/>
                <w:highlight w:val="none"/>
                <w:lang w:val="en-US" w:eastAsia="zh-CN" w:bidi="ar"/>
                <w14:textFill>
                  <w14:solidFill>
                    <w14:schemeClr w14:val="tx1"/>
                  </w14:solidFill>
                </w14:textFill>
              </w:rPr>
              <w:t>1条工件表面处理线循环补充新鲜水量为</w:t>
            </w: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4410.1</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m</w:t>
            </w:r>
            <w:r>
              <w:rPr>
                <w:rFonts w:hint="default" w:ascii="Times New Roman" w:hAnsi="Times New Roman"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/a</w:t>
            </w:r>
            <w:r>
              <w:rPr>
                <w:rFonts w:hint="eastAsia" w:cs="Times New Roman"/>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条前处理线</w:t>
            </w:r>
            <w:r>
              <w:rPr>
                <w:rFonts w:hint="eastAsia" w:cs="Times New Roman"/>
                <w:color w:val="000000" w:themeColor="text1"/>
                <w:kern w:val="0"/>
                <w:sz w:val="24"/>
                <w:szCs w:val="24"/>
                <w:highlight w:val="none"/>
                <w:lang w:val="en-US" w:eastAsia="zh-CN" w:bidi="ar"/>
                <w14:textFill>
                  <w14:solidFill>
                    <w14:schemeClr w14:val="tx1"/>
                  </w14:solidFill>
                </w14:textFill>
              </w:rPr>
              <w:t>循环</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补充水量为</w:t>
            </w: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4410.1</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m</w:t>
            </w:r>
            <w:r>
              <w:rPr>
                <w:rFonts w:hint="default" w:ascii="Times New Roman" w:hAnsi="Times New Roman"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/a</w:t>
            </w:r>
            <w:r>
              <w:rPr>
                <w:rFonts w:hint="eastAsia" w:cs="Times New Roman"/>
                <w:color w:val="000000" w:themeColor="text1"/>
                <w:kern w:val="0"/>
                <w:sz w:val="24"/>
                <w:szCs w:val="24"/>
                <w:highlight w:val="none"/>
                <w:lang w:val="en-US" w:eastAsia="zh-CN" w:bidi="ar"/>
                <w14:textFill>
                  <w14:solidFill>
                    <w14:schemeClr w14:val="tx1"/>
                  </w14:solidFill>
                </w14:textFill>
              </w:rPr>
              <w:t>×2=8820.128</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m</w:t>
            </w:r>
            <w:r>
              <w:rPr>
                <w:rFonts w:hint="default" w:ascii="Times New Roman" w:hAnsi="Times New Roman"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/a。</w:t>
            </w:r>
          </w:p>
        </w:tc>
      </w:tr>
    </w:tbl>
    <w:p w14:paraId="186D9CC2">
      <w:pPr>
        <w:pStyle w:val="41"/>
        <w:jc w:val="center"/>
        <w:rPr>
          <w:rFonts w:ascii="黑体" w:hAnsi="黑体" w:eastAsia="黑体"/>
          <w:snapToGrid w:val="0"/>
          <w:color w:val="000000" w:themeColor="text1"/>
          <w:sz w:val="36"/>
          <w:szCs w:val="36"/>
          <w:highlight w:val="none"/>
          <w14:textFill>
            <w14:solidFill>
              <w14:schemeClr w14:val="tx1"/>
            </w14:solidFill>
          </w14:textFill>
        </w:rPr>
        <w:sectPr>
          <w:pgSz w:w="11906" w:h="16838"/>
          <w:pgMar w:top="1644" w:right="1531" w:bottom="158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3335"/>
      </w:tblGrid>
      <w:tr w14:paraId="0B40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top"/>
          </w:tcPr>
          <w:p w14:paraId="363BBAE2">
            <w:pPr>
              <w:pStyle w:val="41"/>
              <w:jc w:val="center"/>
              <w:rPr>
                <w:rFonts w:ascii="黑体" w:hAnsi="黑体" w:eastAsia="黑体"/>
                <w:snapToGrid w:val="0"/>
                <w:color w:val="000000" w:themeColor="text1"/>
                <w:sz w:val="36"/>
                <w:szCs w:val="36"/>
                <w:highlight w:val="none"/>
                <w:vertAlign w:val="baseline"/>
                <w14:textFill>
                  <w14:solidFill>
                    <w14:schemeClr w14:val="tx1"/>
                  </w14:solidFill>
                </w14:textFill>
              </w:rPr>
            </w:pPr>
          </w:p>
        </w:tc>
        <w:tc>
          <w:tcPr>
            <w:tcW w:w="13335" w:type="dxa"/>
            <w:noWrap w:val="0"/>
            <w:vAlign w:val="top"/>
          </w:tcPr>
          <w:p w14:paraId="6E035FA6">
            <w:pPr>
              <w:pStyle w:val="22"/>
              <w:keepNext w:val="0"/>
              <w:keepLines w:val="0"/>
              <w:pageBreakBefore w:val="0"/>
              <w:widowControl w:val="0"/>
              <w:suppressLineNumbers w:val="0"/>
              <w:kinsoku/>
              <w:wordWrap w:val="0"/>
              <w:overflowPunct w:val="0"/>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②单条前处理线</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整槽更换用水、溢流用水</w:t>
            </w:r>
          </w:p>
          <w:p w14:paraId="13DDC4B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预</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脱脂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池、</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脱脂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池、水洗池</w:t>
            </w:r>
            <w:r>
              <w:rPr>
                <w:rFonts w:hint="eastAsia" w:cs="Times New Roman"/>
                <w:color w:val="000000" w:themeColor="text1"/>
                <w:sz w:val="24"/>
                <w:szCs w:val="24"/>
                <w:highlight w:val="none"/>
                <w:lang w:val="en-US" w:eastAsia="zh-CN"/>
                <w14:textFill>
                  <w14:solidFill>
                    <w14:schemeClr w14:val="tx1"/>
                  </w14:solidFill>
                </w14:textFill>
              </w:rPr>
              <w:t>1#~3#、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无铬钝化池和</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清水池</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水</w:t>
            </w:r>
            <w:r>
              <w:rPr>
                <w:rFonts w:hint="eastAsia" w:cs="Times New Roman"/>
                <w:color w:val="000000" w:themeColor="text1"/>
                <w:sz w:val="24"/>
                <w:szCs w:val="24"/>
                <w:highlight w:val="none"/>
                <w:lang w:val="en-US" w:eastAsia="zh-CN"/>
                <w14:textFill>
                  <w14:solidFill>
                    <w14:schemeClr w14:val="tx1"/>
                  </w14:solidFill>
                </w14:textFill>
              </w:rPr>
              <w:t>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循环使用，并适当补充新鲜水</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药剂，定期整池更换。其中为了保证水洗的清洗效果，水洗池同时采用连续溢流的排水方式，其余的预</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脱脂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池、</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脱脂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池、无铬钝化池仅定期整池更换。</w:t>
            </w:r>
          </w:p>
          <w:p w14:paraId="065F4B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项目前处理整槽更换用水、溢流用水</w:t>
            </w:r>
            <w:r>
              <w:rPr>
                <w:rFonts w:hint="eastAsia" w:cs="Times New Roman"/>
                <w:color w:val="000000" w:themeColor="text1"/>
                <w:sz w:val="24"/>
                <w:szCs w:val="24"/>
                <w:highlight w:val="none"/>
                <w:lang w:val="en-US" w:eastAsia="zh-CN"/>
                <w14:textFill>
                  <w14:solidFill>
                    <w14:schemeClr w14:val="tx1"/>
                  </w14:solidFill>
                </w14:textFill>
              </w:rPr>
              <w:t>量</w:t>
            </w:r>
            <w:r>
              <w:rPr>
                <w:rFonts w:hint="default" w:ascii="Times New Roman" w:hAnsi="Times New Roman" w:cs="Times New Roman"/>
                <w:color w:val="000000" w:themeColor="text1"/>
                <w:sz w:val="24"/>
                <w:szCs w:val="24"/>
                <w:highlight w:val="none"/>
                <w14:textFill>
                  <w14:solidFill>
                    <w14:schemeClr w14:val="tx1"/>
                  </w14:solidFill>
                </w14:textFill>
              </w:rPr>
              <w:t>情况详见下表。</w:t>
            </w:r>
          </w:p>
          <w:p w14:paraId="65A6F88B">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单条前处理线</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整槽更换</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用</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水和溢流</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用</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水一览表 单位t/a</w:t>
            </w:r>
          </w:p>
          <w:tbl>
            <w:tblPr>
              <w:tblStyle w:val="44"/>
              <w:tblW w:w="130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991"/>
              <w:gridCol w:w="623"/>
              <w:gridCol w:w="509"/>
              <w:gridCol w:w="416"/>
              <w:gridCol w:w="417"/>
              <w:gridCol w:w="1036"/>
              <w:gridCol w:w="683"/>
              <w:gridCol w:w="623"/>
              <w:gridCol w:w="1025"/>
              <w:gridCol w:w="991"/>
              <w:gridCol w:w="870"/>
              <w:gridCol w:w="1560"/>
              <w:gridCol w:w="1088"/>
              <w:gridCol w:w="918"/>
              <w:gridCol w:w="918"/>
            </w:tblGrid>
            <w:tr w14:paraId="6BEA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47" w:type="pct"/>
                  <w:vMerge w:val="restart"/>
                  <w:noWrap w:val="0"/>
                  <w:vAlign w:val="center"/>
                </w:tcPr>
                <w:p w14:paraId="196166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379" w:type="pct"/>
                  <w:vMerge w:val="restart"/>
                  <w:noWrap w:val="0"/>
                  <w:vAlign w:val="center"/>
                </w:tcPr>
                <w:p w14:paraId="422BCE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槽体名称</w:t>
                  </w:r>
                </w:p>
              </w:tc>
              <w:tc>
                <w:tcPr>
                  <w:tcW w:w="238" w:type="pct"/>
                  <w:vMerge w:val="restart"/>
                  <w:noWrap w:val="0"/>
                  <w:vAlign w:val="center"/>
                </w:tcPr>
                <w:p w14:paraId="6E44D9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数量</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(个)</w:t>
                  </w:r>
                </w:p>
              </w:tc>
              <w:tc>
                <w:tcPr>
                  <w:tcW w:w="514" w:type="pct"/>
                  <w:gridSpan w:val="3"/>
                  <w:noWrap w:val="0"/>
                  <w:vAlign w:val="center"/>
                </w:tcPr>
                <w:p w14:paraId="0FCF19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尺寸（m）</w:t>
                  </w:r>
                </w:p>
              </w:tc>
              <w:tc>
                <w:tcPr>
                  <w:tcW w:w="396" w:type="pct"/>
                  <w:vMerge w:val="restart"/>
                  <w:noWrap w:val="0"/>
                  <w:vAlign w:val="center"/>
                </w:tcPr>
                <w:p w14:paraId="7B0A0A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添加药剂名称</w:t>
                  </w:r>
                </w:p>
              </w:tc>
              <w:tc>
                <w:tcPr>
                  <w:tcW w:w="261" w:type="pct"/>
                  <w:vMerge w:val="restart"/>
                  <w:noWrap w:val="0"/>
                  <w:vAlign w:val="center"/>
                </w:tcPr>
                <w:p w14:paraId="4146AA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槽液量(m³)</w:t>
                  </w:r>
                </w:p>
              </w:tc>
              <w:tc>
                <w:tcPr>
                  <w:tcW w:w="238" w:type="pct"/>
                  <w:vMerge w:val="restart"/>
                  <w:noWrap w:val="0"/>
                  <w:vAlign w:val="center"/>
                </w:tcPr>
                <w:p w14:paraId="08D0CF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温度(℃)</w:t>
                  </w:r>
                </w:p>
              </w:tc>
              <w:tc>
                <w:tcPr>
                  <w:tcW w:w="772" w:type="pct"/>
                  <w:gridSpan w:val="2"/>
                  <w:noWrap w:val="0"/>
                  <w:vAlign w:val="center"/>
                </w:tcPr>
                <w:p w14:paraId="71451E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eastAsia" w:cs="Times New Roman"/>
                      <w:b/>
                      <w:bCs/>
                      <w:i w:val="0"/>
                      <w:iCs w:val="0"/>
                      <w:color w:val="000000" w:themeColor="text1"/>
                      <w:sz w:val="21"/>
                      <w:szCs w:val="21"/>
                      <w:highlight w:val="none"/>
                      <w:u w:val="none"/>
                      <w:lang w:val="en-US" w:eastAsia="zh-CN"/>
                      <w14:textFill>
                        <w14:solidFill>
                          <w14:schemeClr w14:val="tx1"/>
                        </w14:solidFill>
                      </w14:textFill>
                    </w:rPr>
                    <w:t>设计参数</w:t>
                  </w:r>
                </w:p>
              </w:tc>
              <w:tc>
                <w:tcPr>
                  <w:tcW w:w="333" w:type="pct"/>
                  <w:vMerge w:val="restart"/>
                  <w:noWrap w:val="0"/>
                  <w:vAlign w:val="center"/>
                </w:tcPr>
                <w:p w14:paraId="14B377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排水方式</w:t>
                  </w:r>
                </w:p>
              </w:tc>
              <w:tc>
                <w:tcPr>
                  <w:tcW w:w="597" w:type="pct"/>
                  <w:vMerge w:val="restart"/>
                  <w:noWrap w:val="0"/>
                  <w:vAlign w:val="center"/>
                </w:tcPr>
                <w:p w14:paraId="2E9A81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更换频率</w:t>
                  </w:r>
                </w:p>
              </w:tc>
              <w:tc>
                <w:tcPr>
                  <w:tcW w:w="416" w:type="pct"/>
                  <w:vMerge w:val="restart"/>
                  <w:noWrap w:val="0"/>
                  <w:vAlign w:val="center"/>
                </w:tcPr>
                <w:p w14:paraId="4B1A10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整槽更换用水量(m³/a)</w:t>
                  </w:r>
                </w:p>
              </w:tc>
              <w:tc>
                <w:tcPr>
                  <w:tcW w:w="351" w:type="pct"/>
                  <w:vMerge w:val="restart"/>
                  <w:noWrap w:val="0"/>
                  <w:vAlign w:val="center"/>
                </w:tcPr>
                <w:p w14:paraId="7C4140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溢流</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用</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水量(m³/</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a</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351" w:type="pct"/>
                  <w:vMerge w:val="restart"/>
                  <w:noWrap w:val="0"/>
                  <w:vAlign w:val="center"/>
                </w:tcPr>
                <w:p w14:paraId="3E3A9A0F">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溢流排水量(m³/a)</w:t>
                  </w:r>
                </w:p>
              </w:tc>
            </w:tr>
            <w:tr w14:paraId="1F2A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2A120E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79" w:type="pct"/>
                  <w:vMerge w:val="continue"/>
                  <w:noWrap w:val="0"/>
                  <w:vAlign w:val="center"/>
                </w:tcPr>
                <w:p w14:paraId="3CD9A9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238" w:type="pct"/>
                  <w:vMerge w:val="continue"/>
                  <w:noWrap w:val="0"/>
                  <w:vAlign w:val="center"/>
                </w:tcPr>
                <w:p w14:paraId="583FF4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194" w:type="pct"/>
                  <w:noWrap w:val="0"/>
                  <w:vAlign w:val="center"/>
                </w:tcPr>
                <w:p w14:paraId="2A0210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长</w:t>
                  </w:r>
                </w:p>
              </w:tc>
              <w:tc>
                <w:tcPr>
                  <w:tcW w:w="159" w:type="pct"/>
                  <w:noWrap w:val="0"/>
                  <w:vAlign w:val="center"/>
                </w:tcPr>
                <w:p w14:paraId="37BFC5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宽</w:t>
                  </w:r>
                </w:p>
              </w:tc>
              <w:tc>
                <w:tcPr>
                  <w:tcW w:w="159" w:type="pct"/>
                  <w:noWrap w:val="0"/>
                  <w:vAlign w:val="center"/>
                </w:tcPr>
                <w:p w14:paraId="5D94E3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深</w:t>
                  </w:r>
                </w:p>
              </w:tc>
              <w:tc>
                <w:tcPr>
                  <w:tcW w:w="396" w:type="pct"/>
                  <w:vMerge w:val="continue"/>
                  <w:noWrap w:val="0"/>
                  <w:vAlign w:val="center"/>
                </w:tcPr>
                <w:p w14:paraId="7C6215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261" w:type="pct"/>
                  <w:vMerge w:val="continue"/>
                  <w:noWrap w:val="0"/>
                  <w:vAlign w:val="center"/>
                </w:tcPr>
                <w:p w14:paraId="6342C8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238" w:type="pct"/>
                  <w:vMerge w:val="continue"/>
                  <w:noWrap w:val="0"/>
                  <w:vAlign w:val="center"/>
                </w:tcPr>
                <w:p w14:paraId="58B060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92" w:type="pct"/>
                  <w:noWrap w:val="0"/>
                  <w:vAlign w:val="center"/>
                </w:tcPr>
                <w:p w14:paraId="1E67B1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溢流速度(L/min)</w:t>
                  </w:r>
                </w:p>
              </w:tc>
              <w:tc>
                <w:tcPr>
                  <w:tcW w:w="379" w:type="pct"/>
                  <w:noWrap w:val="0"/>
                  <w:vAlign w:val="center"/>
                </w:tcPr>
                <w:p w14:paraId="532619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溢流用水量(m³/d)</w:t>
                  </w:r>
                </w:p>
              </w:tc>
              <w:tc>
                <w:tcPr>
                  <w:tcW w:w="333" w:type="pct"/>
                  <w:vMerge w:val="continue"/>
                  <w:noWrap w:val="0"/>
                  <w:vAlign w:val="center"/>
                </w:tcPr>
                <w:p w14:paraId="7A9B10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597" w:type="pct"/>
                  <w:vMerge w:val="continue"/>
                  <w:noWrap w:val="0"/>
                  <w:vAlign w:val="center"/>
                </w:tcPr>
                <w:p w14:paraId="5550A4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416" w:type="pct"/>
                  <w:vMerge w:val="continue"/>
                  <w:noWrap w:val="0"/>
                  <w:vAlign w:val="center"/>
                </w:tcPr>
                <w:p w14:paraId="1A37DE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51" w:type="pct"/>
                  <w:vMerge w:val="continue"/>
                  <w:noWrap w:val="0"/>
                  <w:vAlign w:val="center"/>
                </w:tcPr>
                <w:p w14:paraId="1FEE1D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51" w:type="pct"/>
                  <w:vMerge w:val="continue"/>
                  <w:noWrap w:val="0"/>
                  <w:vAlign w:val="center"/>
                </w:tcPr>
                <w:p w14:paraId="71BB2C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r>
            <w:tr w14:paraId="083C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restart"/>
                  <w:noWrap w:val="0"/>
                  <w:vAlign w:val="center"/>
                </w:tcPr>
                <w:p w14:paraId="423DD8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工件表面预处理</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线</w:t>
                  </w:r>
                </w:p>
              </w:tc>
              <w:tc>
                <w:tcPr>
                  <w:tcW w:w="379" w:type="pct"/>
                  <w:noWrap w:val="0"/>
                  <w:vAlign w:val="center"/>
                </w:tcPr>
                <w:p w14:paraId="78DF6E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水洗</w:t>
                  </w:r>
                  <w:r>
                    <w:rPr>
                      <w:rFonts w:hint="default" w:ascii="Times New Roman" w:hAnsi="Times New Roman" w:eastAsia="宋体" w:cs="Times New Roman"/>
                      <w:color w:val="000000" w:themeColor="text1"/>
                      <w:sz w:val="21"/>
                      <w:szCs w:val="21"/>
                      <w:highlight w:val="none"/>
                      <w14:textFill>
                        <w14:solidFill>
                          <w14:schemeClr w14:val="tx1"/>
                        </w14:solidFill>
                      </w14:textFill>
                    </w:rPr>
                    <w:t>池</w:t>
                  </w:r>
                </w:p>
              </w:tc>
              <w:tc>
                <w:tcPr>
                  <w:tcW w:w="238" w:type="pct"/>
                  <w:noWrap w:val="0"/>
                  <w:vAlign w:val="center"/>
                </w:tcPr>
                <w:p w14:paraId="709C02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94" w:type="pct"/>
                  <w:noWrap w:val="0"/>
                  <w:vAlign w:val="center"/>
                </w:tcPr>
                <w:p w14:paraId="3ED9BACB">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5FD0A362">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2AEA2CC5">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396" w:type="pct"/>
                  <w:noWrap w:val="0"/>
                  <w:vAlign w:val="center"/>
                </w:tcPr>
                <w:p w14:paraId="3C43D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61" w:type="pct"/>
                  <w:noWrap w:val="0"/>
                  <w:vAlign w:val="center"/>
                </w:tcPr>
                <w:p w14:paraId="2B9C79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w:t>
                  </w:r>
                </w:p>
              </w:tc>
              <w:tc>
                <w:tcPr>
                  <w:tcW w:w="238" w:type="pct"/>
                  <w:noWrap w:val="0"/>
                  <w:vAlign w:val="center"/>
                </w:tcPr>
                <w:p w14:paraId="4E6767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常温</w:t>
                  </w:r>
                </w:p>
              </w:tc>
              <w:tc>
                <w:tcPr>
                  <w:tcW w:w="392" w:type="pct"/>
                  <w:noWrap w:val="0"/>
                  <w:vAlign w:val="center"/>
                </w:tcPr>
                <w:p w14:paraId="4E289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379" w:type="pct"/>
                  <w:noWrap w:val="0"/>
                  <w:vAlign w:val="center"/>
                </w:tcPr>
                <w:p w14:paraId="5E11BE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7.2</w:t>
                  </w:r>
                </w:p>
              </w:tc>
              <w:tc>
                <w:tcPr>
                  <w:tcW w:w="333" w:type="pct"/>
                  <w:noWrap w:val="0"/>
                  <w:vAlign w:val="center"/>
                </w:tcPr>
                <w:p w14:paraId="7B7BE7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连续溢流</w:t>
                  </w:r>
                </w:p>
              </w:tc>
              <w:tc>
                <w:tcPr>
                  <w:tcW w:w="597" w:type="pct"/>
                  <w:noWrap w:val="0"/>
                  <w:vAlign w:val="center"/>
                </w:tcPr>
                <w:p w14:paraId="418FBD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整槽更换槽液，每月一次</w:t>
                  </w:r>
                </w:p>
              </w:tc>
              <w:tc>
                <w:tcPr>
                  <w:tcW w:w="416" w:type="pct"/>
                  <w:noWrap/>
                  <w:vAlign w:val="center"/>
                </w:tcPr>
                <w:p w14:paraId="388180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38.4</w:t>
                  </w:r>
                </w:p>
              </w:tc>
              <w:tc>
                <w:tcPr>
                  <w:tcW w:w="351" w:type="pct"/>
                  <w:noWrap w:val="0"/>
                  <w:vAlign w:val="center"/>
                </w:tcPr>
                <w:p w14:paraId="1A96C02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1735.2</w:t>
                  </w:r>
                </w:p>
              </w:tc>
              <w:tc>
                <w:tcPr>
                  <w:tcW w:w="918" w:type="dxa"/>
                  <w:noWrap w:val="0"/>
                  <w:vAlign w:val="center"/>
                </w:tcPr>
                <w:p w14:paraId="45B578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1735.2</w:t>
                  </w:r>
                </w:p>
              </w:tc>
            </w:tr>
            <w:tr w14:paraId="7CD1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6ED998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79" w:type="pct"/>
                  <w:noWrap w:val="0"/>
                  <w:vAlign w:val="center"/>
                </w:tcPr>
                <w:p w14:paraId="7CC45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预脱脂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池</w:t>
                  </w:r>
                </w:p>
              </w:tc>
              <w:tc>
                <w:tcPr>
                  <w:tcW w:w="238" w:type="pct"/>
                  <w:noWrap w:val="0"/>
                  <w:vAlign w:val="center"/>
                </w:tcPr>
                <w:p w14:paraId="12ED8E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94" w:type="pct"/>
                  <w:noWrap w:val="0"/>
                  <w:vAlign w:val="center"/>
                </w:tcPr>
                <w:p w14:paraId="7F83A796">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7</w:t>
                  </w:r>
                </w:p>
              </w:tc>
              <w:tc>
                <w:tcPr>
                  <w:tcW w:w="159" w:type="pct"/>
                  <w:noWrap w:val="0"/>
                  <w:vAlign w:val="center"/>
                </w:tcPr>
                <w:p w14:paraId="3090435C">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6FB44B15">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396" w:type="pct"/>
                  <w:noWrap w:val="0"/>
                  <w:vAlign w:val="center"/>
                </w:tcPr>
                <w:p w14:paraId="006CF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除油</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剂</w:t>
                  </w:r>
                </w:p>
              </w:tc>
              <w:tc>
                <w:tcPr>
                  <w:tcW w:w="261" w:type="pct"/>
                  <w:noWrap w:val="0"/>
                  <w:vAlign w:val="center"/>
                </w:tcPr>
                <w:p w14:paraId="39840E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11.2</w:t>
                  </w:r>
                </w:p>
              </w:tc>
              <w:tc>
                <w:tcPr>
                  <w:tcW w:w="238" w:type="pct"/>
                  <w:noWrap w:val="0"/>
                  <w:vAlign w:val="center"/>
                </w:tcPr>
                <w:p w14:paraId="4FE418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w:t>
                  </w:r>
                </w:p>
              </w:tc>
              <w:tc>
                <w:tcPr>
                  <w:tcW w:w="392" w:type="pct"/>
                  <w:noWrap w:val="0"/>
                  <w:vAlign w:val="center"/>
                </w:tcPr>
                <w:p w14:paraId="4F40EB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79" w:type="pct"/>
                  <w:noWrap w:val="0"/>
                  <w:vAlign w:val="center"/>
                </w:tcPr>
                <w:p w14:paraId="303F95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33" w:type="pct"/>
                  <w:noWrap w:val="0"/>
                  <w:vAlign w:val="center"/>
                </w:tcPr>
                <w:p w14:paraId="32E4B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597" w:type="pct"/>
                  <w:noWrap w:val="0"/>
                  <w:vAlign w:val="center"/>
                </w:tcPr>
                <w:p w14:paraId="3D6B14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整槽更换槽液，每季度一次</w:t>
                  </w:r>
                </w:p>
              </w:tc>
              <w:tc>
                <w:tcPr>
                  <w:tcW w:w="416" w:type="pct"/>
                  <w:noWrap/>
                  <w:vAlign w:val="center"/>
                </w:tcPr>
                <w:p w14:paraId="266F50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44.8</w:t>
                  </w:r>
                </w:p>
              </w:tc>
              <w:tc>
                <w:tcPr>
                  <w:tcW w:w="351" w:type="pct"/>
                  <w:noWrap w:val="0"/>
                  <w:vAlign w:val="center"/>
                </w:tcPr>
                <w:p w14:paraId="390A93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918" w:type="dxa"/>
                  <w:noWrap w:val="0"/>
                  <w:vAlign w:val="center"/>
                </w:tcPr>
                <w:p w14:paraId="253B56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9A2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0E8C4E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79" w:type="pct"/>
                  <w:noWrap w:val="0"/>
                  <w:vAlign w:val="center"/>
                </w:tcPr>
                <w:p w14:paraId="26C7D3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脱脂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池</w:t>
                  </w:r>
                </w:p>
              </w:tc>
              <w:tc>
                <w:tcPr>
                  <w:tcW w:w="238" w:type="pct"/>
                  <w:noWrap w:val="0"/>
                  <w:vAlign w:val="center"/>
                </w:tcPr>
                <w:p w14:paraId="452BF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94" w:type="pct"/>
                  <w:noWrap w:val="0"/>
                  <w:vAlign w:val="center"/>
                </w:tcPr>
                <w:p w14:paraId="01F641E2">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7</w:t>
                  </w:r>
                </w:p>
              </w:tc>
              <w:tc>
                <w:tcPr>
                  <w:tcW w:w="159" w:type="pct"/>
                  <w:noWrap w:val="0"/>
                  <w:vAlign w:val="center"/>
                </w:tcPr>
                <w:p w14:paraId="05590B11">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2448C401">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396" w:type="pct"/>
                  <w:noWrap w:val="0"/>
                  <w:vAlign w:val="center"/>
                </w:tcPr>
                <w:p w14:paraId="4766F6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除油</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剂</w:t>
                  </w:r>
                </w:p>
              </w:tc>
              <w:tc>
                <w:tcPr>
                  <w:tcW w:w="261" w:type="pct"/>
                  <w:noWrap w:val="0"/>
                  <w:vAlign w:val="center"/>
                </w:tcPr>
                <w:p w14:paraId="5F26B5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11.2</w:t>
                  </w:r>
                </w:p>
              </w:tc>
              <w:tc>
                <w:tcPr>
                  <w:tcW w:w="238" w:type="pct"/>
                  <w:noWrap w:val="0"/>
                  <w:vAlign w:val="center"/>
                </w:tcPr>
                <w:p w14:paraId="49FF0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w:t>
                  </w:r>
                </w:p>
              </w:tc>
              <w:tc>
                <w:tcPr>
                  <w:tcW w:w="392" w:type="pct"/>
                  <w:noWrap w:val="0"/>
                  <w:vAlign w:val="center"/>
                </w:tcPr>
                <w:p w14:paraId="6548FC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79" w:type="pct"/>
                  <w:noWrap w:val="0"/>
                  <w:vAlign w:val="center"/>
                </w:tcPr>
                <w:p w14:paraId="383E1E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33" w:type="pct"/>
                  <w:noWrap w:val="0"/>
                  <w:vAlign w:val="center"/>
                </w:tcPr>
                <w:p w14:paraId="38FCC8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597" w:type="pct"/>
                  <w:noWrap w:val="0"/>
                  <w:vAlign w:val="center"/>
                </w:tcPr>
                <w:p w14:paraId="2289E6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整槽更换槽液，每季度一次</w:t>
                  </w:r>
                </w:p>
              </w:tc>
              <w:tc>
                <w:tcPr>
                  <w:tcW w:w="416" w:type="pct"/>
                  <w:noWrap/>
                  <w:vAlign w:val="center"/>
                </w:tcPr>
                <w:p w14:paraId="6E71DD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44.8</w:t>
                  </w:r>
                </w:p>
              </w:tc>
              <w:tc>
                <w:tcPr>
                  <w:tcW w:w="351" w:type="pct"/>
                  <w:noWrap w:val="0"/>
                  <w:vAlign w:val="center"/>
                </w:tcPr>
                <w:p w14:paraId="381200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918" w:type="dxa"/>
                  <w:noWrap w:val="0"/>
                  <w:vAlign w:val="center"/>
                </w:tcPr>
                <w:p w14:paraId="521757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7E1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3C16C7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79" w:type="pct"/>
                  <w:noWrap w:val="0"/>
                  <w:vAlign w:val="center"/>
                </w:tcPr>
                <w:p w14:paraId="7AF61A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238" w:type="pct"/>
                  <w:noWrap w:val="0"/>
                  <w:vAlign w:val="center"/>
                </w:tcPr>
                <w:p w14:paraId="0B15CA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94" w:type="pct"/>
                  <w:noWrap w:val="0"/>
                  <w:vAlign w:val="center"/>
                </w:tcPr>
                <w:p w14:paraId="71DD4A3A">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159" w:type="pct"/>
                  <w:noWrap w:val="0"/>
                  <w:vAlign w:val="center"/>
                </w:tcPr>
                <w:p w14:paraId="4DE54437">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7FF71986">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396" w:type="pct"/>
                  <w:noWrap w:val="0"/>
                  <w:vAlign w:val="center"/>
                </w:tcPr>
                <w:p w14:paraId="408315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61" w:type="pct"/>
                  <w:noWrap w:val="0"/>
                  <w:vAlign w:val="center"/>
                </w:tcPr>
                <w:p w14:paraId="4C0EFE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238" w:type="pct"/>
                  <w:noWrap w:val="0"/>
                  <w:vAlign w:val="center"/>
                </w:tcPr>
                <w:p w14:paraId="3E6188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常温</w:t>
                  </w:r>
                </w:p>
              </w:tc>
              <w:tc>
                <w:tcPr>
                  <w:tcW w:w="392" w:type="pct"/>
                  <w:noWrap w:val="0"/>
                  <w:vAlign w:val="center"/>
                </w:tcPr>
                <w:p w14:paraId="38967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379" w:type="pct"/>
                  <w:noWrap w:val="0"/>
                  <w:vAlign w:val="center"/>
                </w:tcPr>
                <w:p w14:paraId="386A4F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7.2</w:t>
                  </w:r>
                </w:p>
              </w:tc>
              <w:tc>
                <w:tcPr>
                  <w:tcW w:w="333" w:type="pct"/>
                  <w:noWrap w:val="0"/>
                  <w:vAlign w:val="center"/>
                </w:tcPr>
                <w:p w14:paraId="47B95E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连续溢流</w:t>
                  </w:r>
                </w:p>
              </w:tc>
              <w:tc>
                <w:tcPr>
                  <w:tcW w:w="597" w:type="pct"/>
                  <w:noWrap w:val="0"/>
                  <w:vAlign w:val="center"/>
                </w:tcPr>
                <w:p w14:paraId="22DFEE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整槽更换槽液，每月一次</w:t>
                  </w:r>
                </w:p>
              </w:tc>
              <w:tc>
                <w:tcPr>
                  <w:tcW w:w="416" w:type="pct"/>
                  <w:noWrap/>
                  <w:vAlign w:val="center"/>
                </w:tcPr>
                <w:p w14:paraId="3698F2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67.2</w:t>
                  </w:r>
                </w:p>
              </w:tc>
              <w:tc>
                <w:tcPr>
                  <w:tcW w:w="351" w:type="pct"/>
                  <w:noWrap w:val="0"/>
                  <w:vAlign w:val="center"/>
                </w:tcPr>
                <w:p w14:paraId="1A4D52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1735.2</w:t>
                  </w:r>
                </w:p>
              </w:tc>
              <w:tc>
                <w:tcPr>
                  <w:tcW w:w="918" w:type="dxa"/>
                  <w:noWrap w:val="0"/>
                  <w:vAlign w:val="center"/>
                </w:tcPr>
                <w:p w14:paraId="7346B6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1735.2</w:t>
                  </w:r>
                </w:p>
              </w:tc>
            </w:tr>
            <w:tr w14:paraId="30D5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6D026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79" w:type="pct"/>
                  <w:noWrap w:val="0"/>
                  <w:vAlign w:val="center"/>
                </w:tcPr>
                <w:p w14:paraId="69E95F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238" w:type="pct"/>
                  <w:noWrap w:val="0"/>
                  <w:vAlign w:val="center"/>
                </w:tcPr>
                <w:p w14:paraId="701CC0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94" w:type="pct"/>
                  <w:noWrap w:val="0"/>
                  <w:vAlign w:val="center"/>
                </w:tcPr>
                <w:p w14:paraId="57C4E68E">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159" w:type="pct"/>
                  <w:noWrap w:val="0"/>
                  <w:vAlign w:val="center"/>
                </w:tcPr>
                <w:p w14:paraId="2AEEF840">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1CF2F620">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396" w:type="pct"/>
                  <w:noWrap w:val="0"/>
                  <w:vAlign w:val="center"/>
                </w:tcPr>
                <w:p w14:paraId="695F1F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61" w:type="pct"/>
                  <w:noWrap w:val="0"/>
                  <w:vAlign w:val="center"/>
                </w:tcPr>
                <w:p w14:paraId="69975E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238" w:type="pct"/>
                  <w:noWrap w:val="0"/>
                  <w:vAlign w:val="center"/>
                </w:tcPr>
                <w:p w14:paraId="3A654B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常温</w:t>
                  </w:r>
                </w:p>
              </w:tc>
              <w:tc>
                <w:tcPr>
                  <w:tcW w:w="392" w:type="pct"/>
                  <w:noWrap w:val="0"/>
                  <w:vAlign w:val="center"/>
                </w:tcPr>
                <w:p w14:paraId="154EC4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379" w:type="pct"/>
                  <w:noWrap w:val="0"/>
                  <w:vAlign w:val="center"/>
                </w:tcPr>
                <w:p w14:paraId="660150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7.2</w:t>
                  </w:r>
                </w:p>
              </w:tc>
              <w:tc>
                <w:tcPr>
                  <w:tcW w:w="333" w:type="pct"/>
                  <w:noWrap w:val="0"/>
                  <w:vAlign w:val="center"/>
                </w:tcPr>
                <w:p w14:paraId="4598BE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连续溢流</w:t>
                  </w:r>
                </w:p>
              </w:tc>
              <w:tc>
                <w:tcPr>
                  <w:tcW w:w="597" w:type="pct"/>
                  <w:noWrap w:val="0"/>
                  <w:vAlign w:val="center"/>
                </w:tcPr>
                <w:p w14:paraId="4D5626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整槽更换槽液，每月一次</w:t>
                  </w:r>
                </w:p>
              </w:tc>
              <w:tc>
                <w:tcPr>
                  <w:tcW w:w="416" w:type="pct"/>
                  <w:noWrap/>
                  <w:vAlign w:val="center"/>
                </w:tcPr>
                <w:p w14:paraId="2A1191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67.2</w:t>
                  </w:r>
                </w:p>
              </w:tc>
              <w:tc>
                <w:tcPr>
                  <w:tcW w:w="351" w:type="pct"/>
                  <w:noWrap w:val="0"/>
                  <w:vAlign w:val="center"/>
                </w:tcPr>
                <w:p w14:paraId="0412C6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1735.2</w:t>
                  </w:r>
                </w:p>
              </w:tc>
              <w:tc>
                <w:tcPr>
                  <w:tcW w:w="918" w:type="dxa"/>
                  <w:noWrap w:val="0"/>
                  <w:vAlign w:val="center"/>
                </w:tcPr>
                <w:p w14:paraId="284401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3109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334EDB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79" w:type="pct"/>
                  <w:noWrap w:val="0"/>
                  <w:vAlign w:val="center"/>
                </w:tcPr>
                <w:p w14:paraId="0F7FF6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清</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238" w:type="pct"/>
                  <w:noWrap w:val="0"/>
                  <w:vAlign w:val="center"/>
                </w:tcPr>
                <w:p w14:paraId="60F528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94" w:type="pct"/>
                  <w:noWrap w:val="0"/>
                  <w:vAlign w:val="center"/>
                </w:tcPr>
                <w:p w14:paraId="00611FD0">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w:t>
                  </w:r>
                </w:p>
              </w:tc>
              <w:tc>
                <w:tcPr>
                  <w:tcW w:w="159" w:type="pct"/>
                  <w:noWrap w:val="0"/>
                  <w:vAlign w:val="center"/>
                </w:tcPr>
                <w:p w14:paraId="04D3F16C">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0DAA289E">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396" w:type="pct"/>
                  <w:noWrap w:val="0"/>
                  <w:vAlign w:val="center"/>
                </w:tcPr>
                <w:p w14:paraId="79CF1D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61" w:type="pct"/>
                  <w:noWrap w:val="0"/>
                  <w:vAlign w:val="center"/>
                </w:tcPr>
                <w:p w14:paraId="411313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1.6</w:t>
                  </w:r>
                </w:p>
              </w:tc>
              <w:tc>
                <w:tcPr>
                  <w:tcW w:w="238" w:type="pct"/>
                  <w:noWrap w:val="0"/>
                  <w:vAlign w:val="center"/>
                </w:tcPr>
                <w:p w14:paraId="51433D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常温</w:t>
                  </w:r>
                </w:p>
              </w:tc>
              <w:tc>
                <w:tcPr>
                  <w:tcW w:w="392" w:type="pct"/>
                  <w:noWrap w:val="0"/>
                  <w:vAlign w:val="center"/>
                </w:tcPr>
                <w:p w14:paraId="73A464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379" w:type="pct"/>
                  <w:noWrap w:val="0"/>
                  <w:vAlign w:val="center"/>
                </w:tcPr>
                <w:p w14:paraId="6B8C97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7.2</w:t>
                  </w:r>
                </w:p>
              </w:tc>
              <w:tc>
                <w:tcPr>
                  <w:tcW w:w="333" w:type="pct"/>
                  <w:noWrap w:val="0"/>
                  <w:vAlign w:val="center"/>
                </w:tcPr>
                <w:p w14:paraId="73FCCF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连续溢流</w:t>
                  </w:r>
                </w:p>
              </w:tc>
              <w:tc>
                <w:tcPr>
                  <w:tcW w:w="597" w:type="pct"/>
                  <w:noWrap w:val="0"/>
                  <w:vAlign w:val="center"/>
                </w:tcPr>
                <w:p w14:paraId="4592A2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整槽更换槽液，每月一次</w:t>
                  </w:r>
                </w:p>
              </w:tc>
              <w:tc>
                <w:tcPr>
                  <w:tcW w:w="416" w:type="pct"/>
                  <w:noWrap/>
                  <w:vAlign w:val="center"/>
                </w:tcPr>
                <w:p w14:paraId="4E30C5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19.2</w:t>
                  </w:r>
                </w:p>
              </w:tc>
              <w:tc>
                <w:tcPr>
                  <w:tcW w:w="351" w:type="pct"/>
                  <w:noWrap w:val="0"/>
                  <w:vAlign w:val="center"/>
                </w:tcPr>
                <w:p w14:paraId="564C83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1735.2</w:t>
                  </w:r>
                </w:p>
              </w:tc>
              <w:tc>
                <w:tcPr>
                  <w:tcW w:w="918" w:type="dxa"/>
                  <w:noWrap w:val="0"/>
                  <w:vAlign w:val="center"/>
                </w:tcPr>
                <w:p w14:paraId="551CAA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657B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7" w:type="pct"/>
                  <w:vMerge w:val="continue"/>
                  <w:noWrap w:val="0"/>
                  <w:vAlign w:val="center"/>
                </w:tcPr>
                <w:p w14:paraId="2A67C2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79" w:type="pct"/>
                  <w:noWrap w:val="0"/>
                  <w:vAlign w:val="center"/>
                </w:tcPr>
                <w:p w14:paraId="742C4E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无铬钝化池</w:t>
                  </w:r>
                </w:p>
              </w:tc>
              <w:tc>
                <w:tcPr>
                  <w:tcW w:w="238" w:type="pct"/>
                  <w:noWrap w:val="0"/>
                  <w:vAlign w:val="center"/>
                </w:tcPr>
                <w:p w14:paraId="5D48AA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94" w:type="pct"/>
                  <w:noWrap w:val="0"/>
                  <w:vAlign w:val="center"/>
                </w:tcPr>
                <w:p w14:paraId="22DD8B0D">
                  <w:pPr>
                    <w:adjustRightInd w:val="0"/>
                    <w:snapToGrid w:val="0"/>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w:t>
                  </w:r>
                </w:p>
              </w:tc>
              <w:tc>
                <w:tcPr>
                  <w:tcW w:w="159" w:type="pct"/>
                  <w:noWrap w:val="0"/>
                  <w:vAlign w:val="center"/>
                </w:tcPr>
                <w:p w14:paraId="360C272A">
                  <w:pPr>
                    <w:adjustRightInd w:val="0"/>
                    <w:snapToGrid w:val="0"/>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52445708">
                  <w:pPr>
                    <w:adjustRightInd w:val="0"/>
                    <w:snapToGrid w:val="0"/>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396" w:type="pct"/>
                  <w:noWrap w:val="0"/>
                  <w:vAlign w:val="center"/>
                </w:tcPr>
                <w:p w14:paraId="4D938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无铬钝化剂</w:t>
                  </w:r>
                </w:p>
              </w:tc>
              <w:tc>
                <w:tcPr>
                  <w:tcW w:w="261" w:type="pct"/>
                  <w:noWrap w:val="0"/>
                  <w:vAlign w:val="center"/>
                </w:tcPr>
                <w:p w14:paraId="44EBA8C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238" w:type="pct"/>
                  <w:noWrap w:val="0"/>
                  <w:vAlign w:val="center"/>
                </w:tcPr>
                <w:p w14:paraId="5A7523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常温</w:t>
                  </w:r>
                </w:p>
              </w:tc>
              <w:tc>
                <w:tcPr>
                  <w:tcW w:w="392" w:type="pct"/>
                  <w:noWrap w:val="0"/>
                  <w:vAlign w:val="center"/>
                </w:tcPr>
                <w:p w14:paraId="480E78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79" w:type="pct"/>
                  <w:noWrap w:val="0"/>
                  <w:vAlign w:val="center"/>
                </w:tcPr>
                <w:p w14:paraId="439ADE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33" w:type="pct"/>
                  <w:noWrap w:val="0"/>
                  <w:vAlign w:val="center"/>
                </w:tcPr>
                <w:p w14:paraId="586F88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597" w:type="pct"/>
                  <w:noWrap w:val="0"/>
                  <w:vAlign w:val="center"/>
                </w:tcPr>
                <w:p w14:paraId="283589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整槽更换槽液，每季度一次</w:t>
                  </w:r>
                </w:p>
              </w:tc>
              <w:tc>
                <w:tcPr>
                  <w:tcW w:w="416" w:type="pct"/>
                  <w:noWrap/>
                  <w:vAlign w:val="center"/>
                </w:tcPr>
                <w:p w14:paraId="1A7415C1">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22.4</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（按危废处置）</w:t>
                  </w:r>
                </w:p>
              </w:tc>
              <w:tc>
                <w:tcPr>
                  <w:tcW w:w="351" w:type="pct"/>
                  <w:noWrap w:val="0"/>
                  <w:vAlign w:val="center"/>
                </w:tcPr>
                <w:p w14:paraId="679291D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918" w:type="dxa"/>
                  <w:noWrap w:val="0"/>
                  <w:vAlign w:val="center"/>
                </w:tcPr>
                <w:p w14:paraId="13F51A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7DEC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06582E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379" w:type="pct"/>
                  <w:noWrap w:val="0"/>
                  <w:vAlign w:val="center"/>
                </w:tcPr>
                <w:p w14:paraId="54006A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238" w:type="pct"/>
                  <w:noWrap w:val="0"/>
                  <w:vAlign w:val="center"/>
                </w:tcPr>
                <w:p w14:paraId="1347E2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94" w:type="pct"/>
                  <w:noWrap w:val="0"/>
                  <w:vAlign w:val="center"/>
                </w:tcPr>
                <w:p w14:paraId="25871A90">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3214BA58">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59" w:type="pct"/>
                  <w:noWrap w:val="0"/>
                  <w:vAlign w:val="center"/>
                </w:tcPr>
                <w:p w14:paraId="2ABBF000">
                  <w:pPr>
                    <w:adjustRightInd w:val="0"/>
                    <w:snapToGrid w:val="0"/>
                    <w:spacing w:line="240" w:lineRule="auto"/>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396" w:type="pct"/>
                  <w:noWrap w:val="0"/>
                  <w:vAlign w:val="center"/>
                </w:tcPr>
                <w:p w14:paraId="477540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w:t>
                  </w:r>
                </w:p>
              </w:tc>
              <w:tc>
                <w:tcPr>
                  <w:tcW w:w="261" w:type="pct"/>
                  <w:noWrap w:val="0"/>
                  <w:vAlign w:val="center"/>
                </w:tcPr>
                <w:p w14:paraId="54FF44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w:t>
                  </w:r>
                </w:p>
              </w:tc>
              <w:tc>
                <w:tcPr>
                  <w:tcW w:w="238" w:type="pct"/>
                  <w:noWrap w:val="0"/>
                  <w:vAlign w:val="center"/>
                </w:tcPr>
                <w:p w14:paraId="5961B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常温</w:t>
                  </w:r>
                </w:p>
              </w:tc>
              <w:tc>
                <w:tcPr>
                  <w:tcW w:w="392" w:type="pct"/>
                  <w:noWrap w:val="0"/>
                  <w:vAlign w:val="center"/>
                </w:tcPr>
                <w:p w14:paraId="268F4D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w:t>
                  </w:r>
                </w:p>
              </w:tc>
              <w:tc>
                <w:tcPr>
                  <w:tcW w:w="379" w:type="pct"/>
                  <w:noWrap w:val="0"/>
                  <w:vAlign w:val="center"/>
                </w:tcPr>
                <w:p w14:paraId="6F9D20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7.2</w:t>
                  </w:r>
                </w:p>
              </w:tc>
              <w:tc>
                <w:tcPr>
                  <w:tcW w:w="333" w:type="pct"/>
                  <w:noWrap w:val="0"/>
                  <w:vAlign w:val="center"/>
                </w:tcPr>
                <w:p w14:paraId="511FCE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连续溢流</w:t>
                  </w:r>
                </w:p>
              </w:tc>
              <w:tc>
                <w:tcPr>
                  <w:tcW w:w="597" w:type="pct"/>
                  <w:noWrap w:val="0"/>
                  <w:vAlign w:val="center"/>
                </w:tcPr>
                <w:p w14:paraId="3DE246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整槽更换槽液，每月一次</w:t>
                  </w:r>
                </w:p>
              </w:tc>
              <w:tc>
                <w:tcPr>
                  <w:tcW w:w="416" w:type="pct"/>
                  <w:noWrap/>
                  <w:vAlign w:val="center"/>
                </w:tcPr>
                <w:p w14:paraId="769A30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38.4</w:t>
                  </w:r>
                </w:p>
              </w:tc>
              <w:tc>
                <w:tcPr>
                  <w:tcW w:w="351" w:type="pct"/>
                  <w:noWrap w:val="0"/>
                  <w:vAlign w:val="center"/>
                </w:tcPr>
                <w:p w14:paraId="658C57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1735.2</w:t>
                  </w:r>
                </w:p>
              </w:tc>
              <w:tc>
                <w:tcPr>
                  <w:tcW w:w="918" w:type="dxa"/>
                  <w:noWrap w:val="0"/>
                  <w:vAlign w:val="center"/>
                </w:tcPr>
                <w:p w14:paraId="7C40BA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1735.2</w:t>
                  </w:r>
                </w:p>
              </w:tc>
            </w:tr>
            <w:tr w14:paraId="1D99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880" w:type="pct"/>
                  <w:gridSpan w:val="13"/>
                  <w:noWrap w:val="0"/>
                  <w:vAlign w:val="center"/>
                </w:tcPr>
                <w:p w14:paraId="6724F7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合计</w:t>
                  </w:r>
                </w:p>
              </w:tc>
              <w:tc>
                <w:tcPr>
                  <w:tcW w:w="416" w:type="pct"/>
                  <w:noWrap/>
                  <w:vAlign w:val="center"/>
                </w:tcPr>
                <w:p w14:paraId="743F67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351" w:type="pct"/>
                  <w:noWrap w:val="0"/>
                  <w:vAlign w:val="center"/>
                </w:tcPr>
                <w:p w14:paraId="29C45B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8676</w:t>
                  </w:r>
                </w:p>
              </w:tc>
              <w:tc>
                <w:tcPr>
                  <w:tcW w:w="918" w:type="dxa"/>
                  <w:noWrap w:val="0"/>
                  <w:vAlign w:val="center"/>
                </w:tcPr>
                <w:p w14:paraId="35D866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5205.6 </w:t>
                  </w:r>
                </w:p>
              </w:tc>
            </w:tr>
            <w:tr w14:paraId="4D13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000" w:type="pct"/>
                  <w:gridSpan w:val="16"/>
                  <w:noWrap w:val="0"/>
                  <w:vAlign w:val="center"/>
                </w:tcPr>
                <w:p w14:paraId="33F57E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备注：①整槽更换槽液=槽液量×更换频率（槽液更换不考虑</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损耗</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p w14:paraId="3191A8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②预脱脂池、脱脂池整槽更换用水量中含除油剂使用量，无铬钝化池整槽更换用水量中含无铬钝化剂使用量，以上数据统一体现在水平衡图表内容中。</w:t>
                  </w:r>
                </w:p>
              </w:tc>
            </w:tr>
          </w:tbl>
          <w:p w14:paraId="4437FB56">
            <w:pPr>
              <w:pStyle w:val="41"/>
              <w:jc w:val="center"/>
              <w:rPr>
                <w:rFonts w:ascii="黑体" w:hAnsi="黑体" w:eastAsia="黑体"/>
                <w:snapToGrid w:val="0"/>
                <w:color w:val="000000" w:themeColor="text1"/>
                <w:sz w:val="36"/>
                <w:szCs w:val="36"/>
                <w:highlight w:val="none"/>
                <w:vertAlign w:val="baseline"/>
                <w14:textFill>
                  <w14:solidFill>
                    <w14:schemeClr w14:val="tx1"/>
                  </w14:solidFill>
                </w14:textFill>
              </w:rPr>
            </w:pPr>
          </w:p>
        </w:tc>
      </w:tr>
    </w:tbl>
    <w:p w14:paraId="6E5B8F2B">
      <w:pPr>
        <w:pStyle w:val="41"/>
        <w:jc w:val="center"/>
        <w:rPr>
          <w:rFonts w:ascii="黑体" w:hAnsi="黑体" w:eastAsia="黑体"/>
          <w:snapToGrid w:val="0"/>
          <w:color w:val="000000" w:themeColor="text1"/>
          <w:sz w:val="36"/>
          <w:szCs w:val="36"/>
          <w:highlight w:val="none"/>
          <w14:textFill>
            <w14:solidFill>
              <w14:schemeClr w14:val="tx1"/>
            </w14:solidFill>
          </w14:textFill>
        </w:rPr>
        <w:sectPr>
          <w:pgSz w:w="16838" w:h="11906" w:orient="landscape"/>
          <w:pgMar w:top="1531" w:right="1644" w:bottom="1531" w:left="158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
        <w:gridCol w:w="8736"/>
      </w:tblGrid>
      <w:tr w14:paraId="49EB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center"/>
          </w:tcPr>
          <w:p w14:paraId="0AE46452">
            <w:pPr>
              <w:pStyle w:val="41"/>
              <w:adjustRightInd w:val="0"/>
              <w:snapToGrid w:val="0"/>
              <w:spacing w:before="0" w:beforeAutospacing="0" w:after="0" w:afterAutospacing="0"/>
              <w:jc w:val="center"/>
              <w:rPr>
                <w:rFonts w:hint="default" w:ascii="Times New Roman" w:hAnsi="Times New Roman" w:cs="Times New Roman"/>
                <w:color w:val="000000" w:themeColor="text1"/>
                <w:szCs w:val="24"/>
                <w:highlight w:val="none"/>
                <w14:textFill>
                  <w14:solidFill>
                    <w14:schemeClr w14:val="tx1"/>
                  </w14:solidFill>
                </w14:textFill>
              </w:rPr>
            </w:pPr>
          </w:p>
        </w:tc>
        <w:tc>
          <w:tcPr>
            <w:tcW w:w="8485" w:type="dxa"/>
            <w:noWrap w:val="0"/>
            <w:vAlign w:val="top"/>
          </w:tcPr>
          <w:p w14:paraId="3016EB64">
            <w:pPr>
              <w:pStyle w:val="22"/>
              <w:keepNext w:val="0"/>
              <w:keepLines w:val="0"/>
              <w:pageBreakBefore w:val="0"/>
              <w:widowControl w:val="0"/>
              <w:suppressLineNumbers w:val="0"/>
              <w:kinsoku/>
              <w:wordWrap w:val="0"/>
              <w:overflowPunct w:val="0"/>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default" w:cs="Times New Roman"/>
                <w:color w:val="000000" w:themeColor="text1"/>
                <w:sz w:val="24"/>
                <w:szCs w:val="24"/>
                <w:highlight w:val="none"/>
                <w:lang w:val="en-US" w:eastAsia="zh-CN"/>
                <w14:textFill>
                  <w14:solidFill>
                    <w14:schemeClr w14:val="tx1"/>
                  </w14:solidFill>
                </w14:textFill>
              </w:rPr>
              <w:t>从上表计得</w:t>
            </w:r>
            <w:r>
              <w:rPr>
                <w:rFonts w:hint="eastAsia" w:cs="Times New Roman"/>
                <w:color w:val="000000" w:themeColor="text1"/>
                <w:sz w:val="24"/>
                <w:szCs w:val="24"/>
                <w:highlight w:val="none"/>
                <w:lang w:val="en-US" w:eastAsia="zh-CN"/>
                <w14:textFill>
                  <w14:solidFill>
                    <w14:schemeClr w14:val="tx1"/>
                  </w14:solidFill>
                </w14:textFill>
              </w:rPr>
              <w:t>2条</w:t>
            </w:r>
            <w:r>
              <w:rPr>
                <w:rFonts w:hint="default" w:cs="Times New Roman"/>
                <w:color w:val="000000" w:themeColor="text1"/>
                <w:sz w:val="24"/>
                <w:szCs w:val="24"/>
                <w:highlight w:val="none"/>
                <w:lang w:val="en-US" w:eastAsia="zh-CN"/>
                <w14:textFill>
                  <w14:solidFill>
                    <w14:schemeClr w14:val="tx1"/>
                  </w14:solidFill>
                </w14:textFill>
              </w:rPr>
              <w:t>前处理线整槽更换用水和溢流用水为</w:t>
            </w:r>
            <w:r>
              <w:rPr>
                <w:rFonts w:hint="eastAsia" w:cs="Times New Roman"/>
                <w:color w:val="000000" w:themeColor="text1"/>
                <w:sz w:val="24"/>
                <w:szCs w:val="24"/>
                <w:highlight w:val="none"/>
                <w:lang w:val="en-US" w:eastAsia="zh-CN"/>
                <w14:textFill>
                  <w14:solidFill>
                    <w14:schemeClr w14:val="tx1"/>
                  </w14:solidFill>
                </w14:textFill>
              </w:rPr>
              <w:t>（</w:t>
            </w:r>
            <w:r>
              <w:rPr>
                <w:rFonts w:hint="default" w:cs="Times New Roman"/>
                <w:color w:val="000000" w:themeColor="text1"/>
                <w:sz w:val="24"/>
                <w:szCs w:val="24"/>
                <w:highlight w:val="none"/>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20</w:t>
            </w:r>
            <w:r>
              <w:rPr>
                <w:rFonts w:hint="default" w:cs="Times New Roman"/>
                <w:color w:val="000000" w:themeColor="text1"/>
                <w:sz w:val="24"/>
                <w:szCs w:val="24"/>
                <w:highlight w:val="none"/>
                <w:lang w:val="en-US" w:eastAsia="zh-CN"/>
                <w14:textFill>
                  <w14:solidFill>
                    <w14:schemeClr w14:val="tx1"/>
                  </w14:solidFill>
                </w14:textFill>
              </w:rPr>
              <w:t>m</w:t>
            </w:r>
            <w:r>
              <w:rPr>
                <w:rFonts w:hint="default" w:cs="Times New Roman"/>
                <w:color w:val="000000" w:themeColor="text1"/>
                <w:sz w:val="24"/>
                <w:szCs w:val="24"/>
                <w:highlight w:val="none"/>
                <w:vertAlign w:val="superscript"/>
                <w:lang w:val="en-US" w:eastAsia="zh-CN"/>
                <w14:textFill>
                  <w14:solidFill>
                    <w14:schemeClr w14:val="tx1"/>
                  </w14:solidFill>
                </w14:textFill>
              </w:rPr>
              <w:t>3</w:t>
            </w:r>
            <w:r>
              <w:rPr>
                <w:rFonts w:hint="default" w:cs="Times New Roman"/>
                <w:color w:val="000000" w:themeColor="text1"/>
                <w:sz w:val="24"/>
                <w:szCs w:val="24"/>
                <w:highlight w:val="none"/>
                <w:lang w:val="en-US" w:eastAsia="zh-CN"/>
                <w14:textFill>
                  <w14:solidFill>
                    <w14:schemeClr w14:val="tx1"/>
                  </w14:solidFill>
                </w14:textFill>
              </w:rPr>
              <w:t>/a</w:t>
            </w:r>
            <w:r>
              <w:rPr>
                <w:rFonts w:hint="eastAsia" w:cs="Times New Roman"/>
                <w:color w:val="000000" w:themeColor="text1"/>
                <w:sz w:val="24"/>
                <w:szCs w:val="24"/>
                <w:highlight w:val="none"/>
                <w:lang w:val="en-US" w:eastAsia="zh-CN"/>
                <w14:textFill>
                  <w14:solidFill>
                    <w14:schemeClr w14:val="tx1"/>
                  </w14:solidFill>
                </w14:textFill>
              </w:rPr>
              <w:t>+5205.6</w:t>
            </w:r>
            <w:r>
              <w:rPr>
                <w:rFonts w:hint="default" w:cs="Times New Roman"/>
                <w:color w:val="000000" w:themeColor="text1"/>
                <w:sz w:val="24"/>
                <w:szCs w:val="24"/>
                <w:highlight w:val="none"/>
                <w:lang w:val="en-US" w:eastAsia="zh-CN"/>
                <w14:textFill>
                  <w14:solidFill>
                    <w14:schemeClr w14:val="tx1"/>
                  </w14:solidFill>
                </w14:textFill>
              </w:rPr>
              <w:t>m</w:t>
            </w:r>
            <w:r>
              <w:rPr>
                <w:rFonts w:hint="default" w:cs="Times New Roman"/>
                <w:color w:val="000000" w:themeColor="text1"/>
                <w:sz w:val="24"/>
                <w:szCs w:val="24"/>
                <w:highlight w:val="none"/>
                <w:vertAlign w:val="superscript"/>
                <w:lang w:val="en-US" w:eastAsia="zh-CN"/>
                <w14:textFill>
                  <w14:solidFill>
                    <w14:schemeClr w14:val="tx1"/>
                  </w14:solidFill>
                </w14:textFill>
              </w:rPr>
              <w:t>3</w:t>
            </w:r>
            <w:r>
              <w:rPr>
                <w:rFonts w:hint="default" w:cs="Times New Roman"/>
                <w:color w:val="000000" w:themeColor="text1"/>
                <w:sz w:val="24"/>
                <w:szCs w:val="24"/>
                <w:highlight w:val="none"/>
                <w:lang w:val="en-US" w:eastAsia="zh-CN"/>
                <w14:textFill>
                  <w14:solidFill>
                    <w14:schemeClr w14:val="tx1"/>
                  </w14:solidFill>
                </w14:textFill>
              </w:rPr>
              <w:t>/a</w:t>
            </w:r>
            <w:r>
              <w:rPr>
                <w:rFonts w:hint="eastAsia" w:cs="Times New Roman"/>
                <w:color w:val="000000" w:themeColor="text1"/>
                <w:sz w:val="24"/>
                <w:szCs w:val="24"/>
                <w:highlight w:val="none"/>
                <w:lang w:val="en-US" w:eastAsia="zh-CN"/>
                <w14:textFill>
                  <w14:solidFill>
                    <w14:schemeClr w14:val="tx1"/>
                  </w14:solidFill>
                </w14:textFill>
              </w:rPr>
              <w:t>）×2=11051.2</w:t>
            </w:r>
            <w:r>
              <w:rPr>
                <w:rFonts w:hint="default" w:cs="Times New Roman"/>
                <w:color w:val="000000" w:themeColor="text1"/>
                <w:sz w:val="24"/>
                <w:szCs w:val="24"/>
                <w:highlight w:val="none"/>
                <w:lang w:val="en-US" w:eastAsia="zh-CN"/>
                <w14:textFill>
                  <w14:solidFill>
                    <w14:schemeClr w14:val="tx1"/>
                  </w14:solidFill>
                </w14:textFill>
              </w:rPr>
              <w:t>m</w:t>
            </w:r>
            <w:r>
              <w:rPr>
                <w:rFonts w:hint="default" w:cs="Times New Roman"/>
                <w:color w:val="000000" w:themeColor="text1"/>
                <w:sz w:val="24"/>
                <w:szCs w:val="24"/>
                <w:highlight w:val="none"/>
                <w:vertAlign w:val="superscript"/>
                <w:lang w:val="en-US" w:eastAsia="zh-CN"/>
                <w14:textFill>
                  <w14:solidFill>
                    <w14:schemeClr w14:val="tx1"/>
                  </w14:solidFill>
                </w14:textFill>
              </w:rPr>
              <w:t>3</w:t>
            </w:r>
            <w:r>
              <w:rPr>
                <w:rFonts w:hint="default" w:cs="Times New Roman"/>
                <w:color w:val="000000" w:themeColor="text1"/>
                <w:sz w:val="24"/>
                <w:szCs w:val="24"/>
                <w:highlight w:val="none"/>
                <w:lang w:val="en-US" w:eastAsia="zh-CN"/>
                <w14:textFill>
                  <w14:solidFill>
                    <w14:schemeClr w14:val="tx1"/>
                  </w14:solidFill>
                </w14:textFill>
              </w:rPr>
              <w:t>/a。</w:t>
            </w:r>
          </w:p>
          <w:p w14:paraId="0B2EAB3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用水量一览表</w:t>
            </w:r>
          </w:p>
          <w:tbl>
            <w:tblPr>
              <w:tblStyle w:val="4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03"/>
              <w:gridCol w:w="1164"/>
              <w:gridCol w:w="5740"/>
            </w:tblGrid>
            <w:tr w14:paraId="38B04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2" w:type="pct"/>
                  <w:noWrap w:val="0"/>
                  <w:vAlign w:val="center"/>
                </w:tcPr>
                <w:p w14:paraId="214FA46B">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用水情形</w:t>
                  </w:r>
                </w:p>
              </w:tc>
              <w:tc>
                <w:tcPr>
                  <w:tcW w:w="684" w:type="pct"/>
                  <w:noWrap w:val="0"/>
                  <w:vAlign w:val="center"/>
                </w:tcPr>
                <w:p w14:paraId="23CF5F64">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用量m</w:t>
                  </w:r>
                  <w:r>
                    <w:rPr>
                      <w:rFonts w:hint="default" w:ascii="Times New Roman" w:hAnsi="Times New Roman" w:cs="Times New Roman"/>
                      <w:b/>
                      <w:bCs/>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2"/>
                      <w:sz w:val="21"/>
                      <w:szCs w:val="21"/>
                      <w:highlight w:val="none"/>
                      <w14:textFill>
                        <w14:solidFill>
                          <w14:schemeClr w14:val="tx1"/>
                        </w14:solidFill>
                      </w14:textFill>
                    </w:rPr>
                    <w:t>/a</w:t>
                  </w:r>
                </w:p>
              </w:tc>
              <w:tc>
                <w:tcPr>
                  <w:tcW w:w="3373" w:type="pct"/>
                  <w:noWrap w:val="0"/>
                  <w:vAlign w:val="center"/>
                </w:tcPr>
                <w:p w14:paraId="21D95083">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说明</w:t>
                  </w:r>
                </w:p>
              </w:tc>
            </w:tr>
            <w:tr w14:paraId="25F93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2" w:type="pct"/>
                  <w:noWrap w:val="0"/>
                  <w:vAlign w:val="center"/>
                </w:tcPr>
                <w:p w14:paraId="502AFAE8">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leftChars="0" w:right="0" w:rightChars="0"/>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生活用水</w:t>
                  </w:r>
                </w:p>
              </w:tc>
              <w:tc>
                <w:tcPr>
                  <w:tcW w:w="1164" w:type="dxa"/>
                  <w:noWrap w:val="0"/>
                  <w:vAlign w:val="center"/>
                </w:tcPr>
                <w:p w14:paraId="60496CEE">
                  <w:pPr>
                    <w:keepNext w:val="0"/>
                    <w:keepLines w:val="0"/>
                    <w:widowControl/>
                    <w:suppressLineNumbers w:val="0"/>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2300</w:t>
                  </w:r>
                </w:p>
              </w:tc>
              <w:tc>
                <w:tcPr>
                  <w:tcW w:w="3373" w:type="pct"/>
                  <w:noWrap w:val="0"/>
                  <w:vAlign w:val="center"/>
                </w:tcPr>
                <w:p w14:paraId="6AC1A868">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共160</w:t>
                  </w:r>
                  <w:r>
                    <w:rPr>
                      <w:rFonts w:hint="default" w:ascii="Times New Roman" w:hAnsi="Times New Roman" w:cs="Times New Roman"/>
                      <w:color w:val="000000" w:themeColor="text1"/>
                      <w:sz w:val="21"/>
                      <w:szCs w:val="21"/>
                      <w:highlight w:val="none"/>
                      <w14:textFill>
                        <w14:solidFill>
                          <w14:schemeClr w14:val="tx1"/>
                        </w14:solidFill>
                      </w14:textFill>
                    </w:rPr>
                    <w:t>人，</w:t>
                  </w:r>
                  <w:r>
                    <w:rPr>
                      <w:rFonts w:hint="eastAsia" w:cs="Times New Roman"/>
                      <w:color w:val="000000" w:themeColor="text1"/>
                      <w:sz w:val="21"/>
                      <w:szCs w:val="21"/>
                      <w:highlight w:val="none"/>
                      <w:lang w:val="en-US" w:eastAsia="zh-CN"/>
                      <w14:textFill>
                        <w14:solidFill>
                          <w14:schemeClr w14:val="tx1"/>
                        </w14:solidFill>
                      </w14:textFill>
                    </w:rPr>
                    <w:t>其中140人住宿</w:t>
                  </w:r>
                </w:p>
              </w:tc>
            </w:tr>
            <w:tr w14:paraId="5B099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2" w:type="pct"/>
                  <w:noWrap w:val="0"/>
                  <w:vAlign w:val="center"/>
                </w:tcPr>
                <w:p w14:paraId="47E46CB7">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前处理</w:t>
                  </w:r>
                  <w:r>
                    <w:rPr>
                      <w:rFonts w:hint="default" w:ascii="Times New Roman" w:hAnsi="Times New Roman" w:cs="Times New Roman"/>
                      <w:color w:val="000000" w:themeColor="text1"/>
                      <w:sz w:val="21"/>
                      <w:szCs w:val="21"/>
                      <w:highlight w:val="none"/>
                      <w14:textFill>
                        <w14:solidFill>
                          <w14:schemeClr w14:val="tx1"/>
                        </w14:solidFill>
                      </w14:textFill>
                    </w:rPr>
                    <w:t>用水</w:t>
                  </w:r>
                </w:p>
              </w:tc>
              <w:tc>
                <w:tcPr>
                  <w:tcW w:w="1164" w:type="dxa"/>
                  <w:noWrap w:val="0"/>
                  <w:vAlign w:val="center"/>
                </w:tcPr>
                <w:p w14:paraId="1A711505">
                  <w:pPr>
                    <w:keepNext w:val="0"/>
                    <w:keepLines w:val="0"/>
                    <w:widowControl/>
                    <w:suppressLineNumbers w:val="0"/>
                    <w:jc w:val="center"/>
                    <w:textAlignment w:val="center"/>
                    <w:rPr>
                      <w:rFonts w:hint="default"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19895.1</w:t>
                  </w:r>
                  <w:r>
                    <w:rPr>
                      <w:rFonts w:hint="eastAsia" w:cs="Times New Roman"/>
                      <w:i w:val="0"/>
                      <w:iCs w:val="0"/>
                      <w:color w:val="000000" w:themeColor="text1"/>
                      <w:kern w:val="0"/>
                      <w:sz w:val="21"/>
                      <w:szCs w:val="21"/>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3373" w:type="pct"/>
                  <w:noWrap w:val="0"/>
                  <w:vAlign w:val="center"/>
                </w:tcPr>
                <w:p w14:paraId="4821FA93">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生产用水量（新鲜用水）=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前处理线用水</w:t>
                  </w:r>
                  <w:r>
                    <w:rPr>
                      <w:rFonts w:hint="eastAsia" w:cs="Times New Roman"/>
                      <w:color w:val="000000" w:themeColor="text1"/>
                      <w:sz w:val="21"/>
                      <w:szCs w:val="21"/>
                      <w:highlight w:val="none"/>
                      <w:lang w:val="en-US" w:eastAsia="zh-CN"/>
                      <w14:textFill>
                        <w14:solidFill>
                          <w14:schemeClr w14:val="tx1"/>
                        </w14:solidFill>
                      </w14:textFill>
                    </w:rPr>
                    <w:t>量-（除油剂年用量+无铬钝化剂年用量）=19916.128-（17.824+3.201）=19895.11</w:t>
                  </w:r>
                </w:p>
              </w:tc>
            </w:tr>
            <w:tr w14:paraId="302A1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2" w:type="pct"/>
                  <w:noWrap w:val="0"/>
                  <w:vAlign w:val="center"/>
                </w:tcPr>
                <w:p w14:paraId="2B100521">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水帘柜用水</w:t>
                  </w:r>
                </w:p>
              </w:tc>
              <w:tc>
                <w:tcPr>
                  <w:tcW w:w="1164" w:type="dxa"/>
                  <w:noWrap w:val="0"/>
                  <w:vAlign w:val="center"/>
                </w:tcPr>
                <w:p w14:paraId="4360B957">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5434.704</w:t>
                  </w:r>
                </w:p>
              </w:tc>
              <w:tc>
                <w:tcPr>
                  <w:tcW w:w="3373" w:type="pct"/>
                  <w:noWrap w:val="0"/>
                  <w:vAlign w:val="center"/>
                </w:tcPr>
                <w:p w14:paraId="21AF39C0">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3ECAA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2" w:type="pct"/>
                  <w:noWrap w:val="0"/>
                  <w:vAlign w:val="center"/>
                </w:tcPr>
                <w:p w14:paraId="29CDCEC2">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喷淋塔用水</w:t>
                  </w:r>
                </w:p>
              </w:tc>
              <w:tc>
                <w:tcPr>
                  <w:tcW w:w="1164" w:type="dxa"/>
                  <w:noWrap w:val="0"/>
                  <w:vAlign w:val="center"/>
                </w:tcPr>
                <w:p w14:paraId="53A82A35">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1190.4</w:t>
                  </w:r>
                </w:p>
              </w:tc>
              <w:tc>
                <w:tcPr>
                  <w:tcW w:w="3373" w:type="pct"/>
                  <w:noWrap w:val="0"/>
                  <w:vAlign w:val="center"/>
                </w:tcPr>
                <w:p w14:paraId="42D0C206">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01965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2" w:type="pct"/>
                  <w:noWrap w:val="0"/>
                  <w:vAlign w:val="center"/>
                </w:tcPr>
                <w:p w14:paraId="300A31D8">
                  <w:pPr>
                    <w:keepNext w:val="0"/>
                    <w:keepLines w:val="0"/>
                    <w:widowControl/>
                    <w:suppressLineNumbers w:val="0"/>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生产用水合计</w:t>
                  </w:r>
                </w:p>
              </w:tc>
              <w:tc>
                <w:tcPr>
                  <w:tcW w:w="1164" w:type="dxa"/>
                  <w:noWrap w:val="0"/>
                  <w:vAlign w:val="center"/>
                </w:tcPr>
                <w:p w14:paraId="1966988D">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26520.2</w:t>
                  </w:r>
                  <w:r>
                    <w:rPr>
                      <w:rFonts w:hint="eastAsia" w:cs="Times New Roman"/>
                      <w:i w:val="0"/>
                      <w:iCs w:val="0"/>
                      <w:color w:val="000000" w:themeColor="text1"/>
                      <w:kern w:val="0"/>
                      <w:sz w:val="21"/>
                      <w:szCs w:val="21"/>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3373" w:type="pct"/>
                  <w:noWrap w:val="0"/>
                  <w:vAlign w:val="center"/>
                </w:tcPr>
                <w:p w14:paraId="1F2F7557">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t>
                  </w:r>
                </w:p>
              </w:tc>
            </w:tr>
            <w:tr w14:paraId="625F4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2" w:type="pct"/>
                  <w:noWrap w:val="0"/>
                  <w:vAlign w:val="center"/>
                </w:tcPr>
                <w:p w14:paraId="10A9A7A1">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总用水</w:t>
                  </w:r>
                </w:p>
              </w:tc>
              <w:tc>
                <w:tcPr>
                  <w:tcW w:w="1164" w:type="dxa"/>
                  <w:noWrap w:val="0"/>
                  <w:vAlign w:val="center"/>
                </w:tcPr>
                <w:p w14:paraId="5F54FB2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28820.2</w:t>
                  </w:r>
                  <w:r>
                    <w:rPr>
                      <w:rFonts w:hint="eastAsia" w:cs="Times New Roman"/>
                      <w:i w:val="0"/>
                      <w:iCs w:val="0"/>
                      <w:color w:val="000000" w:themeColor="text1"/>
                      <w:kern w:val="0"/>
                      <w:sz w:val="21"/>
                      <w:szCs w:val="21"/>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3373" w:type="pct"/>
                  <w:noWrap w:val="0"/>
                  <w:vAlign w:val="center"/>
                </w:tcPr>
                <w:p w14:paraId="6B82A54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bl>
          <w:p w14:paraId="08E701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p>
          <w:p w14:paraId="2BD2817F">
            <w:pPr>
              <w:pStyle w:val="11"/>
              <w:widowControl/>
              <w:numPr>
                <w:ilvl w:val="4"/>
                <w:numId w:val="0"/>
              </w:numPr>
              <w:suppressLineNumbers w:val="0"/>
              <w:spacing w:before="0" w:beforeAutospacing="0" w:after="0" w:afterAutospacing="0" w:line="360" w:lineRule="auto"/>
              <w:ind w:left="-960" w:right="0" w:firstLine="144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（3）排水</w:t>
            </w:r>
          </w:p>
          <w:p w14:paraId="74A4F4D5">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本项目实行雨污分流制的排水体制。</w:t>
            </w:r>
          </w:p>
          <w:p w14:paraId="5E59BF20">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雨水：雨水经厂区雨水管网收集后，排入市政雨水管网；</w:t>
            </w:r>
          </w:p>
          <w:p w14:paraId="76A3EE66">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生活污水：本项目生活污水排放量为</w:t>
            </w:r>
            <w:r>
              <w:rPr>
                <w:rFonts w:hint="eastAsia" w:cs="Times New Roman"/>
                <w:color w:val="000000" w:themeColor="text1"/>
                <w:sz w:val="24"/>
                <w:szCs w:val="24"/>
                <w:highlight w:val="none"/>
                <w:lang w:val="en-US" w:eastAsia="zh-CN"/>
                <w14:textFill>
                  <w14:solidFill>
                    <w14:schemeClr w14:val="tx1"/>
                  </w14:solidFill>
                </w14:textFill>
              </w:rPr>
              <w:t>2070</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/a，经三级化粪池</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隔油隔渣池</w:t>
            </w:r>
            <w:r>
              <w:rPr>
                <w:rFonts w:hint="default" w:ascii="Times New Roman" w:hAnsi="Times New Roman" w:cs="Times New Roman"/>
                <w:color w:val="000000" w:themeColor="text1"/>
                <w:sz w:val="24"/>
                <w:szCs w:val="24"/>
                <w:highlight w:val="none"/>
                <w14:textFill>
                  <w14:solidFill>
                    <w14:schemeClr w14:val="tx1"/>
                  </w14:solidFill>
                </w14:textFill>
              </w:rPr>
              <w:t>预处理后，排入园区污水处理厂进一步处理，达标后排放至武江；</w:t>
            </w:r>
          </w:p>
          <w:p w14:paraId="1B9A1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生产废水：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包括水帘柜废水、喷淋塔废水和前处理废水。</w:t>
            </w:r>
          </w:p>
          <w:p w14:paraId="2C537A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A.水帘柜废水：</w:t>
            </w:r>
            <w:r>
              <w:rPr>
                <w:color w:val="000000" w:themeColor="text1"/>
                <w:sz w:val="24"/>
                <w:szCs w:val="24"/>
                <w14:textFill>
                  <w14:solidFill>
                    <w14:schemeClr w14:val="tx1"/>
                  </w14:solidFill>
                </w14:textFill>
              </w:rPr>
              <w:t>喷漆房内设有水帘</w:t>
            </w:r>
            <w:r>
              <w:rPr>
                <w:rFonts w:hint="eastAsia"/>
                <w:color w:val="000000" w:themeColor="text1"/>
                <w:sz w:val="24"/>
                <w:szCs w:val="24"/>
                <w:lang w:val="en-US" w:eastAsia="zh-CN"/>
                <w14:textFill>
                  <w14:solidFill>
                    <w14:schemeClr w14:val="tx1"/>
                  </w14:solidFill>
                </w14:textFill>
              </w:rPr>
              <w:t>柜</w:t>
            </w:r>
            <w:r>
              <w:rPr>
                <w:color w:val="000000" w:themeColor="text1"/>
                <w:sz w:val="24"/>
                <w:szCs w:val="24"/>
                <w14:textFill>
                  <w14:solidFill>
                    <w14:schemeClr w14:val="tx1"/>
                  </w14:solidFill>
                </w14:textFill>
              </w:rPr>
              <w:t>的循环水池，总有效容积为</w:t>
            </w:r>
            <w:r>
              <w:rPr>
                <w:rFonts w:hint="eastAsia"/>
                <w:color w:val="000000" w:themeColor="text1"/>
                <w:sz w:val="24"/>
                <w:szCs w:val="24"/>
                <w:lang w:val="en-US" w:eastAsia="zh-CN"/>
                <w14:textFill>
                  <w14:solidFill>
                    <w14:schemeClr w14:val="tx1"/>
                  </w14:solidFill>
                </w14:textFill>
              </w:rPr>
              <w:t>16.2</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，每</w:t>
            </w:r>
            <w:r>
              <w:rPr>
                <w:rFonts w:hint="eastAsia"/>
                <w:color w:val="000000" w:themeColor="text1"/>
                <w:sz w:val="24"/>
                <w:szCs w:val="24"/>
                <w:lang w:eastAsia="zh-CN"/>
                <w14:textFill>
                  <w14:solidFill>
                    <w14:schemeClr w14:val="tx1"/>
                  </w14:solidFill>
                </w14:textFill>
              </w:rPr>
              <w:t>月</w:t>
            </w:r>
            <w:r>
              <w:rPr>
                <w:color w:val="000000" w:themeColor="text1"/>
                <w:sz w:val="24"/>
                <w:szCs w:val="24"/>
                <w14:textFill>
                  <w14:solidFill>
                    <w14:schemeClr w14:val="tx1"/>
                  </w14:solidFill>
                </w14:textFill>
              </w:rPr>
              <w:t>更换一次，对应更换补充用水量为</w:t>
            </w:r>
            <w:r>
              <w:rPr>
                <w:rFonts w:hint="eastAsia"/>
                <w:color w:val="000000" w:themeColor="text1"/>
                <w:sz w:val="24"/>
                <w:szCs w:val="24"/>
                <w:lang w:val="en-US" w:eastAsia="zh-CN"/>
                <w14:textFill>
                  <w14:solidFill>
                    <w14:schemeClr w14:val="tx1"/>
                  </w14:solidFill>
                </w14:textFill>
              </w:rPr>
              <w:t>16.2</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12</w:t>
            </w:r>
            <w:r>
              <w:rPr>
                <w:color w:val="000000" w:themeColor="text1"/>
                <w:sz w:val="24"/>
                <w:szCs w:val="24"/>
                <w14:textFill>
                  <w14:solidFill>
                    <w14:schemeClr w14:val="tx1"/>
                  </w14:solidFill>
                </w14:textFill>
              </w:rPr>
              <w:t>次/年=</w:t>
            </w:r>
            <w:r>
              <w:rPr>
                <w:rFonts w:hint="eastAsia"/>
                <w:color w:val="000000" w:themeColor="text1"/>
                <w:sz w:val="24"/>
                <w:szCs w:val="24"/>
                <w:lang w:val="en-US" w:eastAsia="zh-CN"/>
                <w14:textFill>
                  <w14:solidFill>
                    <w14:schemeClr w14:val="tx1"/>
                  </w14:solidFill>
                </w14:textFill>
              </w:rPr>
              <w:t>194.4</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/a，更换后的废水</w:t>
            </w:r>
            <w:r>
              <w:rPr>
                <w:rFonts w:hint="eastAsia"/>
                <w:color w:val="000000" w:themeColor="text1"/>
                <w:sz w:val="24"/>
                <w:szCs w:val="24"/>
                <w:lang w:val="en-US" w:eastAsia="zh-CN"/>
                <w14:textFill>
                  <w14:solidFill>
                    <w14:schemeClr w14:val="tx1"/>
                  </w14:solidFill>
                </w14:textFill>
              </w:rPr>
              <w:t>交由有危险废物处置资质单位处置</w:t>
            </w:r>
            <w:r>
              <w:rPr>
                <w:color w:val="000000" w:themeColor="text1"/>
                <w:sz w:val="24"/>
                <w:szCs w:val="24"/>
                <w14:textFill>
                  <w14:solidFill>
                    <w14:schemeClr w14:val="tx1"/>
                  </w14:solidFill>
                </w14:textFill>
              </w:rPr>
              <w:t>；</w:t>
            </w:r>
          </w:p>
          <w:p w14:paraId="3A66B74D">
            <w:pPr>
              <w:keepNext w:val="0"/>
              <w:keepLines w:val="0"/>
              <w:suppressLineNumbers w:val="0"/>
              <w:adjustRightInd w:val="0"/>
              <w:spacing w:before="0" w:beforeAutospacing="0" w:after="0" w:afterAutospacing="0" w:line="360" w:lineRule="auto"/>
              <w:ind w:left="0" w:right="0" w:firstLine="482" w:firstLineChars="200"/>
              <w:rPr>
                <w:color w:val="000000" w:themeColor="text1"/>
                <w:sz w:val="24"/>
                <w:szCs w:val="24"/>
                <w:highlight w:val="none"/>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B.喷淋塔废水：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本项目废气治理设施设置有</w:t>
            </w:r>
            <w:r>
              <w:rPr>
                <w:rFonts w:hint="eastAsia"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台</w:t>
            </w:r>
            <w:r>
              <w:rPr>
                <w:rFonts w:ascii="Times New Roman" w:hAnsi="Times New Roman" w:cs="Times New Roman"/>
                <w:color w:val="000000" w:themeColor="text1"/>
                <w:sz w:val="24"/>
                <w:szCs w:val="24"/>
                <w:highlight w:val="none"/>
                <w14:textFill>
                  <w14:solidFill>
                    <w14:schemeClr w14:val="tx1"/>
                  </w14:solidFill>
                </w14:textFill>
              </w:rPr>
              <w:t>喷淋塔</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喷淋塔循环水吸附漆雾后污染物浓度会增大，需定期更换，预计每周更换1次，一个月更换4次，每次更换量为循环水箱容积，约0.7t，则喷淋塔循环水更换量为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1台×</w:t>
            </w:r>
            <w:r>
              <w:rPr>
                <w:rFonts w:ascii="Times New Roman" w:hAnsi="Times New Roman" w:cs="Times New Roman"/>
                <w:color w:val="000000" w:themeColor="text1"/>
                <w:sz w:val="24"/>
                <w:szCs w:val="24"/>
                <w:highlight w:val="none"/>
                <w14:textFill>
                  <w14:solidFill>
                    <w14:schemeClr w14:val="tx1"/>
                  </w14:solidFill>
                </w14:textFill>
              </w:rPr>
              <w:t>0.7t×4</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8次/年</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33.6</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/a</w:t>
            </w:r>
            <w:r>
              <w:rPr>
                <w:color w:val="000000" w:themeColor="text1"/>
                <w:sz w:val="24"/>
                <w:szCs w:val="24"/>
                <w:highlight w:val="none"/>
                <w14:textFill>
                  <w14:solidFill>
                    <w14:schemeClr w14:val="tx1"/>
                  </w14:solidFill>
                </w14:textFill>
              </w:rPr>
              <w:t>，更换的废水</w:t>
            </w:r>
            <w:r>
              <w:rPr>
                <w:rFonts w:hint="eastAsia"/>
                <w:color w:val="000000" w:themeColor="text1"/>
                <w:sz w:val="24"/>
                <w:szCs w:val="24"/>
                <w:lang w:val="en-US" w:eastAsia="zh-CN"/>
                <w14:textFill>
                  <w14:solidFill>
                    <w14:schemeClr w14:val="tx1"/>
                  </w14:solidFill>
                </w14:textFill>
              </w:rPr>
              <w:t>交由有危险废物处置资质单位处置</w:t>
            </w:r>
            <w:r>
              <w:rPr>
                <w:color w:val="000000" w:themeColor="text1"/>
                <w:sz w:val="24"/>
                <w:szCs w:val="24"/>
                <w:highlight w:val="none"/>
                <w14:textFill>
                  <w14:solidFill>
                    <w14:schemeClr w14:val="tx1"/>
                  </w14:solidFill>
                </w14:textFill>
              </w:rPr>
              <w:t>。</w:t>
            </w:r>
          </w:p>
          <w:p w14:paraId="6FC7D009">
            <w:pPr>
              <w:keepNext w:val="0"/>
              <w:keepLines w:val="0"/>
              <w:suppressLineNumbers w:val="0"/>
              <w:adjustRightInd w:val="0"/>
              <w:spacing w:before="0" w:beforeAutospacing="0" w:after="0" w:afterAutospacing="0" w:line="360" w:lineRule="auto"/>
              <w:ind w:left="0" w:right="0" w:firstLine="482"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C.前处理废水：</w:t>
            </w:r>
            <w:r>
              <w:rPr>
                <w:rFonts w:hint="eastAsia"/>
                <w:color w:val="000000" w:themeColor="text1"/>
                <w:sz w:val="24"/>
                <w:szCs w:val="24"/>
                <w:highlight w:val="none"/>
                <w:lang w:val="en-US" w:eastAsia="zh-CN"/>
                <w14:textFill>
                  <w14:solidFill>
                    <w14:schemeClr w14:val="tx1"/>
                  </w14:solidFill>
                </w14:textFill>
              </w:rPr>
              <w:t>由前文计算可知，前处理废水</w:t>
            </w:r>
            <w:r>
              <w:rPr>
                <w:rFonts w:hint="default" w:ascii="Times New Roman" w:hAnsi="Times New Roman" w:cs="Times New Roman"/>
                <w:color w:val="000000" w:themeColor="text1"/>
                <w:sz w:val="24"/>
                <w:szCs w:val="24"/>
                <w:highlight w:val="none"/>
                <w14:textFill>
                  <w14:solidFill>
                    <w14:schemeClr w14:val="tx1"/>
                  </w14:solidFill>
                </w14:textFill>
              </w:rPr>
              <w:t>生产废水排放量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合计</w:t>
            </w:r>
            <w:r>
              <w:rPr>
                <w:rFonts w:hint="default" w:ascii="Times New Roman" w:hAnsi="Times New Roman" w:cs="Times New Roman"/>
                <w:color w:val="000000" w:themeColor="text1"/>
                <w:sz w:val="24"/>
                <w:szCs w:val="24"/>
                <w:highlight w:val="none"/>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10010.08</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/a，折算为</w:t>
            </w:r>
            <w:r>
              <w:rPr>
                <w:rFonts w:hint="eastAsia" w:cs="Times New Roman"/>
                <w:color w:val="000000" w:themeColor="text1"/>
                <w:sz w:val="24"/>
                <w:szCs w:val="24"/>
                <w:highlight w:val="none"/>
                <w:lang w:val="en-US" w:eastAsia="zh-CN"/>
                <w14:textFill>
                  <w14:solidFill>
                    <w14:schemeClr w14:val="tx1"/>
                  </w14:solidFill>
                </w14:textFill>
              </w:rPr>
              <w:t>41.54</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w:t>
            </w:r>
          </w:p>
          <w:p w14:paraId="49CBB412">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生产废水排放量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合计</w:t>
            </w:r>
            <w:r>
              <w:rPr>
                <w:rFonts w:hint="default" w:ascii="Times New Roman" w:hAnsi="Times New Roman" w:cs="Times New Roman"/>
                <w:color w:val="000000" w:themeColor="text1"/>
                <w:sz w:val="24"/>
                <w:szCs w:val="24"/>
                <w:highlight w:val="none"/>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10010.08</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/a，折算为</w:t>
            </w:r>
            <w:r>
              <w:rPr>
                <w:rFonts w:hint="eastAsia" w:cs="Times New Roman"/>
                <w:color w:val="000000" w:themeColor="text1"/>
                <w:sz w:val="24"/>
                <w:szCs w:val="24"/>
                <w:highlight w:val="none"/>
                <w:lang w:val="en-US" w:eastAsia="zh-CN"/>
                <w14:textFill>
                  <w14:solidFill>
                    <w14:schemeClr w14:val="tx1"/>
                  </w14:solidFill>
                </w14:textFill>
              </w:rPr>
              <w:t>41.54</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/d。经自建污水处理站（工艺为“</w:t>
            </w:r>
            <w:r>
              <w:rPr>
                <w:rFonts w:hint="eastAsia" w:cs="Times New Roman"/>
                <w:color w:val="000000" w:themeColor="text1"/>
                <w:sz w:val="24"/>
                <w:szCs w:val="24"/>
                <w:highlight w:val="none"/>
                <w:lang w:eastAsia="zh-CN"/>
                <w14:textFill>
                  <w14:solidFill>
                    <w14:schemeClr w14:val="tx1"/>
                  </w14:solidFill>
                </w14:textFill>
              </w:rPr>
              <w:t>中和调节+混凝沉淀+气浮+化学除氟</w:t>
            </w:r>
            <w:r>
              <w:rPr>
                <w:rFonts w:hint="default" w:ascii="Times New Roman" w:hAnsi="Times New Roman" w:cs="Times New Roman"/>
                <w:color w:val="000000" w:themeColor="text1"/>
                <w:sz w:val="24"/>
                <w:szCs w:val="24"/>
                <w:highlight w:val="none"/>
                <w14:textFill>
                  <w14:solidFill>
                    <w14:schemeClr w14:val="tx1"/>
                  </w14:solidFill>
                </w14:textFill>
              </w:rPr>
              <w:t>”）处理后，排入园区污水处理厂进一步处理，处理达标后排放至武江。</w:t>
            </w:r>
          </w:p>
          <w:p w14:paraId="2999C421">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排水量一览表</w:t>
            </w:r>
          </w:p>
          <w:tbl>
            <w:tblPr>
              <w:tblStyle w:val="4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41"/>
              <w:gridCol w:w="1512"/>
              <w:gridCol w:w="1161"/>
              <w:gridCol w:w="4196"/>
            </w:tblGrid>
            <w:tr w14:paraId="02C08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5101E15D">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排水情形</w:t>
                  </w:r>
                </w:p>
              </w:tc>
              <w:tc>
                <w:tcPr>
                  <w:tcW w:w="888" w:type="pct"/>
                  <w:noWrap w:val="0"/>
                  <w:vAlign w:val="center"/>
                </w:tcPr>
                <w:p w14:paraId="6CBE9D8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排水定额</w:t>
                  </w:r>
                </w:p>
              </w:tc>
              <w:tc>
                <w:tcPr>
                  <w:tcW w:w="682" w:type="pct"/>
                  <w:noWrap w:val="0"/>
                  <w:vAlign w:val="center"/>
                </w:tcPr>
                <w:p w14:paraId="6F84FE7A">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排水量t/a</w:t>
                  </w:r>
                </w:p>
              </w:tc>
              <w:tc>
                <w:tcPr>
                  <w:tcW w:w="2464" w:type="pct"/>
                  <w:noWrap w:val="0"/>
                  <w:vAlign w:val="center"/>
                </w:tcPr>
                <w:p w14:paraId="23F2FC39">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说明</w:t>
                  </w:r>
                </w:p>
              </w:tc>
            </w:tr>
            <w:tr w14:paraId="3E5EE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58AF625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生活污水</w:t>
                  </w:r>
                </w:p>
              </w:tc>
              <w:tc>
                <w:tcPr>
                  <w:tcW w:w="888" w:type="pct"/>
                  <w:noWrap w:val="0"/>
                  <w:vAlign w:val="center"/>
                </w:tcPr>
                <w:p w14:paraId="7882A92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按生活用水量的90%</w:t>
                  </w:r>
                </w:p>
              </w:tc>
              <w:tc>
                <w:tcPr>
                  <w:tcW w:w="1161" w:type="dxa"/>
                  <w:noWrap w:val="0"/>
                  <w:vAlign w:val="center"/>
                </w:tcPr>
                <w:p w14:paraId="286832C5">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2070</w:t>
                  </w:r>
                </w:p>
              </w:tc>
              <w:tc>
                <w:tcPr>
                  <w:tcW w:w="2464" w:type="pct"/>
                  <w:noWrap w:val="0"/>
                  <w:vAlign w:val="center"/>
                </w:tcPr>
                <w:p w14:paraId="108AE515">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三级化粪池、隔油隔渣池处理</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园区污水处理厂</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武江</w:t>
                  </w:r>
                </w:p>
              </w:tc>
            </w:tr>
            <w:tr w14:paraId="719BC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7195762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前处理</w:t>
                  </w:r>
                  <w:r>
                    <w:rPr>
                      <w:rFonts w:hint="default" w:ascii="Times New Roman" w:hAnsi="Times New Roman" w:cs="Times New Roman"/>
                      <w:color w:val="000000" w:themeColor="text1"/>
                      <w:sz w:val="21"/>
                      <w:szCs w:val="21"/>
                      <w:highlight w:val="none"/>
                      <w14:textFill>
                        <w14:solidFill>
                          <w14:schemeClr w14:val="tx1"/>
                        </w14:solidFill>
                      </w14:textFill>
                    </w:rPr>
                    <w:t>废水</w:t>
                  </w:r>
                </w:p>
              </w:tc>
              <w:tc>
                <w:tcPr>
                  <w:tcW w:w="888" w:type="pct"/>
                  <w:noWrap w:val="0"/>
                  <w:vAlign w:val="center"/>
                </w:tcPr>
                <w:p w14:paraId="6D81017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1161" w:type="dxa"/>
                  <w:noWrap w:val="0"/>
                  <w:vAlign w:val="center"/>
                </w:tcPr>
                <w:p w14:paraId="6FB38B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10010.08</w:t>
                  </w:r>
                </w:p>
              </w:tc>
              <w:tc>
                <w:tcPr>
                  <w:tcW w:w="2464" w:type="pct"/>
                  <w:noWrap w:val="0"/>
                  <w:vAlign w:val="center"/>
                </w:tcPr>
                <w:p w14:paraId="7CFB4DAD">
                  <w:pPr>
                    <w:keepNext w:val="0"/>
                    <w:keepLines w:val="0"/>
                    <w:widowControl/>
                    <w:suppressLineNumbers w:val="0"/>
                    <w:jc w:val="left"/>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自建污水处理站预处理</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园区污水处理厂</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武江</w:t>
                  </w:r>
                </w:p>
              </w:tc>
            </w:tr>
            <w:tr w14:paraId="68411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603400FE">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水帘柜废水</w:t>
                  </w:r>
                </w:p>
              </w:tc>
              <w:tc>
                <w:tcPr>
                  <w:tcW w:w="888" w:type="pct"/>
                  <w:noWrap w:val="0"/>
                  <w:vAlign w:val="center"/>
                </w:tcPr>
                <w:p w14:paraId="2021AD37">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1161" w:type="dxa"/>
                  <w:noWrap w:val="0"/>
                  <w:vAlign w:val="center"/>
                </w:tcPr>
                <w:p w14:paraId="1C632E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194.4</w:t>
                  </w:r>
                </w:p>
              </w:tc>
              <w:tc>
                <w:tcPr>
                  <w:tcW w:w="2464" w:type="pct"/>
                  <w:vMerge w:val="restart"/>
                  <w:noWrap w:val="0"/>
                  <w:vAlign w:val="center"/>
                </w:tcPr>
                <w:p w14:paraId="2BEACB04">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交由有危险废物处置资质单位处置</w:t>
                  </w:r>
                </w:p>
              </w:tc>
            </w:tr>
            <w:tr w14:paraId="44CE5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64" w:type="pct"/>
                  <w:noWrap w:val="0"/>
                  <w:vAlign w:val="center"/>
                </w:tcPr>
                <w:p w14:paraId="41E58C61">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喷淋塔废水</w:t>
                  </w:r>
                </w:p>
              </w:tc>
              <w:tc>
                <w:tcPr>
                  <w:tcW w:w="888" w:type="pct"/>
                  <w:noWrap w:val="0"/>
                  <w:vAlign w:val="center"/>
                </w:tcPr>
                <w:p w14:paraId="62E9C19F">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1161" w:type="dxa"/>
                  <w:noWrap w:val="0"/>
                  <w:vAlign w:val="center"/>
                </w:tcPr>
                <w:p w14:paraId="2367DA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w:t>
                  </w:r>
                </w:p>
              </w:tc>
              <w:tc>
                <w:tcPr>
                  <w:tcW w:w="2464" w:type="pct"/>
                  <w:vMerge w:val="continue"/>
                  <w:noWrap w:val="0"/>
                  <w:vAlign w:val="center"/>
                </w:tcPr>
                <w:p w14:paraId="22A6BE62">
                  <w:pPr>
                    <w:jc w:val="center"/>
                    <w:rPr>
                      <w:rFonts w:hint="default" w:ascii="Times New Roman" w:hAnsi="Times New Roman" w:cs="Times New Roman"/>
                      <w:bCs/>
                      <w:color w:val="000000" w:themeColor="text1"/>
                      <w:sz w:val="21"/>
                      <w:szCs w:val="21"/>
                      <w:highlight w:val="none"/>
                      <w14:textFill>
                        <w14:solidFill>
                          <w14:schemeClr w14:val="tx1"/>
                        </w14:solidFill>
                      </w14:textFill>
                    </w:rPr>
                  </w:pPr>
                </w:p>
              </w:tc>
            </w:tr>
            <w:tr w14:paraId="6C96B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11B4D100">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生产废水合计</w:t>
                  </w:r>
                </w:p>
              </w:tc>
              <w:tc>
                <w:tcPr>
                  <w:tcW w:w="888" w:type="pct"/>
                  <w:noWrap w:val="0"/>
                  <w:vAlign w:val="center"/>
                </w:tcPr>
                <w:p w14:paraId="1828F1BD">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1161" w:type="dxa"/>
                  <w:noWrap w:val="0"/>
                  <w:vAlign w:val="center"/>
                </w:tcPr>
                <w:p w14:paraId="4B348F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10010.08</w:t>
                  </w:r>
                </w:p>
              </w:tc>
              <w:tc>
                <w:tcPr>
                  <w:tcW w:w="2464" w:type="pct"/>
                  <w:noWrap w:val="0"/>
                  <w:vAlign w:val="center"/>
                </w:tcPr>
                <w:p w14:paraId="0D2E6B77">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0FCD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30C2BFDA">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总排水</w:t>
                  </w:r>
                </w:p>
              </w:tc>
              <w:tc>
                <w:tcPr>
                  <w:tcW w:w="888" w:type="pct"/>
                  <w:noWrap w:val="0"/>
                  <w:vAlign w:val="center"/>
                </w:tcPr>
                <w:p w14:paraId="208092E4">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161" w:type="dxa"/>
                  <w:noWrap w:val="0"/>
                  <w:vAlign w:val="center"/>
                </w:tcPr>
                <w:p w14:paraId="38C11B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12080.08</w:t>
                  </w:r>
                </w:p>
              </w:tc>
              <w:tc>
                <w:tcPr>
                  <w:tcW w:w="2464" w:type="pct"/>
                  <w:noWrap w:val="0"/>
                  <w:vAlign w:val="center"/>
                </w:tcPr>
                <w:p w14:paraId="21C3BFE9">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bl>
          <w:p w14:paraId="081A44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p>
          <w:p w14:paraId="73EF018D">
            <w:pPr>
              <w:pStyle w:val="11"/>
              <w:widowControl/>
              <w:numPr>
                <w:ilvl w:val="4"/>
                <w:numId w:val="0"/>
              </w:numPr>
              <w:suppressLineNumbers w:val="0"/>
              <w:spacing w:before="0" w:beforeAutospacing="0" w:after="0" w:afterAutospacing="0"/>
              <w:ind w:left="0" w:right="0" w:firstLine="480" w:firstLineChars="200"/>
              <w:rPr>
                <w:rFonts w:hint="default" w:ascii="Times New Roman" w:hAnsi="Times New Roman" w:cs="Times New Roman"/>
                <w:color w:val="000000" w:themeColor="text1"/>
                <w:kern w:val="2"/>
                <w:highlight w:val="none"/>
                <w14:textFill>
                  <w14:solidFill>
                    <w14:schemeClr w14:val="tx1"/>
                  </w14:solidFill>
                </w14:textFill>
              </w:rPr>
            </w:pPr>
            <w:r>
              <w:rPr>
                <w:rFonts w:hint="default" w:ascii="Times New Roman" w:hAnsi="Times New Roman" w:cs="Times New Roman"/>
                <w:b w:val="0"/>
                <w:bCs w:val="0"/>
                <w:color w:val="000000" w:themeColor="text1"/>
                <w:kern w:val="2"/>
                <w:highlight w:val="none"/>
                <w14:textFill>
                  <w14:solidFill>
                    <w14:schemeClr w14:val="tx1"/>
                  </w14:solidFill>
                </w14:textFill>
              </w:rPr>
              <w:t>综上，本项目用水情况见下表。</w:t>
            </w:r>
          </w:p>
          <w:p w14:paraId="1630A5CD">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项目用水情况统计表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1216"/>
              <w:gridCol w:w="1173"/>
              <w:gridCol w:w="1239"/>
              <w:gridCol w:w="1422"/>
              <w:gridCol w:w="1422"/>
            </w:tblGrid>
            <w:tr w14:paraId="366E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195" w:type="pct"/>
                  <w:noWrap w:val="0"/>
                  <w:vAlign w:val="center"/>
                </w:tcPr>
                <w:p w14:paraId="56F0C7D3">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用水单元</w:t>
                  </w:r>
                </w:p>
              </w:tc>
              <w:tc>
                <w:tcPr>
                  <w:tcW w:w="714" w:type="pct"/>
                  <w:noWrap w:val="0"/>
                  <w:vAlign w:val="center"/>
                </w:tcPr>
                <w:p w14:paraId="11CFB2D6">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新鲜用水量m</w:t>
                  </w:r>
                  <w:r>
                    <w:rPr>
                      <w:rFonts w:hint="default" w:ascii="Times New Roman" w:hAnsi="Times New Roman" w:cs="Times New Roman"/>
                      <w:b/>
                      <w:bCs/>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2"/>
                      <w:sz w:val="21"/>
                      <w:szCs w:val="21"/>
                      <w:highlight w:val="none"/>
                      <w14:textFill>
                        <w14:solidFill>
                          <w14:schemeClr w14:val="tx1"/>
                        </w14:solidFill>
                      </w14:textFill>
                    </w:rPr>
                    <w:t>/</w:t>
                  </w:r>
                  <w:r>
                    <w:rPr>
                      <w:rFonts w:hint="default" w:ascii="Times New Roman" w:hAnsi="Times New Roman" w:cs="Times New Roman"/>
                      <w:b/>
                      <w:bCs/>
                      <w:color w:val="000000" w:themeColor="text1"/>
                      <w:kern w:val="2"/>
                      <w:sz w:val="21"/>
                      <w:szCs w:val="21"/>
                      <w:highlight w:val="none"/>
                      <w:lang w:val="en-US" w:eastAsia="zh-CN"/>
                      <w14:textFill>
                        <w14:solidFill>
                          <w14:schemeClr w14:val="tx1"/>
                        </w14:solidFill>
                      </w14:textFill>
                    </w:rPr>
                    <w:t>a</w:t>
                  </w:r>
                </w:p>
              </w:tc>
              <w:tc>
                <w:tcPr>
                  <w:tcW w:w="689" w:type="pct"/>
                  <w:noWrap w:val="0"/>
                  <w:vAlign w:val="center"/>
                </w:tcPr>
                <w:p w14:paraId="59ABF5BC">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000000" w:themeColor="text1"/>
                      <w:kern w:val="2"/>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损耗量m</w:t>
                  </w:r>
                  <w:r>
                    <w:rPr>
                      <w:rFonts w:hint="default" w:ascii="Times New Roman" w:hAnsi="Times New Roman" w:cs="Times New Roman"/>
                      <w:b/>
                      <w:bCs/>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2"/>
                      <w:sz w:val="21"/>
                      <w:szCs w:val="21"/>
                      <w:highlight w:val="none"/>
                      <w14:textFill>
                        <w14:solidFill>
                          <w14:schemeClr w14:val="tx1"/>
                        </w14:solidFill>
                      </w14:textFill>
                    </w:rPr>
                    <w:t>/</w:t>
                  </w:r>
                  <w:r>
                    <w:rPr>
                      <w:rFonts w:hint="default" w:ascii="Times New Roman" w:hAnsi="Times New Roman" w:cs="Times New Roman"/>
                      <w:b/>
                      <w:bCs/>
                      <w:color w:val="000000" w:themeColor="text1"/>
                      <w:kern w:val="2"/>
                      <w:sz w:val="21"/>
                      <w:szCs w:val="21"/>
                      <w:highlight w:val="none"/>
                      <w:lang w:val="en-US" w:eastAsia="zh-CN"/>
                      <w14:textFill>
                        <w14:solidFill>
                          <w14:schemeClr w14:val="tx1"/>
                        </w14:solidFill>
                      </w14:textFill>
                    </w:rPr>
                    <w:t>a</w:t>
                  </w:r>
                </w:p>
              </w:tc>
              <w:tc>
                <w:tcPr>
                  <w:tcW w:w="728" w:type="pct"/>
                  <w:noWrap w:val="0"/>
                  <w:vAlign w:val="center"/>
                </w:tcPr>
                <w:p w14:paraId="083B1439">
                  <w:pPr>
                    <w:keepNext w:val="0"/>
                    <w:keepLines w:val="0"/>
                    <w:widowControl/>
                    <w:suppressLineNumbers w:val="0"/>
                    <w:jc w:val="center"/>
                    <w:textAlignment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循环用水量m</w:t>
                  </w:r>
                  <w:r>
                    <w:rPr>
                      <w:rFonts w:hint="eastAsia" w:ascii="宋体" w:hAnsi="宋体" w:eastAsia="宋体" w:cs="宋体"/>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/a</w:t>
                  </w:r>
                </w:p>
              </w:tc>
              <w:tc>
                <w:tcPr>
                  <w:tcW w:w="835" w:type="pct"/>
                  <w:noWrap w:val="0"/>
                  <w:vAlign w:val="center"/>
                </w:tcPr>
                <w:p w14:paraId="4DB915C6">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废水外排量m</w:t>
                  </w:r>
                  <w:r>
                    <w:rPr>
                      <w:rFonts w:hint="default" w:ascii="Times New Roman" w:hAnsi="Times New Roman" w:cs="Times New Roman"/>
                      <w:b/>
                      <w:bCs/>
                      <w:color w:val="000000" w:themeColor="text1"/>
                      <w:kern w:val="2"/>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kern w:val="2"/>
                      <w:sz w:val="21"/>
                      <w:szCs w:val="21"/>
                      <w:highlight w:val="none"/>
                      <w14:textFill>
                        <w14:solidFill>
                          <w14:schemeClr w14:val="tx1"/>
                        </w14:solidFill>
                      </w14:textFill>
                    </w:rPr>
                    <w:t>/</w:t>
                  </w:r>
                  <w:r>
                    <w:rPr>
                      <w:rFonts w:hint="eastAsia" w:cs="Times New Roman"/>
                      <w:b/>
                      <w:bCs/>
                      <w:color w:val="000000" w:themeColor="text1"/>
                      <w:kern w:val="2"/>
                      <w:sz w:val="21"/>
                      <w:szCs w:val="21"/>
                      <w:highlight w:val="none"/>
                      <w:lang w:val="en-US" w:eastAsia="zh-CN"/>
                      <w14:textFill>
                        <w14:solidFill>
                          <w14:schemeClr w14:val="tx1"/>
                        </w14:solidFill>
                      </w14:textFill>
                    </w:rPr>
                    <w:t>a</w:t>
                  </w:r>
                </w:p>
              </w:tc>
              <w:tc>
                <w:tcPr>
                  <w:tcW w:w="835" w:type="pct"/>
                  <w:noWrap w:val="0"/>
                  <w:vAlign w:val="center"/>
                </w:tcPr>
                <w:p w14:paraId="31B18F06">
                  <w:pPr>
                    <w:pStyle w:val="109"/>
                    <w:keepNext w:val="0"/>
                    <w:keepLines w:val="0"/>
                    <w:widowControl/>
                    <w:suppressLineNumbers w:val="0"/>
                    <w:tabs>
                      <w:tab w:val="left" w:pos="-2848"/>
                    </w:tabs>
                    <w:spacing w:before="0" w:beforeAutospacing="0" w:after="0" w:afterAutospacing="0" w:line="240" w:lineRule="auto"/>
                    <w:ind w:left="0" w:right="0"/>
                    <w:rPr>
                      <w:rFonts w:hint="eastAsia" w:ascii="Times New Roman" w:hAnsi="Times New Roman" w:eastAsia="宋体" w:cs="Times New Roman"/>
                      <w:b/>
                      <w:bCs/>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kern w:val="2"/>
                      <w:sz w:val="21"/>
                      <w:szCs w:val="21"/>
                      <w:highlight w:val="none"/>
                      <w:lang w:val="en-US" w:eastAsia="zh-CN"/>
                      <w14:textFill>
                        <w14:solidFill>
                          <w14:schemeClr w14:val="tx1"/>
                        </w14:solidFill>
                      </w14:textFill>
                    </w:rPr>
                    <w:t>备注</w:t>
                  </w:r>
                </w:p>
              </w:tc>
            </w:tr>
            <w:tr w14:paraId="2EFE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195" w:type="pct"/>
                  <w:noWrap w:val="0"/>
                  <w:vAlign w:val="center"/>
                </w:tcPr>
                <w:p w14:paraId="65074F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员工办公生活用水</w:t>
                  </w:r>
                </w:p>
              </w:tc>
              <w:tc>
                <w:tcPr>
                  <w:tcW w:w="714" w:type="pct"/>
                  <w:noWrap w:val="0"/>
                  <w:vAlign w:val="center"/>
                </w:tcPr>
                <w:p w14:paraId="088B767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2300</w:t>
                  </w:r>
                </w:p>
              </w:tc>
              <w:tc>
                <w:tcPr>
                  <w:tcW w:w="689" w:type="pct"/>
                  <w:noWrap w:val="0"/>
                  <w:vAlign w:val="center"/>
                </w:tcPr>
                <w:p w14:paraId="6A0A91C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w:t>
                  </w:r>
                </w:p>
              </w:tc>
              <w:tc>
                <w:tcPr>
                  <w:tcW w:w="728" w:type="pct"/>
                  <w:noWrap w:val="0"/>
                  <w:vAlign w:val="center"/>
                </w:tcPr>
                <w:p w14:paraId="66B59ADB">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35" w:type="pct"/>
                  <w:noWrap w:val="0"/>
                  <w:vAlign w:val="center"/>
                </w:tcPr>
                <w:p w14:paraId="4614C33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2070</w:t>
                  </w:r>
                </w:p>
              </w:tc>
              <w:tc>
                <w:tcPr>
                  <w:tcW w:w="835" w:type="pct"/>
                  <w:noWrap w:val="0"/>
                  <w:vAlign w:val="center"/>
                </w:tcPr>
                <w:p w14:paraId="732B0C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0071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195" w:type="pct"/>
                  <w:noWrap w:val="0"/>
                  <w:vAlign w:val="center"/>
                </w:tcPr>
                <w:p w14:paraId="7170D0D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前处理</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清洗用水</w:t>
                  </w:r>
                </w:p>
              </w:tc>
              <w:tc>
                <w:tcPr>
                  <w:tcW w:w="714" w:type="pct"/>
                  <w:noWrap w:val="0"/>
                  <w:vAlign w:val="center"/>
                </w:tcPr>
                <w:p w14:paraId="331B3B4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w:t>
                  </w:r>
                  <w:r>
                    <w:rPr>
                      <w:rFonts w:hint="eastAsia" w:cs="Times New Roman"/>
                      <w:i w:val="0"/>
                      <w:iCs w:val="0"/>
                      <w:color w:val="000000" w:themeColor="text1"/>
                      <w:kern w:val="0"/>
                      <w:sz w:val="21"/>
                      <w:szCs w:val="21"/>
                      <w:u w:val="none"/>
                      <w:lang w:val="en-US" w:eastAsia="zh-CN" w:bidi="ar"/>
                      <w14:textFill>
                        <w14:solidFill>
                          <w14:schemeClr w14:val="tx1"/>
                        </w14:solidFill>
                      </w14:textFill>
                    </w:rPr>
                    <w:t>95.11</w:t>
                  </w:r>
                </w:p>
              </w:tc>
              <w:tc>
                <w:tcPr>
                  <w:tcW w:w="689" w:type="pct"/>
                  <w:noWrap w:val="0"/>
                  <w:vAlign w:val="center"/>
                </w:tcPr>
                <w:p w14:paraId="47EB6797">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9861.248</w:t>
                  </w:r>
                </w:p>
              </w:tc>
              <w:tc>
                <w:tcPr>
                  <w:tcW w:w="728" w:type="pct"/>
                  <w:noWrap w:val="0"/>
                  <w:vAlign w:val="center"/>
                </w:tcPr>
                <w:p w14:paraId="40B9E8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1270937.6</w:t>
                  </w:r>
                </w:p>
              </w:tc>
              <w:tc>
                <w:tcPr>
                  <w:tcW w:w="835" w:type="pct"/>
                  <w:noWrap w:val="0"/>
                  <w:vAlign w:val="center"/>
                </w:tcPr>
                <w:p w14:paraId="432FC4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10010.08</w:t>
                  </w:r>
                </w:p>
              </w:tc>
              <w:tc>
                <w:tcPr>
                  <w:tcW w:w="835" w:type="pct"/>
                  <w:noWrap w:val="0"/>
                  <w:vAlign w:val="center"/>
                </w:tcPr>
                <w:p w14:paraId="5E8209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无铬钝化槽液44.8t/a按危废处理</w:t>
                  </w:r>
                </w:p>
              </w:tc>
            </w:tr>
            <w:tr w14:paraId="6E1A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195" w:type="pct"/>
                  <w:noWrap w:val="0"/>
                  <w:vAlign w:val="center"/>
                </w:tcPr>
                <w:p w14:paraId="2D9D46EA">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水帘柜用水</w:t>
                  </w:r>
                </w:p>
              </w:tc>
              <w:tc>
                <w:tcPr>
                  <w:tcW w:w="714" w:type="pct"/>
                  <w:noWrap w:val="0"/>
                  <w:vAlign w:val="center"/>
                </w:tcPr>
                <w:p w14:paraId="0CC7B581">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5434.704</w:t>
                  </w:r>
                </w:p>
              </w:tc>
              <w:tc>
                <w:tcPr>
                  <w:tcW w:w="689" w:type="pct"/>
                  <w:noWrap w:val="0"/>
                  <w:vAlign w:val="center"/>
                </w:tcPr>
                <w:p w14:paraId="0680970C">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144.6</w:t>
                  </w:r>
                </w:p>
              </w:tc>
              <w:tc>
                <w:tcPr>
                  <w:tcW w:w="728" w:type="pct"/>
                  <w:noWrap w:val="0"/>
                  <w:vAlign w:val="center"/>
                </w:tcPr>
                <w:p w14:paraId="2B2B97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15000</w:t>
                  </w:r>
                </w:p>
              </w:tc>
              <w:tc>
                <w:tcPr>
                  <w:tcW w:w="835" w:type="pct"/>
                  <w:noWrap w:val="0"/>
                  <w:vAlign w:val="center"/>
                </w:tcPr>
                <w:p w14:paraId="29C0662E">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194.4</w:t>
                  </w:r>
                </w:p>
              </w:tc>
              <w:tc>
                <w:tcPr>
                  <w:tcW w:w="835" w:type="pct"/>
                  <w:noWrap w:val="0"/>
                  <w:vAlign w:val="center"/>
                </w:tcPr>
                <w:p w14:paraId="78A012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5028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195" w:type="pct"/>
                  <w:noWrap w:val="0"/>
                  <w:vAlign w:val="center"/>
                </w:tcPr>
                <w:p w14:paraId="2AFAED9A">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喷淋塔用水</w:t>
                  </w:r>
                </w:p>
              </w:tc>
              <w:tc>
                <w:tcPr>
                  <w:tcW w:w="714" w:type="pct"/>
                  <w:noWrap w:val="0"/>
                  <w:vAlign w:val="center"/>
                </w:tcPr>
                <w:p w14:paraId="74180A3F">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1190.4</w:t>
                  </w:r>
                </w:p>
              </w:tc>
              <w:tc>
                <w:tcPr>
                  <w:tcW w:w="689" w:type="pct"/>
                  <w:noWrap w:val="0"/>
                  <w:vAlign w:val="center"/>
                </w:tcPr>
                <w:p w14:paraId="688C0698">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450</w:t>
                  </w:r>
                </w:p>
              </w:tc>
              <w:tc>
                <w:tcPr>
                  <w:tcW w:w="728" w:type="pct"/>
                  <w:noWrap w:val="0"/>
                  <w:vAlign w:val="center"/>
                </w:tcPr>
                <w:p w14:paraId="5E33CFE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30000</w:t>
                  </w:r>
                </w:p>
              </w:tc>
              <w:tc>
                <w:tcPr>
                  <w:tcW w:w="835" w:type="pct"/>
                  <w:noWrap w:val="0"/>
                  <w:vAlign w:val="center"/>
                </w:tcPr>
                <w:p w14:paraId="71DBBECF">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w:t>
                  </w:r>
                </w:p>
              </w:tc>
              <w:tc>
                <w:tcPr>
                  <w:tcW w:w="835" w:type="pct"/>
                  <w:noWrap w:val="0"/>
                  <w:vAlign w:val="center"/>
                </w:tcPr>
                <w:p w14:paraId="42AFF9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2659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195" w:type="pct"/>
                  <w:noWrap w:val="0"/>
                  <w:vAlign w:val="center"/>
                </w:tcPr>
                <w:p w14:paraId="55A39A85">
                  <w:pPr>
                    <w:keepNext w:val="0"/>
                    <w:keepLines w:val="0"/>
                    <w:widowControl/>
                    <w:suppressLineNumbers w:val="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生产用水合计</w:t>
                  </w:r>
                </w:p>
              </w:tc>
              <w:tc>
                <w:tcPr>
                  <w:tcW w:w="714" w:type="pct"/>
                  <w:noWrap w:val="0"/>
                  <w:vAlign w:val="center"/>
                </w:tcPr>
                <w:p w14:paraId="5E69A3E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26520.22</w:t>
                  </w:r>
                </w:p>
              </w:tc>
              <w:tc>
                <w:tcPr>
                  <w:tcW w:w="689" w:type="pct"/>
                  <w:noWrap w:val="0"/>
                  <w:vAlign w:val="center"/>
                </w:tcPr>
                <w:p w14:paraId="66039AAB">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10455.848</w:t>
                  </w:r>
                </w:p>
              </w:tc>
              <w:tc>
                <w:tcPr>
                  <w:tcW w:w="728" w:type="pct"/>
                  <w:noWrap w:val="0"/>
                  <w:vAlign w:val="center"/>
                </w:tcPr>
                <w:p w14:paraId="324BE0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1315937.6</w:t>
                  </w:r>
                </w:p>
              </w:tc>
              <w:tc>
                <w:tcPr>
                  <w:tcW w:w="835" w:type="pct"/>
                  <w:noWrap w:val="0"/>
                  <w:vAlign w:val="center"/>
                </w:tcPr>
                <w:p w14:paraId="5FE61FE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10010.08 </w:t>
                  </w:r>
                </w:p>
              </w:tc>
              <w:tc>
                <w:tcPr>
                  <w:tcW w:w="835" w:type="pct"/>
                  <w:noWrap w:val="0"/>
                  <w:vAlign w:val="center"/>
                </w:tcPr>
                <w:p w14:paraId="690514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65C3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195" w:type="pct"/>
                  <w:noWrap w:val="0"/>
                  <w:vAlign w:val="center"/>
                </w:tcPr>
                <w:p w14:paraId="0A814E4D">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合计</w:t>
                  </w:r>
                </w:p>
              </w:tc>
              <w:tc>
                <w:tcPr>
                  <w:tcW w:w="714" w:type="pct"/>
                  <w:noWrap w:val="0"/>
                  <w:vAlign w:val="center"/>
                </w:tcPr>
                <w:p w14:paraId="2507C68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28820.22</w:t>
                  </w:r>
                </w:p>
              </w:tc>
              <w:tc>
                <w:tcPr>
                  <w:tcW w:w="689" w:type="pct"/>
                  <w:noWrap w:val="0"/>
                  <w:vAlign w:val="center"/>
                </w:tcPr>
                <w:p w14:paraId="454206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10685.848</w:t>
                  </w:r>
                </w:p>
              </w:tc>
              <w:tc>
                <w:tcPr>
                  <w:tcW w:w="728" w:type="pct"/>
                  <w:noWrap w:val="0"/>
                  <w:vAlign w:val="center"/>
                </w:tcPr>
                <w:p w14:paraId="29A069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1315937.6</w:t>
                  </w:r>
                </w:p>
              </w:tc>
              <w:tc>
                <w:tcPr>
                  <w:tcW w:w="835" w:type="pct"/>
                  <w:noWrap w:val="0"/>
                  <w:vAlign w:val="center"/>
                </w:tcPr>
                <w:p w14:paraId="000F79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12080.08 </w:t>
                  </w:r>
                </w:p>
              </w:tc>
              <w:tc>
                <w:tcPr>
                  <w:tcW w:w="835" w:type="pct"/>
                  <w:noWrap w:val="0"/>
                  <w:vAlign w:val="center"/>
                </w:tcPr>
                <w:p w14:paraId="4F33C9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bl>
          <w:p w14:paraId="3BFA66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p>
          <w:p w14:paraId="7A1D316A">
            <w:pPr>
              <w:pStyle w:val="11"/>
              <w:widowControl/>
              <w:numPr>
                <w:ilvl w:val="4"/>
                <w:numId w:val="0"/>
              </w:numPr>
              <w:suppressLineNumbers w:val="0"/>
              <w:spacing w:before="0" w:beforeAutospacing="0" w:after="0" w:afterAutospacing="0" w:line="240" w:lineRule="auto"/>
              <w:ind w:left="-960" w:right="0" w:firstLine="1440"/>
              <w:rPr>
                <w:rFonts w:hint="eastAsia" w:cs="Times New Roman"/>
                <w:color w:val="000000" w:themeColor="text1"/>
                <w:kern w:val="2"/>
                <w:highlight w:val="none"/>
                <w:lang w:val="en-US" w:eastAsia="zh-CN"/>
                <w14:textFill>
                  <w14:solidFill>
                    <w14:schemeClr w14:val="tx1"/>
                  </w14:solidFill>
                </w14:textFill>
              </w:rPr>
            </w:pPr>
            <w:r>
              <w:rPr>
                <w:rFonts w:hint="default" w:ascii="Times New Roman" w:hAnsi="Times New Roman" w:cs="Times New Roman"/>
                <w:color w:val="000000" w:themeColor="text1"/>
                <w:kern w:val="2"/>
                <w:highlight w:val="none"/>
                <w:lang w:val="en-US" w:eastAsia="zh-CN"/>
                <w14:textFill>
                  <w14:solidFill>
                    <w14:schemeClr w14:val="tx1"/>
                  </w14:solidFill>
                </w14:textFill>
              </w:rPr>
              <w:t>项目水平衡图如下</w:t>
            </w:r>
            <w:r>
              <w:rPr>
                <w:rFonts w:hint="eastAsia" w:cs="Times New Roman"/>
                <w:color w:val="000000" w:themeColor="text1"/>
                <w:kern w:val="2"/>
                <w:highlight w:val="none"/>
                <w:lang w:val="en-US" w:eastAsia="zh-CN"/>
                <w14:textFill>
                  <w14:solidFill>
                    <w14:schemeClr w14:val="tx1"/>
                  </w14:solidFill>
                </w14:textFill>
              </w:rPr>
              <w:t>：</w:t>
            </w:r>
          </w:p>
          <w:p w14:paraId="6F72DCE4">
            <w:pP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object>
                <v:shape id="_x0000_i1025" o:spt="75" type="#_x0000_t75" style="height:313.95pt;width:425.1pt;" o:ole="t" filled="f" o:preferrelative="t" stroked="f" coordsize="21600,21600">
                  <v:path/>
                  <v:fill on="f" focussize="0,0"/>
                  <v:stroke on="f"/>
                  <v:imagedata r:id="rId22" o:title=""/>
                  <o:lock v:ext="edit" aspectratio="f"/>
                  <w10:wrap type="none"/>
                  <w10:anchorlock/>
                </v:shape>
                <o:OLEObject Type="Embed" ProgID="Visio.Drawing.15" ShapeID="_x0000_i1025" DrawAspect="Content" ObjectID="_1468075725" r:id="rId21">
                  <o:LockedField>false</o:LockedField>
                </o:OLEObject>
              </w:object>
            </w:r>
          </w:p>
          <w:p w14:paraId="2A03CDA4">
            <w:pPr>
              <w:pStyle w:val="17"/>
              <w:keepNext w:val="0"/>
              <w:keepLines w:val="0"/>
              <w:pageBreakBefore w:val="0"/>
              <w:widowControl w:val="0"/>
              <w:numPr>
                <w:ilvl w:val="0"/>
                <w:numId w:val="11"/>
              </w:numPr>
              <w:suppressLineNumbers w:val="0"/>
              <w:tabs>
                <w:tab w:val="left" w:pos="628"/>
                <w:tab w:val="left" w:pos="993"/>
                <w:tab w:val="left" w:pos="1884"/>
                <w:tab w:val="clear" w:pos="3240"/>
                <w:tab w:val="clear" w:pos="6120"/>
              </w:tabs>
              <w:kinsoku/>
              <w:wordWrap w:val="0"/>
              <w:overflowPunct/>
              <w:topLinePunct w:val="0"/>
              <w:bidi w:val="0"/>
              <w:adjustRightInd/>
              <w:snapToGrid/>
              <w:spacing w:before="0" w:beforeAutospacing="0" w:after="0" w:afterLines="0" w:afterAutospacing="0" w:line="240" w:lineRule="auto"/>
              <w:ind w:left="0" w:leftChars="0" w:right="0" w:firstLine="0" w:firstLineChars="0"/>
              <w:jc w:val="center"/>
              <w:outlineLvl w:val="9"/>
              <w:rPr>
                <w:rFonts w:hint="default" w:ascii="Times New Roman" w:hAnsi="Times New Roman" w:eastAsia="宋体" w:cs="Times New Roman"/>
                <w:b/>
                <w:bCs/>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14:textFill>
                  <w14:solidFill>
                    <w14:schemeClr w14:val="tx1"/>
                  </w14:solidFill>
                </w14:textFill>
              </w:rPr>
              <w:t>本项目水平衡图（单位m</w:t>
            </w:r>
            <w:r>
              <w:rPr>
                <w:rFonts w:hint="default" w:ascii="Times New Roman" w:hAnsi="Times New Roman" w:eastAsia="宋体" w:cs="Times New Roman"/>
                <w:b/>
                <w:bCs/>
                <w:color w:val="000000" w:themeColor="text1"/>
                <w:kern w:val="2"/>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kern w:val="2"/>
                <w:sz w:val="24"/>
                <w:szCs w:val="24"/>
                <w:highlight w:val="none"/>
                <w:lang w:val="en-US" w:eastAsia="zh-CN"/>
                <w14:textFill>
                  <w14:solidFill>
                    <w14:schemeClr w14:val="tx1"/>
                  </w14:solidFill>
                </w14:textFill>
              </w:rPr>
              <w:t>/a）</w:t>
            </w:r>
          </w:p>
          <w:p w14:paraId="1CB1406C">
            <w:pPr>
              <w:wordWrap w:val="0"/>
              <w:topLinePunct/>
              <w:spacing w:line="360" w:lineRule="auto"/>
              <w:ind w:firstLine="482" w:firstLineChars="200"/>
              <w:outlineLvl w:val="4"/>
              <w:rPr>
                <w:rFonts w:hint="default" w:eastAsia="宋体"/>
                <w:b/>
                <w:color w:val="000000" w:themeColor="text1"/>
                <w:sz w:val="24"/>
                <w:szCs w:val="24"/>
                <w:highlight w:val="none"/>
                <w:lang w:val="en-US" w:eastAsia="zh-CN"/>
                <w14:textFill>
                  <w14:solidFill>
                    <w14:schemeClr w14:val="tx1"/>
                  </w14:solidFill>
                </w14:textFill>
              </w:rPr>
            </w:pPr>
            <w:r>
              <w:rPr>
                <w:b/>
                <w:color w:val="000000" w:themeColor="text1"/>
                <w:sz w:val="24"/>
                <w:szCs w:val="24"/>
                <w:highlight w:val="none"/>
                <w14:textFill>
                  <w14:solidFill>
                    <w14:schemeClr w14:val="tx1"/>
                  </w14:solidFill>
                </w14:textFill>
              </w:rPr>
              <w:t>（</w:t>
            </w:r>
            <w:r>
              <w:rPr>
                <w:rFonts w:hint="eastAsia"/>
                <w:b/>
                <w:color w:val="000000" w:themeColor="text1"/>
                <w:sz w:val="24"/>
                <w:szCs w:val="24"/>
                <w:highlight w:val="none"/>
                <w:lang w:val="en-US" w:eastAsia="zh-CN"/>
                <w14:textFill>
                  <w14:solidFill>
                    <w14:schemeClr w14:val="tx1"/>
                  </w14:solidFill>
                </w14:textFill>
              </w:rPr>
              <w:t>4</w:t>
            </w:r>
            <w:r>
              <w:rPr>
                <w:b/>
                <w:color w:val="000000" w:themeColor="text1"/>
                <w:sz w:val="24"/>
                <w:szCs w:val="24"/>
                <w:highlight w:val="none"/>
                <w14:textFill>
                  <w14:solidFill>
                    <w14:schemeClr w14:val="tx1"/>
                  </w14:solidFill>
                </w14:textFill>
              </w:rPr>
              <w:t>）</w:t>
            </w:r>
            <w:r>
              <w:rPr>
                <w:rFonts w:hint="eastAsia"/>
                <w:b/>
                <w:color w:val="000000" w:themeColor="text1"/>
                <w:sz w:val="24"/>
                <w:szCs w:val="24"/>
                <w:highlight w:val="none"/>
                <w:lang w:val="en-US" w:eastAsia="zh-CN"/>
                <w14:textFill>
                  <w14:solidFill>
                    <w14:schemeClr w14:val="tx1"/>
                  </w14:solidFill>
                </w14:textFill>
              </w:rPr>
              <w:t>漆用量核算</w:t>
            </w:r>
          </w:p>
          <w:p w14:paraId="5552262A">
            <w:pPr>
              <w:pStyle w:val="22"/>
              <w:ind w:firstLine="480"/>
              <w:rPr>
                <w:rFonts w:hint="eastAsia" w:eastAsia="宋体" w:cs="Times New Roman"/>
                <w:b/>
                <w:bCs/>
                <w:color w:val="000000" w:themeColor="text1"/>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本项目涂料实际用量采用计算公式：涂料实际用量（L）=喷涂面积×干膜厚度/（10×体积固体含量×100×上漆率）。</w:t>
            </w:r>
          </w:p>
          <w:p w14:paraId="4152271E">
            <w:pPr>
              <w:pageBreakBefore w:val="0"/>
              <w:wordWrap w:val="0"/>
              <w:overflowPunct/>
              <w:bidi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①</w:t>
            </w:r>
            <w:r>
              <w:rPr>
                <w:b/>
                <w:color w:val="000000" w:themeColor="text1"/>
                <w:sz w:val="24"/>
                <w:highlight w:val="none"/>
                <w14:textFill>
                  <w14:solidFill>
                    <w14:schemeClr w14:val="tx1"/>
                  </w14:solidFill>
                </w14:textFill>
              </w:rPr>
              <w:t>调配后各漆料用料核算</w:t>
            </w:r>
          </w:p>
          <w:p w14:paraId="70D3E2E1">
            <w:pPr>
              <w:pageBreakBefore w:val="0"/>
              <w:widowControl w:val="0"/>
              <w:numPr>
                <w:ilvl w:val="0"/>
                <w:numId w:val="10"/>
              </w:numPr>
              <w:wordWrap w:val="0"/>
              <w:overflowPunct/>
              <w:bidi w:val="0"/>
              <w:spacing w:line="240" w:lineRule="auto"/>
              <w:ind w:left="0" w:leftChars="0" w:firstLine="40" w:firstLineChars="0"/>
              <w:jc w:val="center"/>
              <w:rPr>
                <w:b/>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b/>
                <w:bCs/>
                <w:color w:val="000000" w:themeColor="text1"/>
                <w:sz w:val="21"/>
                <w:szCs w:val="21"/>
                <w:highlight w:val="none"/>
                <w14:textFill>
                  <w14:solidFill>
                    <w14:schemeClr w14:val="tx1"/>
                  </w14:solidFill>
                </w14:textFill>
              </w:rPr>
              <w:t>调配后各漆料用料一览表</w:t>
            </w:r>
          </w:p>
          <w:tbl>
            <w:tblPr>
              <w:tblStyle w:val="44"/>
              <w:tblW w:w="478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8"/>
              <w:gridCol w:w="1111"/>
              <w:gridCol w:w="1111"/>
              <w:gridCol w:w="1443"/>
              <w:gridCol w:w="1242"/>
              <w:gridCol w:w="1252"/>
              <w:gridCol w:w="1248"/>
            </w:tblGrid>
            <w:tr w14:paraId="6B47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643" w:type="pct"/>
                  <w:tcBorders>
                    <w:top w:val="single" w:color="000000" w:sz="4" w:space="0"/>
                    <w:left w:val="single" w:color="000000" w:sz="4" w:space="0"/>
                    <w:bottom w:val="single" w:color="000000" w:sz="4" w:space="0"/>
                    <w:right w:val="single" w:color="000000" w:sz="4" w:space="0"/>
                  </w:tcBorders>
                  <w:noWrap w:val="0"/>
                  <w:vAlign w:val="center"/>
                </w:tcPr>
                <w:p w14:paraId="41B166D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lang w:val="en-US"/>
                      <w14:textFill>
                        <w14:solidFill>
                          <w14:schemeClr w14:val="tx1"/>
                        </w14:solidFill>
                      </w14:textFill>
                    </w:rPr>
                  </w:pPr>
                  <w:r>
                    <w:rPr>
                      <w:rStyle w:val="168"/>
                      <w:color w:val="000000" w:themeColor="text1"/>
                      <w:lang w:val="en-US" w:eastAsia="zh-CN" w:bidi="ar"/>
                      <w14:textFill>
                        <w14:solidFill>
                          <w14:schemeClr w14:val="tx1"/>
                        </w14:solidFill>
                      </w14:textFill>
                    </w:rPr>
                    <w:t>原料</w:t>
                  </w:r>
                  <w:r>
                    <w:rPr>
                      <w:rStyle w:val="168"/>
                      <w:rFonts w:hint="eastAsia"/>
                      <w:color w:val="000000" w:themeColor="text1"/>
                      <w:lang w:val="en-US" w:eastAsia="zh-CN" w:bidi="ar"/>
                      <w14:textFill>
                        <w14:solidFill>
                          <w14:schemeClr w14:val="tx1"/>
                        </w14:solidFill>
                      </w14:textFill>
                    </w:rPr>
                    <w:t>种类</w:t>
                  </w:r>
                </w:p>
              </w:tc>
              <w:tc>
                <w:tcPr>
                  <w:tcW w:w="645" w:type="pct"/>
                  <w:tcBorders>
                    <w:top w:val="single" w:color="000000" w:sz="4" w:space="0"/>
                    <w:left w:val="single" w:color="000000" w:sz="4" w:space="0"/>
                    <w:bottom w:val="single" w:color="000000" w:sz="4" w:space="0"/>
                    <w:right w:val="single" w:color="000000" w:sz="4" w:space="0"/>
                  </w:tcBorders>
                  <w:noWrap w:val="0"/>
                  <w:vAlign w:val="center"/>
                </w:tcPr>
                <w:p w14:paraId="42697C6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Style w:val="168"/>
                      <w:color w:val="000000" w:themeColor="text1"/>
                      <w:lang w:val="en-US" w:eastAsia="zh-CN" w:bidi="ar"/>
                      <w14:textFill>
                        <w14:solidFill>
                          <w14:schemeClr w14:val="tx1"/>
                        </w14:solidFill>
                      </w14:textFill>
                    </w:rPr>
                    <w:t>喷涂面积</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r>
                    <w:rPr>
                      <w:rStyle w:val="169"/>
                      <w:rFonts w:eastAsia="宋体"/>
                      <w:color w:val="000000" w:themeColor="text1"/>
                      <w:lang w:val="en-US" w:eastAsia="zh-CN" w:bidi="ar"/>
                      <w14:textFill>
                        <w14:solidFill>
                          <w14:schemeClr w14:val="tx1"/>
                        </w14:solidFill>
                      </w14:textFill>
                    </w:rPr>
                    <w:t>2</w:t>
                  </w:r>
                </w:p>
              </w:tc>
              <w:tc>
                <w:tcPr>
                  <w:tcW w:w="645" w:type="pct"/>
                  <w:tcBorders>
                    <w:top w:val="single" w:color="000000" w:sz="4" w:space="0"/>
                    <w:left w:val="single" w:color="000000" w:sz="4" w:space="0"/>
                    <w:bottom w:val="single" w:color="000000" w:sz="4" w:space="0"/>
                    <w:right w:val="single" w:color="000000" w:sz="4" w:space="0"/>
                  </w:tcBorders>
                  <w:noWrap w:val="0"/>
                  <w:vAlign w:val="center"/>
                </w:tcPr>
                <w:p w14:paraId="3B64872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Style w:val="168"/>
                      <w:color w:val="000000" w:themeColor="text1"/>
                      <w:lang w:val="en-US" w:eastAsia="zh-CN" w:bidi="ar"/>
                      <w14:textFill>
                        <w14:solidFill>
                          <w14:schemeClr w14:val="tx1"/>
                        </w14:solidFill>
                      </w14:textFill>
                    </w:rPr>
                    <w:t>喷涂厚度</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μm</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41AB4CC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Style w:val="168"/>
                      <w:rFonts w:hint="eastAsia"/>
                      <w:color w:val="000000" w:themeColor="text1"/>
                      <w:lang w:val="en-US" w:eastAsia="zh-CN" w:bidi="ar"/>
                      <w14:textFill>
                        <w14:solidFill>
                          <w14:schemeClr w14:val="tx1"/>
                        </w14:solidFill>
                      </w14:textFill>
                    </w:rPr>
                    <w:t>干膜</w:t>
                  </w:r>
                  <w:r>
                    <w:rPr>
                      <w:rStyle w:val="168"/>
                      <w:color w:val="000000" w:themeColor="text1"/>
                      <w:lang w:val="en-US" w:eastAsia="zh-CN" w:bidi="ar"/>
                      <w14:textFill>
                        <w14:solidFill>
                          <w14:schemeClr w14:val="tx1"/>
                        </w14:solidFill>
                      </w14:textFill>
                    </w:rPr>
                    <w:t>密度</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g/cm</w:t>
                  </w:r>
                  <w:r>
                    <w:rPr>
                      <w:rStyle w:val="169"/>
                      <w:rFonts w:eastAsia="宋体"/>
                      <w:color w:val="000000" w:themeColor="text1"/>
                      <w:lang w:val="en-US" w:eastAsia="zh-CN" w:bidi="ar"/>
                      <w14:textFill>
                        <w14:solidFill>
                          <w14:schemeClr w14:val="tx1"/>
                        </w14:solidFill>
                      </w14:textFill>
                    </w:rPr>
                    <w:t>3</w:t>
                  </w:r>
                </w:p>
              </w:tc>
              <w:tc>
                <w:tcPr>
                  <w:tcW w:w="731" w:type="pct"/>
                  <w:tcBorders>
                    <w:top w:val="single" w:color="000000" w:sz="4" w:space="0"/>
                    <w:left w:val="single" w:color="000000" w:sz="4" w:space="0"/>
                    <w:bottom w:val="single" w:color="000000" w:sz="4" w:space="0"/>
                    <w:right w:val="single" w:color="000000" w:sz="4" w:space="0"/>
                  </w:tcBorders>
                  <w:noWrap w:val="0"/>
                  <w:vAlign w:val="center"/>
                </w:tcPr>
                <w:p w14:paraId="1EF2702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Style w:val="168"/>
                      <w:color w:val="000000" w:themeColor="text1"/>
                      <w:lang w:val="en-US" w:eastAsia="zh-CN" w:bidi="ar"/>
                      <w14:textFill>
                        <w14:solidFill>
                          <w14:schemeClr w14:val="tx1"/>
                        </w14:solidFill>
                      </w14:textFill>
                    </w:rPr>
                    <w:t>固含量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0A1FFE4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Style w:val="168"/>
                      <w:rFonts w:hint="eastAsia"/>
                      <w:color w:val="000000" w:themeColor="text1"/>
                      <w:lang w:val="en-US" w:eastAsia="zh-CN" w:bidi="ar"/>
                      <w14:textFill>
                        <w14:solidFill>
                          <w14:schemeClr w14:val="tx1"/>
                        </w14:solidFill>
                      </w14:textFill>
                    </w:rPr>
                    <w:t>利用</w:t>
                  </w:r>
                  <w:r>
                    <w:rPr>
                      <w:rStyle w:val="168"/>
                      <w:color w:val="000000" w:themeColor="text1"/>
                      <w:lang w:val="en-US" w:eastAsia="zh-CN" w:bidi="ar"/>
                      <w14:textFill>
                        <w14:solidFill>
                          <w14:schemeClr w14:val="tx1"/>
                        </w14:solidFill>
                      </w14:textFill>
                    </w:rPr>
                    <w:t>率</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p>
              </w:tc>
              <w:tc>
                <w:tcPr>
                  <w:tcW w:w="731" w:type="pct"/>
                  <w:tcBorders>
                    <w:top w:val="single" w:color="000000" w:sz="4" w:space="0"/>
                    <w:left w:val="single" w:color="000000" w:sz="4" w:space="0"/>
                    <w:bottom w:val="single" w:color="000000" w:sz="4" w:space="0"/>
                    <w:right w:val="single" w:color="000000" w:sz="4" w:space="0"/>
                  </w:tcBorders>
                  <w:noWrap w:val="0"/>
                  <w:vAlign w:val="center"/>
                </w:tcPr>
                <w:p w14:paraId="374931B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Style w:val="168"/>
                      <w:color w:val="000000" w:themeColor="text1"/>
                      <w:lang w:val="en-US" w:eastAsia="zh-CN" w:bidi="ar"/>
                      <w14:textFill>
                        <w14:solidFill>
                          <w14:schemeClr w14:val="tx1"/>
                        </w14:solidFill>
                      </w14:textFill>
                    </w:rPr>
                    <w:t>原料使用量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r>
            <w:tr w14:paraId="797A1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trPr>
              <w:tc>
                <w:tcPr>
                  <w:tcW w:w="1107" w:type="dxa"/>
                  <w:tcBorders>
                    <w:top w:val="single" w:color="000000" w:sz="4" w:space="0"/>
                    <w:left w:val="single" w:color="000000" w:sz="4" w:space="0"/>
                    <w:bottom w:val="single" w:color="000000" w:sz="4" w:space="0"/>
                    <w:right w:val="single" w:color="000000" w:sz="4" w:space="0"/>
                  </w:tcBorders>
                  <w:noWrap/>
                  <w:vAlign w:val="center"/>
                </w:tcPr>
                <w:p w14:paraId="591865E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底漆</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6F77F4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10630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14:paraId="4B193B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1.4076</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7C846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69.29 </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374085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244" w:type="dxa"/>
                  <w:tcBorders>
                    <w:top w:val="single" w:color="000000" w:sz="4" w:space="0"/>
                    <w:left w:val="single" w:color="000000" w:sz="4" w:space="0"/>
                    <w:bottom w:val="single" w:color="000000" w:sz="4" w:space="0"/>
                    <w:right w:val="single" w:color="000000" w:sz="4" w:space="0"/>
                  </w:tcBorders>
                  <w:noWrap/>
                  <w:vAlign w:val="center"/>
                </w:tcPr>
                <w:p w14:paraId="12800A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2.539 </w:t>
                  </w:r>
                </w:p>
              </w:tc>
            </w:tr>
            <w:tr w14:paraId="1C2B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trPr>
              <w:tc>
                <w:tcPr>
                  <w:tcW w:w="1107" w:type="dxa"/>
                  <w:tcBorders>
                    <w:top w:val="single" w:color="000000" w:sz="4" w:space="0"/>
                    <w:left w:val="single" w:color="000000" w:sz="4" w:space="0"/>
                    <w:bottom w:val="single" w:color="000000" w:sz="4" w:space="0"/>
                    <w:right w:val="single" w:color="000000" w:sz="4" w:space="0"/>
                  </w:tcBorders>
                  <w:noWrap/>
                  <w:vAlign w:val="center"/>
                </w:tcPr>
                <w:p w14:paraId="067F38E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面漆</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B41A2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30000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4BD5B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1443" w:type="dxa"/>
                  <w:tcBorders>
                    <w:top w:val="single" w:color="000000" w:sz="4" w:space="0"/>
                    <w:left w:val="single" w:color="000000" w:sz="4" w:space="0"/>
                    <w:bottom w:val="single" w:color="000000" w:sz="4" w:space="0"/>
                    <w:right w:val="single" w:color="000000" w:sz="4" w:space="0"/>
                  </w:tcBorders>
                  <w:noWrap/>
                  <w:vAlign w:val="center"/>
                </w:tcPr>
                <w:p w14:paraId="7B0A78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1.2852</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5C2AA1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57.81 </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77C9E5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244" w:type="dxa"/>
                  <w:tcBorders>
                    <w:top w:val="single" w:color="000000" w:sz="4" w:space="0"/>
                    <w:left w:val="single" w:color="000000" w:sz="4" w:space="0"/>
                    <w:bottom w:val="single" w:color="000000" w:sz="4" w:space="0"/>
                    <w:right w:val="single" w:color="000000" w:sz="4" w:space="0"/>
                  </w:tcBorders>
                  <w:noWrap/>
                  <w:vAlign w:val="center"/>
                </w:tcPr>
                <w:p w14:paraId="3DAC849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3.890 </w:t>
                  </w:r>
                </w:p>
              </w:tc>
            </w:tr>
            <w:tr w14:paraId="32FE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107" w:type="dxa"/>
                  <w:tcBorders>
                    <w:top w:val="single" w:color="000000" w:sz="4" w:space="0"/>
                    <w:left w:val="single" w:color="000000" w:sz="4" w:space="0"/>
                    <w:bottom w:val="single" w:color="000000" w:sz="4" w:space="0"/>
                    <w:right w:val="single" w:color="000000" w:sz="4" w:space="0"/>
                  </w:tcBorders>
                  <w:noWrap/>
                  <w:vAlign w:val="center"/>
                </w:tcPr>
                <w:p w14:paraId="625B434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清漆</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309BE8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30000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D6C66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1443" w:type="dxa"/>
                  <w:tcBorders>
                    <w:top w:val="single" w:color="000000" w:sz="4" w:space="0"/>
                    <w:left w:val="single" w:color="000000" w:sz="4" w:space="0"/>
                    <w:bottom w:val="single" w:color="000000" w:sz="4" w:space="0"/>
                    <w:right w:val="single" w:color="000000" w:sz="4" w:space="0"/>
                  </w:tcBorders>
                  <w:noWrap/>
                  <w:vAlign w:val="center"/>
                </w:tcPr>
                <w:p w14:paraId="246997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1.4076</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163235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65.61 </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727EC7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244" w:type="dxa"/>
                  <w:tcBorders>
                    <w:top w:val="single" w:color="000000" w:sz="4" w:space="0"/>
                    <w:left w:val="single" w:color="000000" w:sz="4" w:space="0"/>
                    <w:bottom w:val="single" w:color="000000" w:sz="4" w:space="0"/>
                    <w:right w:val="single" w:color="000000" w:sz="4" w:space="0"/>
                  </w:tcBorders>
                  <w:noWrap/>
                  <w:vAlign w:val="center"/>
                </w:tcPr>
                <w:p w14:paraId="4E58EA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3.218 </w:t>
                  </w:r>
                </w:p>
              </w:tc>
            </w:tr>
            <w:tr w14:paraId="2F501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7271" w:type="dxa"/>
                  <w:gridSpan w:val="6"/>
                  <w:tcBorders>
                    <w:top w:val="single" w:color="000000" w:sz="4" w:space="0"/>
                    <w:left w:val="single" w:color="000000" w:sz="4" w:space="0"/>
                    <w:bottom w:val="single" w:color="000000" w:sz="4" w:space="0"/>
                    <w:right w:val="single" w:color="000000" w:sz="4" w:space="0"/>
                  </w:tcBorders>
                  <w:noWrap/>
                  <w:vAlign w:val="center"/>
                </w:tcPr>
                <w:p w14:paraId="201701A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合计</w:t>
                  </w:r>
                </w:p>
              </w:tc>
              <w:tc>
                <w:tcPr>
                  <w:tcW w:w="1244" w:type="dxa"/>
                  <w:tcBorders>
                    <w:top w:val="single" w:color="000000" w:sz="4" w:space="0"/>
                    <w:left w:val="single" w:color="000000" w:sz="4" w:space="0"/>
                    <w:bottom w:val="single" w:color="000000" w:sz="4" w:space="0"/>
                    <w:right w:val="single" w:color="000000" w:sz="4" w:space="0"/>
                  </w:tcBorders>
                  <w:noWrap/>
                  <w:vAlign w:val="center"/>
                </w:tcPr>
                <w:p w14:paraId="40540B2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9.648 </w:t>
                  </w:r>
                </w:p>
              </w:tc>
            </w:tr>
            <w:tr w14:paraId="63A9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5000" w:type="pct"/>
                  <w:gridSpan w:val="7"/>
                  <w:tcBorders>
                    <w:top w:val="single" w:color="000000" w:sz="4" w:space="0"/>
                    <w:left w:val="single" w:color="000000" w:sz="4" w:space="0"/>
                    <w:bottom w:val="single" w:color="000000" w:sz="4" w:space="0"/>
                    <w:right w:val="single" w:color="000000" w:sz="4" w:space="0"/>
                  </w:tcBorders>
                  <w:noWrap/>
                  <w:vAlign w:val="center"/>
                </w:tcPr>
                <w:p w14:paraId="2B0B0653">
                  <w:pPr>
                    <w:keepNext w:val="0"/>
                    <w:keepLines w:val="0"/>
                    <w:widowControl/>
                    <w:suppressLineNumbers w:val="0"/>
                    <w:spacing w:line="240" w:lineRule="auto"/>
                    <w:jc w:val="left"/>
                    <w:textAlignment w:val="center"/>
                    <w:rPr>
                      <w:rStyle w:val="152"/>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注：1、</w:t>
                  </w:r>
                  <w:r>
                    <w:rPr>
                      <w:rFonts w:hint="eastAsia" w:cs="Times New Roman"/>
                      <w:i w:val="0"/>
                      <w:iCs w:val="0"/>
                      <w:color w:val="000000" w:themeColor="text1"/>
                      <w:kern w:val="0"/>
                      <w:sz w:val="21"/>
                      <w:szCs w:val="21"/>
                      <w:u w:val="none"/>
                      <w:lang w:val="en-US" w:eastAsia="zh-CN"/>
                      <w14:textFill>
                        <w14:solidFill>
                          <w14:schemeClr w14:val="tx1"/>
                        </w14:solidFill>
                      </w14:textFill>
                    </w:rPr>
                    <w:t>本</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项目</w:t>
                  </w:r>
                  <w:r>
                    <w:rPr>
                      <w:rFonts w:hint="eastAsia" w:cs="Times New Roman"/>
                      <w:i w:val="0"/>
                      <w:iCs w:val="0"/>
                      <w:color w:val="000000" w:themeColor="text1"/>
                      <w:kern w:val="0"/>
                      <w:sz w:val="21"/>
                      <w:szCs w:val="21"/>
                      <w:u w:val="none"/>
                      <w:lang w:val="en-US" w:eastAsia="zh-CN"/>
                      <w14:textFill>
                        <w14:solidFill>
                          <w14:schemeClr w14:val="tx1"/>
                        </w14:solidFill>
                      </w14:textFill>
                    </w:rPr>
                    <w:t>以喷粉工艺产品为主，仅接受小部分的喷漆工艺产品订单，年</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喷漆产品</w:t>
                  </w:r>
                  <w:r>
                    <w:rPr>
                      <w:rFonts w:hint="eastAsia" w:cs="Times New Roman"/>
                      <w:i w:val="0"/>
                      <w:iCs w:val="0"/>
                      <w:color w:val="000000" w:themeColor="text1"/>
                      <w:kern w:val="0"/>
                      <w:sz w:val="21"/>
                      <w:szCs w:val="21"/>
                      <w:u w:val="none"/>
                      <w:lang w:val="en-US" w:eastAsia="zh-CN"/>
                      <w14:textFill>
                        <w14:solidFill>
                          <w14:schemeClr w14:val="tx1"/>
                        </w14:solidFill>
                      </w14:textFill>
                    </w:rPr>
                    <w:t>约为3</w:t>
                  </w:r>
                  <w:r>
                    <w:rPr>
                      <w:rFonts w:hint="default" w:ascii="Times New Roman" w:hAnsi="Times New Roman" w:eastAsia="宋体" w:cs="Times New Roman"/>
                      <w:i w:val="0"/>
                      <w:iCs w:val="0"/>
                      <w:color w:val="000000" w:themeColor="text1"/>
                      <w:kern w:val="0"/>
                      <w:sz w:val="21"/>
                      <w:szCs w:val="21"/>
                      <w:u w:val="none"/>
                      <w:lang w:val="en-US" w:eastAsia="zh-CN"/>
                      <w14:textFill>
                        <w14:solidFill>
                          <w14:schemeClr w14:val="tx1"/>
                        </w14:solidFill>
                      </w14:textFill>
                    </w:rPr>
                    <w:t>万m</w:t>
                  </w:r>
                  <w:r>
                    <w:rPr>
                      <w:rStyle w:val="152"/>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Style w:val="152"/>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w:t>
                  </w:r>
                </w:p>
                <w:p w14:paraId="0C96C15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color w:val="000000" w:themeColor="text1"/>
                      <w14:textFill>
                        <w14:solidFill>
                          <w14:schemeClr w14:val="tx1"/>
                        </w14:solidFill>
                      </w14:textFill>
                    </w:rPr>
                  </w:pPr>
                  <w:r>
                    <w:rPr>
                      <w:rStyle w:val="152"/>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w:t>
                  </w:r>
                  <w:r>
                    <w:rPr>
                      <w:rFonts w:hint="default" w:ascii="Times New Roman" w:hAnsi="Times New Roman" w:cs="Times New Roman"/>
                      <w:bCs/>
                      <w:color w:val="000000" w:themeColor="text1"/>
                      <w:sz w:val="21"/>
                      <w:szCs w:val="21"/>
                      <w:highlight w:val="none"/>
                      <w14:textFill>
                        <w14:solidFill>
                          <w14:schemeClr w14:val="tx1"/>
                        </w14:solidFill>
                      </w14:textFill>
                    </w:rPr>
                    <w:t>根据建设单位提供资料，</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本项目喷漆工序</w:t>
                  </w:r>
                  <w:r>
                    <w:rPr>
                      <w:rFonts w:hint="default" w:ascii="Times New Roman" w:hAnsi="Times New Roman" w:cs="Times New Roman"/>
                      <w:bCs/>
                      <w:color w:val="000000" w:themeColor="text1"/>
                      <w:sz w:val="21"/>
                      <w:szCs w:val="21"/>
                      <w:highlight w:val="none"/>
                      <w14:textFill>
                        <w14:solidFill>
                          <w14:schemeClr w14:val="tx1"/>
                        </w14:solidFill>
                      </w14:textFill>
                    </w:rPr>
                    <w:t>采用空气喷涂法，涂料利用率参考《现代涂装手册 化学工业出版社 2010年（第一版）》内容：“第4章 空气喷涂-4.1.2 空气喷涂的特点”，选取为</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bCs/>
                      <w:color w:val="000000" w:themeColor="text1"/>
                      <w:sz w:val="21"/>
                      <w:szCs w:val="21"/>
                      <w:highlight w:val="none"/>
                      <w14:textFill>
                        <w14:solidFill>
                          <w14:schemeClr w14:val="tx1"/>
                        </w14:solidFill>
                      </w14:textFill>
                    </w:rPr>
                    <w:t>0%</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p>
                <w:p w14:paraId="3DF10E6A">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3、油粉混合线工作模式为，当油漆工作时，喷粉线不工作，同时只进行其中一种工艺处理。根据订单情况选择工作模式。</w:t>
                  </w:r>
                </w:p>
                <w:p w14:paraId="30A59B3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4、根据建设单位提供信息，本表格为供需双方商定喷涂厚度，喷涂氟碳</w:t>
                  </w:r>
                  <w:r>
                    <w:rPr>
                      <w:rFonts w:hint="eastAsia"/>
                      <w:b w:val="0"/>
                      <w:bCs w:val="0"/>
                      <w:color w:val="000000" w:themeColor="text1"/>
                      <w:lang w:val="en-US" w:eastAsia="zh-CN"/>
                      <w14:textFill>
                        <w14:solidFill>
                          <w14:schemeClr w14:val="tx1"/>
                        </w14:solidFill>
                      </w14:textFill>
                    </w:rPr>
                    <w:t>层厚度＞20</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μm</w:t>
                  </w:r>
                  <w: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，满足《建筑装饰用铝单板》（GB/T 23443-2024） 中 6.3 装饰面层厚度要求。</w:t>
                  </w:r>
                </w:p>
                <w:p w14:paraId="6D7CF094">
                  <w:pPr>
                    <w:pStyle w:val="2"/>
                    <w:ind w:firstLine="420" w:firstLineChars="200"/>
                    <w:rPr>
                      <w:rFonts w:hint="default"/>
                      <w:color w:val="000000" w:themeColor="text1"/>
                      <w:lang w:val="en-US" w:eastAsia="zh-CN"/>
                      <w14:textFill>
                        <w14:solidFill>
                          <w14:schemeClr w14:val="tx1"/>
                        </w14:solidFill>
                      </w14:textFill>
                    </w:rPr>
                  </w:pPr>
                  <w:r>
                    <w:rPr>
                      <w:rFonts w:hint="eastAsia" w:asci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5、原料年使用量（吨 / 年）＝（喷涂总面积 × 干膜厚度 × 干漆膜固体密度）÷（涂料质量固含量 × 喷涂原料利用率 × 10⁶）</w:t>
                  </w:r>
                </w:p>
              </w:tc>
            </w:tr>
          </w:tbl>
          <w:p w14:paraId="4F864A2E">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②</w:t>
            </w:r>
            <w:r>
              <w:rPr>
                <w:b/>
                <w:color w:val="000000" w:themeColor="text1"/>
                <w:sz w:val="24"/>
                <w:highlight w:val="none"/>
                <w14:textFill>
                  <w14:solidFill>
                    <w14:schemeClr w14:val="tx1"/>
                  </w14:solidFill>
                </w14:textFill>
              </w:rPr>
              <w:t>原漆料用量核算</w:t>
            </w:r>
          </w:p>
          <w:p w14:paraId="6AB4F2F9">
            <w:pPr>
              <w:pStyle w:val="2"/>
              <w:pageBreakBefore w:val="0"/>
              <w:wordWrap w:val="0"/>
              <w:overflowPunct/>
              <w:bidi w:val="0"/>
              <w:ind w:firstLine="480" w:firstLineChars="200"/>
              <w:rPr>
                <w:rFonts w:ascii="Times New Roman" w:hAnsi="Times New Roman" w:eastAsia="宋体"/>
                <w:color w:val="000000" w:themeColor="text1"/>
                <w:szCs w:val="24"/>
                <w:highlight w:val="none"/>
                <w14:textFill>
                  <w14:solidFill>
                    <w14:schemeClr w14:val="tx1"/>
                  </w14:solidFill>
                </w14:textFill>
              </w:rPr>
            </w:pPr>
            <w:r>
              <w:rPr>
                <w:rFonts w:ascii="Times New Roman" w:hAnsi="Times New Roman" w:eastAsia="宋体"/>
                <w:color w:val="000000" w:themeColor="text1"/>
                <w:szCs w:val="24"/>
                <w:highlight w:val="none"/>
                <w14:textFill>
                  <w14:solidFill>
                    <w14:schemeClr w14:val="tx1"/>
                  </w14:solidFill>
                </w14:textFill>
              </w:rPr>
              <w:t>根据各漆料配比比例，得出原漆料具体成分使用量，详见下表。</w:t>
            </w:r>
          </w:p>
          <w:p w14:paraId="4513CF69">
            <w:pPr>
              <w:pageBreakBefore w:val="0"/>
              <w:widowControl w:val="0"/>
              <w:numPr>
                <w:ilvl w:val="0"/>
                <w:numId w:val="10"/>
              </w:numPr>
              <w:wordWrap w:val="0"/>
              <w:overflowPunct/>
              <w:bidi w:val="0"/>
              <w:spacing w:line="240" w:lineRule="auto"/>
              <w:ind w:left="0" w:leftChars="0" w:firstLine="40" w:firstLineChars="0"/>
              <w:jc w:val="center"/>
              <w:rPr>
                <w:color w:val="000000" w:themeColor="text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各原漆料用料一览表</w:t>
            </w:r>
          </w:p>
          <w:tbl>
            <w:tblPr>
              <w:tblStyle w:val="4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1395"/>
              <w:gridCol w:w="1431"/>
              <w:gridCol w:w="4556"/>
            </w:tblGrid>
            <w:tr w14:paraId="7A41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1" w:type="pct"/>
                  <w:noWrap w:val="0"/>
                  <w:vAlign w:val="center"/>
                </w:tcPr>
                <w:p w14:paraId="0A1ECBE9">
                  <w:pPr>
                    <w:pageBreakBefore w:val="0"/>
                    <w:wordWrap w:val="0"/>
                    <w:overflowPunct/>
                    <w:bidi w:val="0"/>
                    <w:spacing w:line="240" w:lineRule="auto"/>
                    <w:jc w:val="center"/>
                    <w:outlineLvl w:val="3"/>
                    <w:rPr>
                      <w:b/>
                      <w:color w:val="000000" w:themeColor="text1"/>
                      <w:sz w:val="21"/>
                      <w:szCs w:val="21"/>
                      <w:highlight w:val="none"/>
                      <w14:textFill>
                        <w14:solidFill>
                          <w14:schemeClr w14:val="tx1"/>
                        </w14:solidFill>
                      </w14:textFill>
                    </w:rPr>
                  </w:pPr>
                  <w:r>
                    <w:rPr>
                      <w:b/>
                      <w:color w:val="000000" w:themeColor="text1"/>
                      <w:sz w:val="21"/>
                      <w:szCs w:val="21"/>
                      <w:highlight w:val="none"/>
                      <w14:textFill>
                        <w14:solidFill>
                          <w14:schemeClr w14:val="tx1"/>
                        </w14:solidFill>
                      </w14:textFill>
                    </w:rPr>
                    <w:t>涂层种类</w:t>
                  </w:r>
                </w:p>
              </w:tc>
              <w:tc>
                <w:tcPr>
                  <w:tcW w:w="820" w:type="pct"/>
                  <w:noWrap w:val="0"/>
                  <w:vAlign w:val="center"/>
                </w:tcPr>
                <w:p w14:paraId="25338233">
                  <w:pPr>
                    <w:pageBreakBefore w:val="0"/>
                    <w:wordWrap w:val="0"/>
                    <w:overflowPunct/>
                    <w:bidi w:val="0"/>
                    <w:spacing w:line="240" w:lineRule="auto"/>
                    <w:jc w:val="center"/>
                    <w:outlineLvl w:val="3"/>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lang w:val="en-US" w:eastAsia="zh-CN"/>
                      <w14:textFill>
                        <w14:solidFill>
                          <w14:schemeClr w14:val="tx1"/>
                        </w14:solidFill>
                      </w14:textFill>
                    </w:rPr>
                    <w:t>漆料</w:t>
                  </w:r>
                  <w:r>
                    <w:rPr>
                      <w:b/>
                      <w:color w:val="000000" w:themeColor="text1"/>
                      <w:sz w:val="21"/>
                      <w:szCs w:val="21"/>
                      <w:highlight w:val="none"/>
                      <w14:textFill>
                        <w14:solidFill>
                          <w14:schemeClr w14:val="tx1"/>
                        </w14:solidFill>
                      </w14:textFill>
                    </w:rPr>
                    <w:t>名称</w:t>
                  </w:r>
                </w:p>
              </w:tc>
              <w:tc>
                <w:tcPr>
                  <w:tcW w:w="841" w:type="pct"/>
                  <w:noWrap w:val="0"/>
                  <w:vAlign w:val="center"/>
                </w:tcPr>
                <w:p w14:paraId="3E1F01F4">
                  <w:pPr>
                    <w:pageBreakBefore w:val="0"/>
                    <w:wordWrap w:val="0"/>
                    <w:overflowPunct/>
                    <w:bidi w:val="0"/>
                    <w:spacing w:line="240" w:lineRule="auto"/>
                    <w:jc w:val="center"/>
                    <w:outlineLvl w:val="3"/>
                    <w:rPr>
                      <w:b/>
                      <w:color w:val="000000" w:themeColor="text1"/>
                      <w:sz w:val="21"/>
                      <w:szCs w:val="21"/>
                      <w:highlight w:val="none"/>
                      <w14:textFill>
                        <w14:solidFill>
                          <w14:schemeClr w14:val="tx1"/>
                        </w14:solidFill>
                      </w14:textFill>
                    </w:rPr>
                  </w:pPr>
                  <w:r>
                    <w:rPr>
                      <w:b/>
                      <w:color w:val="000000" w:themeColor="text1"/>
                      <w:sz w:val="21"/>
                      <w:szCs w:val="21"/>
                      <w:highlight w:val="none"/>
                      <w14:textFill>
                        <w14:solidFill>
                          <w14:schemeClr w14:val="tx1"/>
                        </w14:solidFill>
                      </w14:textFill>
                    </w:rPr>
                    <w:t>原漆料用量（t/a）</w:t>
                  </w:r>
                </w:p>
              </w:tc>
              <w:tc>
                <w:tcPr>
                  <w:tcW w:w="2677" w:type="pct"/>
                  <w:noWrap w:val="0"/>
                  <w:vAlign w:val="center"/>
                </w:tcPr>
                <w:p w14:paraId="1249B3C7">
                  <w:pPr>
                    <w:pageBreakBefore w:val="0"/>
                    <w:wordWrap w:val="0"/>
                    <w:overflowPunct/>
                    <w:bidi w:val="0"/>
                    <w:spacing w:line="240" w:lineRule="auto"/>
                    <w:jc w:val="center"/>
                    <w:outlineLvl w:val="3"/>
                    <w:rPr>
                      <w:b/>
                      <w:color w:val="000000" w:themeColor="text1"/>
                      <w:sz w:val="21"/>
                      <w:szCs w:val="21"/>
                      <w:highlight w:val="none"/>
                      <w14:textFill>
                        <w14:solidFill>
                          <w14:schemeClr w14:val="tx1"/>
                        </w14:solidFill>
                      </w14:textFill>
                    </w:rPr>
                  </w:pPr>
                  <w:r>
                    <w:rPr>
                      <w:b/>
                      <w:color w:val="000000" w:themeColor="text1"/>
                      <w:sz w:val="21"/>
                      <w:szCs w:val="21"/>
                      <w:highlight w:val="none"/>
                      <w14:textFill>
                        <w14:solidFill>
                          <w14:schemeClr w14:val="tx1"/>
                        </w14:solidFill>
                      </w14:textFill>
                    </w:rPr>
                    <w:t>备注</w:t>
                  </w:r>
                </w:p>
              </w:tc>
            </w:tr>
            <w:tr w14:paraId="2FE4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restart"/>
                  <w:noWrap w:val="0"/>
                  <w:vAlign w:val="center"/>
                </w:tcPr>
                <w:p w14:paraId="3BEE6967">
                  <w:pPr>
                    <w:pageBreakBefore w:val="0"/>
                    <w:wordWrap w:val="0"/>
                    <w:overflowPunct/>
                    <w:bidi w:val="0"/>
                    <w:spacing w:line="240" w:lineRule="auto"/>
                    <w:jc w:val="center"/>
                    <w:outlineLvl w:val="3"/>
                    <w:rPr>
                      <w:rFonts w:hint="default"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油性漆</w:t>
                  </w:r>
                </w:p>
              </w:tc>
              <w:tc>
                <w:tcPr>
                  <w:tcW w:w="820" w:type="pct"/>
                  <w:noWrap w:val="0"/>
                  <w:vAlign w:val="center"/>
                </w:tcPr>
                <w:p w14:paraId="0B1C6DE2">
                  <w:pPr>
                    <w:keepNext w:val="0"/>
                    <w:keepLines w:val="0"/>
                    <w:widowControl/>
                    <w:suppressLineNumbers w:val="0"/>
                    <w:jc w:val="center"/>
                    <w:textAlignment w:val="center"/>
                    <w:rPr>
                      <w:rFonts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稀释剂</w:t>
                  </w:r>
                </w:p>
              </w:tc>
              <w:tc>
                <w:tcPr>
                  <w:tcW w:w="1431" w:type="dxa"/>
                  <w:noWrap w:val="0"/>
                  <w:vAlign w:val="center"/>
                </w:tcPr>
                <w:p w14:paraId="772C01BF">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1.299 </w:t>
                  </w:r>
                </w:p>
              </w:tc>
              <w:tc>
                <w:tcPr>
                  <w:tcW w:w="2677" w:type="pct"/>
                  <w:noWrap w:val="0"/>
                  <w:vAlign w:val="center"/>
                </w:tcPr>
                <w:p w14:paraId="26C56A19">
                  <w:pPr>
                    <w:pageBreakBefore w:val="0"/>
                    <w:wordWrap w:val="0"/>
                    <w:overflowPunct/>
                    <w:bidi w:val="0"/>
                    <w:spacing w:line="240" w:lineRule="auto"/>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r>
            <w:tr w14:paraId="2FBF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continue"/>
                  <w:noWrap w:val="0"/>
                  <w:vAlign w:val="center"/>
                </w:tcPr>
                <w:p w14:paraId="69F96C6E">
                  <w:pPr>
                    <w:pageBreakBefore w:val="0"/>
                    <w:wordWrap w:val="0"/>
                    <w:overflowPunct/>
                    <w:bidi w:val="0"/>
                    <w:spacing w:line="240" w:lineRule="auto"/>
                    <w:jc w:val="center"/>
                    <w:rPr>
                      <w:bCs/>
                      <w:color w:val="000000" w:themeColor="text1"/>
                      <w:sz w:val="21"/>
                      <w:szCs w:val="21"/>
                      <w:highlight w:val="none"/>
                      <w14:textFill>
                        <w14:solidFill>
                          <w14:schemeClr w14:val="tx1"/>
                        </w14:solidFill>
                      </w14:textFill>
                    </w:rPr>
                  </w:pPr>
                </w:p>
              </w:tc>
              <w:tc>
                <w:tcPr>
                  <w:tcW w:w="820" w:type="pct"/>
                  <w:noWrap w:val="0"/>
                  <w:vAlign w:val="center"/>
                </w:tcPr>
                <w:p w14:paraId="72510D0E">
                  <w:pPr>
                    <w:keepNext w:val="0"/>
                    <w:keepLines w:val="0"/>
                    <w:widowControl/>
                    <w:suppressLineNumbers w:val="0"/>
                    <w:jc w:val="center"/>
                    <w:textAlignment w:val="center"/>
                    <w:rPr>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底漆</w:t>
                  </w:r>
                </w:p>
              </w:tc>
              <w:tc>
                <w:tcPr>
                  <w:tcW w:w="1431" w:type="dxa"/>
                  <w:noWrap w:val="0"/>
                  <w:vAlign w:val="center"/>
                </w:tcPr>
                <w:p w14:paraId="149F6E0E">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2.309 </w:t>
                  </w:r>
                </w:p>
              </w:tc>
              <w:tc>
                <w:tcPr>
                  <w:tcW w:w="2677" w:type="pct"/>
                  <w:noWrap w:val="0"/>
                  <w:vAlign w:val="center"/>
                </w:tcPr>
                <w:p w14:paraId="214A7354">
                  <w:pPr>
                    <w:pageBreakBefore w:val="0"/>
                    <w:wordWrap w:val="0"/>
                    <w:overflowPunct/>
                    <w:bidi w:val="0"/>
                    <w:spacing w:line="240" w:lineRule="auto"/>
                    <w:jc w:val="center"/>
                    <w:outlineLvl w:val="3"/>
                    <w:rPr>
                      <w:rFonts w:hint="default" w:eastAsia="宋体"/>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漆:稀释剂=1:0.1</w:t>
                  </w:r>
                </w:p>
              </w:tc>
            </w:tr>
            <w:tr w14:paraId="148A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continue"/>
                  <w:noWrap w:val="0"/>
                  <w:vAlign w:val="center"/>
                </w:tcPr>
                <w:p w14:paraId="13170FC6">
                  <w:pPr>
                    <w:pageBreakBefore w:val="0"/>
                    <w:wordWrap w:val="0"/>
                    <w:overflowPunct/>
                    <w:bidi w:val="0"/>
                    <w:spacing w:line="240" w:lineRule="auto"/>
                    <w:jc w:val="center"/>
                    <w:rPr>
                      <w:bCs/>
                      <w:color w:val="000000" w:themeColor="text1"/>
                      <w:sz w:val="21"/>
                      <w:szCs w:val="21"/>
                      <w:highlight w:val="none"/>
                      <w14:textFill>
                        <w14:solidFill>
                          <w14:schemeClr w14:val="tx1"/>
                        </w14:solidFill>
                      </w14:textFill>
                    </w:rPr>
                  </w:pPr>
                </w:p>
              </w:tc>
              <w:tc>
                <w:tcPr>
                  <w:tcW w:w="820" w:type="pct"/>
                  <w:noWrap w:val="0"/>
                  <w:vAlign w:val="center"/>
                </w:tcPr>
                <w:p w14:paraId="0692919B">
                  <w:pPr>
                    <w:keepNext w:val="0"/>
                    <w:keepLines w:val="0"/>
                    <w:widowControl/>
                    <w:suppressLineNumbers w:val="0"/>
                    <w:jc w:val="center"/>
                    <w:textAlignment w:val="center"/>
                    <w:rPr>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面漆</w:t>
                  </w:r>
                </w:p>
              </w:tc>
              <w:tc>
                <w:tcPr>
                  <w:tcW w:w="1431" w:type="dxa"/>
                  <w:noWrap w:val="0"/>
                  <w:vAlign w:val="center"/>
                </w:tcPr>
                <w:p w14:paraId="0CFE9C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3.242 </w:t>
                  </w:r>
                </w:p>
              </w:tc>
              <w:tc>
                <w:tcPr>
                  <w:tcW w:w="2677" w:type="pct"/>
                  <w:noWrap w:val="0"/>
                  <w:vAlign w:val="center"/>
                </w:tcPr>
                <w:p w14:paraId="5DA62D6C">
                  <w:pPr>
                    <w:pageBreakBefore w:val="0"/>
                    <w:wordWrap w:val="0"/>
                    <w:overflowPunct/>
                    <w:bidi w:val="0"/>
                    <w:spacing w:line="240" w:lineRule="auto"/>
                    <w:jc w:val="center"/>
                    <w:outlineLvl w:val="3"/>
                    <w:rPr>
                      <w:rFonts w:hint="default"/>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漆:稀释剂=1:0.2</w:t>
                  </w:r>
                </w:p>
              </w:tc>
            </w:tr>
            <w:tr w14:paraId="3332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1" w:type="pct"/>
                  <w:vMerge w:val="continue"/>
                  <w:noWrap w:val="0"/>
                  <w:vAlign w:val="center"/>
                </w:tcPr>
                <w:p w14:paraId="08FE8B55">
                  <w:pPr>
                    <w:pageBreakBefore w:val="0"/>
                    <w:wordWrap w:val="0"/>
                    <w:overflowPunct/>
                    <w:bidi w:val="0"/>
                    <w:spacing w:line="240" w:lineRule="auto"/>
                    <w:jc w:val="center"/>
                    <w:rPr>
                      <w:bCs/>
                      <w:color w:val="000000" w:themeColor="text1"/>
                      <w:sz w:val="21"/>
                      <w:szCs w:val="21"/>
                      <w:highlight w:val="none"/>
                      <w14:textFill>
                        <w14:solidFill>
                          <w14:schemeClr w14:val="tx1"/>
                        </w14:solidFill>
                      </w14:textFill>
                    </w:rPr>
                  </w:pPr>
                </w:p>
              </w:tc>
              <w:tc>
                <w:tcPr>
                  <w:tcW w:w="820" w:type="pct"/>
                  <w:noWrap w:val="0"/>
                  <w:vAlign w:val="center"/>
                </w:tcPr>
                <w:p w14:paraId="36FD9B60">
                  <w:pPr>
                    <w:keepNext w:val="0"/>
                    <w:keepLines w:val="0"/>
                    <w:widowControl/>
                    <w:suppressLineNumbers w:val="0"/>
                    <w:jc w:val="center"/>
                    <w:textAlignment w:val="center"/>
                    <w:rPr>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清漆</w:t>
                  </w:r>
                </w:p>
              </w:tc>
              <w:tc>
                <w:tcPr>
                  <w:tcW w:w="1431" w:type="dxa"/>
                  <w:noWrap w:val="0"/>
                  <w:vAlign w:val="center"/>
                </w:tcPr>
                <w:p w14:paraId="041E6F46">
                  <w:pPr>
                    <w:keepNext w:val="0"/>
                    <w:keepLines w:val="0"/>
                    <w:widowControl/>
                    <w:suppressLineNumbers w:val="0"/>
                    <w:jc w:val="center"/>
                    <w:textAlignment w:val="center"/>
                    <w:rPr>
                      <w:rFonts w:hint="default" w:eastAsia="宋体"/>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2.798 </w:t>
                  </w:r>
                </w:p>
              </w:tc>
              <w:tc>
                <w:tcPr>
                  <w:tcW w:w="2677" w:type="pct"/>
                  <w:noWrap w:val="0"/>
                  <w:vAlign w:val="center"/>
                </w:tcPr>
                <w:p w14:paraId="0443B0AC">
                  <w:pPr>
                    <w:pageBreakBefore w:val="0"/>
                    <w:wordWrap w:val="0"/>
                    <w:overflowPunct/>
                    <w:bidi w:val="0"/>
                    <w:spacing w:line="240" w:lineRule="auto"/>
                    <w:jc w:val="center"/>
                    <w:outlineLvl w:val="3"/>
                    <w:rPr>
                      <w:rFonts w:hint="default" w:eastAsia="宋体"/>
                      <w:bCs/>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漆:稀释剂=1:0.15</w:t>
                  </w:r>
                </w:p>
              </w:tc>
            </w:tr>
            <w:tr w14:paraId="07F7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noWrap w:val="0"/>
                  <w:vAlign w:val="center"/>
                </w:tcPr>
                <w:p w14:paraId="6181E9ED">
                  <w:pPr>
                    <w:pStyle w:val="19"/>
                    <w:spacing w:line="360" w:lineRule="auto"/>
                    <w:ind w:left="0" w:leftChars="0" w:firstLine="0" w:firstLineChars="0"/>
                    <w:rPr>
                      <w:rFonts w:hint="eastAsia"/>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注：</w:t>
                  </w:r>
                  <w:r>
                    <w:rPr>
                      <w:rFonts w:hint="default" w:ascii="Times New Roman" w:hAnsi="Times New Roman" w:cs="Times New Roman"/>
                      <w:color w:val="000000" w:themeColor="text1"/>
                      <w:sz w:val="21"/>
                      <w:szCs w:val="21"/>
                      <w:highlight w:val="none"/>
                      <w14:textFill>
                        <w14:solidFill>
                          <w14:schemeClr w14:val="tx1"/>
                        </w14:solidFill>
                      </w14:textFill>
                    </w:rPr>
                    <w:t>油性漆不可替代说明：油性漆相对硬度较高，具有很好的耐污性、易清洁性且耐磨抗刮，这使得</w:t>
                  </w:r>
                  <w:r>
                    <w:rPr>
                      <w:rFonts w:hint="eastAsia" w:cs="Times New Roman"/>
                      <w:color w:val="000000" w:themeColor="text1"/>
                      <w:sz w:val="21"/>
                      <w:szCs w:val="21"/>
                      <w:highlight w:val="none"/>
                      <w:lang w:val="en-US" w:eastAsia="zh-CN"/>
                      <w14:textFill>
                        <w14:solidFill>
                          <w14:schemeClr w14:val="tx1"/>
                        </w14:solidFill>
                      </w14:textFill>
                    </w:rPr>
                    <w:t>产品</w:t>
                  </w:r>
                  <w:r>
                    <w:rPr>
                      <w:rFonts w:hint="default" w:ascii="Times New Roman" w:hAnsi="Times New Roman" w:cs="Times New Roman"/>
                      <w:color w:val="000000" w:themeColor="text1"/>
                      <w:sz w:val="21"/>
                      <w:szCs w:val="21"/>
                      <w:highlight w:val="none"/>
                      <w14:textFill>
                        <w14:solidFill>
                          <w14:schemeClr w14:val="tx1"/>
                        </w14:solidFill>
                      </w14:textFill>
                    </w:rPr>
                    <w:t>即使在频繁使用后也能保持干净整洁。油性漆表面光滑，可以轻易擦去污渍，无需特殊清洁剂即可保持清洁。油性漆在产品生产过程中有机成分全部挥发，产品表面残留物均为安全成分。因此，根据客户要求，本项目目前对少部分耐磨性要求高的产品仍需采用油性漆进行生产。</w:t>
                  </w:r>
                </w:p>
              </w:tc>
            </w:tr>
          </w:tbl>
          <w:p w14:paraId="74DF286A">
            <w:pPr>
              <w:pageBreakBefore w:val="0"/>
              <w:widowControl w:val="0"/>
              <w:numPr>
                <w:ilvl w:val="0"/>
                <w:numId w:val="10"/>
              </w:numPr>
              <w:wordWrap w:val="0"/>
              <w:overflowPunct/>
              <w:bidi w:val="0"/>
              <w:spacing w:line="240" w:lineRule="auto"/>
              <w:ind w:left="0" w:leftChars="0" w:firstLine="40" w:firstLineChars="0"/>
              <w:jc w:val="center"/>
              <w:rPr>
                <w:rFonts w:hint="eastAsia" w:asci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eastAsia" w:ascii="Times New Roman" w:cs="Times New Roman"/>
                <w:b/>
                <w:bCs/>
                <w:color w:val="000000" w:themeColor="text1"/>
                <w:sz w:val="21"/>
                <w:szCs w:val="21"/>
                <w:highlight w:val="none"/>
                <w14:textFill>
                  <w14:solidFill>
                    <w14:schemeClr w14:val="tx1"/>
                  </w14:solidFill>
                </w14:textFill>
              </w:rPr>
              <w:t>项目涉VOCs原辅材料VOCs含量情况一览表</w:t>
            </w:r>
          </w:p>
          <w:tbl>
            <w:tblPr>
              <w:tblStyle w:val="44"/>
              <w:tblW w:w="852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4"/>
              <w:gridCol w:w="1110"/>
              <w:gridCol w:w="1110"/>
              <w:gridCol w:w="1542"/>
              <w:gridCol w:w="1342"/>
              <w:gridCol w:w="1342"/>
              <w:gridCol w:w="1030"/>
            </w:tblGrid>
            <w:tr w14:paraId="1986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802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漆种类</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B2FE">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底漆</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67CA">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面漆</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E706">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清漆</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5F7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配漆稀释剂</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ADD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喷枪清洗剂</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993D">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粉末涂料</w:t>
                  </w:r>
                </w:p>
              </w:tc>
            </w:tr>
            <w:tr w14:paraId="71715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5D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用量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66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2.309 </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06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3.242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39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2.798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71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1.299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8BA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0.084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67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109.755 </w:t>
                  </w:r>
                </w:p>
              </w:tc>
            </w:tr>
            <w:tr w14:paraId="1478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06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密度</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g/cm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D1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1.173</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9AC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DFA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1.173</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6A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0.892</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89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0.828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65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39CCB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AF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（调漆前）</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VOCs</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含量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88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23.7852%</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66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30.6256%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459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24.5524%</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C1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91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65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1.2kg/t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粉末涂料</w:t>
                  </w:r>
                </w:p>
              </w:tc>
            </w:tr>
            <w:tr w14:paraId="23C4F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BE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VOCs</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产生量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6D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0.5491 </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3B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0.9929 </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4E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0.6871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76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1.2990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6A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0.0419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43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0.1317 </w:t>
                  </w:r>
                </w:p>
              </w:tc>
            </w:tr>
            <w:tr w14:paraId="727E9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864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（调漆后）</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施工状态下VOC含量</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095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350.2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B2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437.2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F32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C2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E0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087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DBE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9B56">
                  <w:pPr>
                    <w:keepNext w:val="0"/>
                    <w:keepLines w:val="0"/>
                    <w:widowControl/>
                    <w:numPr>
                      <w:ilvl w:val="0"/>
                      <w:numId w:val="12"/>
                    </w:numPr>
                    <w:suppressLineNumbers w:val="0"/>
                    <w:jc w:val="left"/>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喷枪清洗</w:t>
                  </w:r>
                  <w:r>
                    <w:rPr>
                      <w:rFonts w:hint="eastAsia" w:cs="Times New Roman"/>
                      <w:i w:val="0"/>
                      <w:iCs w:val="0"/>
                      <w:color w:val="000000" w:themeColor="text1"/>
                      <w:kern w:val="0"/>
                      <w:sz w:val="21"/>
                      <w:szCs w:val="21"/>
                      <w:u w:val="none"/>
                      <w:lang w:val="en-US" w:eastAsia="zh-CN" w:bidi="ar"/>
                      <w14:textFill>
                        <w14:solidFill>
                          <w14:schemeClr w14:val="tx1"/>
                        </w14:solidFill>
                      </w14:textFill>
                    </w:rPr>
                    <w:t>过程在密闭塑料桶内，仅在塑料桶开关盖时有少量清洗剂的挥发，本项目保守以</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r>
                    <w:rPr>
                      <w:rFonts w:hint="eastAsia" w:cs="Times New Roman"/>
                      <w:i w:val="0"/>
                      <w:iCs w:val="0"/>
                      <w:color w:val="000000" w:themeColor="text1"/>
                      <w:kern w:val="0"/>
                      <w:sz w:val="21"/>
                      <w:szCs w:val="21"/>
                      <w:u w:val="none"/>
                      <w:lang w:val="en-US" w:eastAsia="zh-CN" w:bidi="ar"/>
                      <w14:textFill>
                        <w14:solidFill>
                          <w14:schemeClr w14:val="tx1"/>
                        </w14:solidFill>
                      </w14:textFill>
                    </w:rPr>
                    <w:t>的</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挥发</w:t>
                  </w:r>
                  <w:r>
                    <w:rPr>
                      <w:rFonts w:hint="eastAsia" w:cs="Times New Roman"/>
                      <w:i w:val="0"/>
                      <w:iCs w:val="0"/>
                      <w:color w:val="000000" w:themeColor="text1"/>
                      <w:kern w:val="0"/>
                      <w:sz w:val="21"/>
                      <w:szCs w:val="21"/>
                      <w:u w:val="none"/>
                      <w:lang w:val="en-US" w:eastAsia="zh-CN" w:bidi="ar"/>
                      <w14:textFill>
                        <w14:solidFill>
                          <w14:schemeClr w14:val="tx1"/>
                        </w14:solidFill>
                      </w14:textFill>
                    </w:rPr>
                    <w:t>占比</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计，其余50%进入危险废物。</w:t>
                  </w:r>
                </w:p>
                <w:p w14:paraId="4AFAC97D">
                  <w:pPr>
                    <w:pStyle w:val="2"/>
                    <w:numPr>
                      <w:ilvl w:val="0"/>
                      <w:numId w:val="12"/>
                    </w:numP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溶剂型涂料-工业防护涂料-金属基层防腐涂料-单组分：≤500g/L，本项目使用底漆、面漆、清漆符合</w:t>
                  </w:r>
                  <w:r>
                    <w:rPr>
                      <w:rFonts w:hint="default" w:ascii="Times New Roman" w:hAnsi="Times New Roman" w:cs="Times New Roman"/>
                      <w:bCs/>
                      <w:color w:val="000000" w:themeColor="text1"/>
                      <w:kern w:val="2"/>
                      <w:sz w:val="21"/>
                      <w:szCs w:val="21"/>
                      <w:highlight w:val="none"/>
                      <w14:textFill>
                        <w14:solidFill>
                          <w14:schemeClr w14:val="tx1"/>
                        </w14:solidFill>
                      </w14:textFill>
                    </w:rPr>
                    <w:t>《低挥发性有机化合物含量涂料产品技术要求》（GB/T38597-2020）</w:t>
                  </w:r>
                  <w:r>
                    <w:rPr>
                      <w:rFonts w:hint="default" w:ascii="Times New Roman" w:hAnsi="Times New Roman" w:cs="Times New Roman"/>
                      <w:color w:val="000000" w:themeColor="text1"/>
                      <w:sz w:val="21"/>
                      <w:szCs w:val="21"/>
                      <w14:textFill>
                        <w14:solidFill>
                          <w14:schemeClr w14:val="tx1"/>
                        </w14:solidFill>
                      </w14:textFill>
                    </w:rPr>
                    <w:t>要求</w:t>
                  </w:r>
                  <w:r>
                    <w:rPr>
                      <w:rFonts w:hint="default" w:ascii="Times New Roman" w:hAnsi="Times New Roman" w:cs="Times New Roman"/>
                      <w:color w:val="000000" w:themeColor="text1"/>
                      <w:sz w:val="21"/>
                      <w:szCs w:val="21"/>
                      <w:lang w:eastAsia="zh-CN"/>
                      <w14:textFill>
                        <w14:solidFill>
                          <w14:schemeClr w14:val="tx1"/>
                        </w14:solidFill>
                      </w14:textFill>
                    </w:rPr>
                    <w:t>。</w:t>
                  </w:r>
                </w:p>
                <w:p w14:paraId="687C4562">
                  <w:pPr>
                    <w:pStyle w:val="2"/>
                    <w:numPr>
                      <w:ilvl w:val="0"/>
                      <w:numId w:val="12"/>
                    </w:numPr>
                    <w:rPr>
                      <w:rFonts w:hint="eastAsia" w:eastAsia="宋体"/>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喷枪清洗剂，满足</w:t>
                  </w:r>
                  <w:r>
                    <w:rPr>
                      <w:rFonts w:hint="default" w:ascii="Times New Roman" w:hAnsi="Times New Roman" w:cs="Times New Roman"/>
                      <w:color w:val="000000" w:themeColor="text1"/>
                      <w:sz w:val="21"/>
                      <w:szCs w:val="21"/>
                      <w14:textFill>
                        <w14:solidFill>
                          <w14:schemeClr w14:val="tx1"/>
                        </w14:solidFill>
                      </w14:textFill>
                    </w:rPr>
                    <w:t>有机溶剂清洗剂 《清洗剂挥发性有机化合物含量限值》（GB38508-2020）VOC 含量限值（≤ 900g/L）</w:t>
                  </w:r>
                  <w:r>
                    <w:rPr>
                      <w:rFonts w:hint="default" w:ascii="Times New Roman" w:hAnsi="Times New Roman" w:cs="Times New Roman"/>
                      <w:color w:val="000000" w:themeColor="text1"/>
                      <w:sz w:val="21"/>
                      <w:szCs w:val="21"/>
                      <w:lang w:val="en-US" w:eastAsia="zh-CN"/>
                      <w14:textFill>
                        <w14:solidFill>
                          <w14:schemeClr w14:val="tx1"/>
                        </w14:solidFill>
                      </w14:textFill>
                    </w:rPr>
                    <w:t>要求</w:t>
                  </w:r>
                  <w:r>
                    <w:rPr>
                      <w:rFonts w:hint="default" w:ascii="Times New Roman" w:hAnsi="Times New Roman" w:cs="Times New Roman"/>
                      <w:color w:val="000000" w:themeColor="text1"/>
                      <w:lang w:val="en-US" w:eastAsia="zh-CN"/>
                      <w14:textFill>
                        <w14:solidFill>
                          <w14:schemeClr w14:val="tx1"/>
                        </w14:solidFill>
                      </w14:textFill>
                    </w:rPr>
                    <w:t>。</w:t>
                  </w:r>
                </w:p>
              </w:tc>
            </w:tr>
          </w:tbl>
          <w:p w14:paraId="5065625D">
            <w:pPr>
              <w:pageBreakBefore w:val="0"/>
              <w:widowControl w:val="0"/>
              <w:wordWrap w:val="0"/>
              <w:overflowPunct/>
              <w:bidi w:val="0"/>
              <w:spacing w:line="360" w:lineRule="auto"/>
              <w:ind w:firstLine="482"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③</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粉末涂料用量核算</w:t>
            </w:r>
          </w:p>
          <w:p w14:paraId="4989FA6E">
            <w:pPr>
              <w:widowControl/>
              <w:wordWrap w:val="0"/>
              <w:topLinePunct/>
              <w:spacing w:line="360" w:lineRule="auto"/>
              <w:ind w:firstLine="480" w:firstLineChars="200"/>
              <w:rPr>
                <w:rFonts w:hint="default" w:ascii="Times New Roman" w:hAnsi="Times New Roman" w:eastAsia="宋体" w:cs="Times New Roman"/>
                <w:color w:val="000000" w:themeColor="text1"/>
                <w:sz w:val="24"/>
                <w:szCs w:val="24"/>
                <w:highlight w:val="none"/>
                <w:lang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根据《现代涂装手册 化学工业出版社 2010年（第一版）》内容：“第13章粉末涂装 表13-1粉末涂料和液体涂料的涂装性能比较”可知，静电喷粉涂料喷涂损失率小于10%，综合考虑本项目设备性能及粉末喷粉厚度，静电喷粉附在工件表面的附着率取70%，无法吸附在工件上的喷粉材料约占30%。</w:t>
            </w:r>
          </w:p>
          <w:p w14:paraId="22DD6152">
            <w:pPr>
              <w:pageBreakBefore w:val="0"/>
              <w:widowControl w:val="0"/>
              <w:numPr>
                <w:ilvl w:val="0"/>
                <w:numId w:val="10"/>
              </w:numPr>
              <w:wordWrap w:val="0"/>
              <w:overflowPunct/>
              <w:bidi w:val="0"/>
              <w:spacing w:line="240" w:lineRule="auto"/>
              <w:ind w:left="0" w:leftChars="0" w:firstLine="40" w:firstLine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粉末使用量计算一览表</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3"/>
              <w:gridCol w:w="1595"/>
              <w:gridCol w:w="1078"/>
              <w:gridCol w:w="1351"/>
              <w:gridCol w:w="1351"/>
              <w:gridCol w:w="1382"/>
            </w:tblGrid>
            <w:tr w14:paraId="2F13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0" w:type="auto"/>
                  <w:vAlign w:val="center"/>
                </w:tcPr>
                <w:p w14:paraId="67542575">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t>产品喷粉总面积/m</w:t>
                  </w:r>
                  <w:r>
                    <w:rPr>
                      <w:rFonts w:hint="default" w:ascii="Times New Roman" w:hAnsi="Times New Roman" w:eastAsia="宋体" w:cs="Times New Roman"/>
                      <w:b/>
                      <w:bCs/>
                      <w:color w:val="000000" w:themeColor="text1"/>
                      <w:kern w:val="2"/>
                      <w:sz w:val="21"/>
                      <w:szCs w:val="21"/>
                      <w:highlight w:val="none"/>
                      <w:vertAlign w:val="superscript"/>
                      <w:lang w:bidi="ar"/>
                      <w14:textFill>
                        <w14:solidFill>
                          <w14:schemeClr w14:val="tx1"/>
                        </w14:solidFill>
                      </w14:textFill>
                    </w:rPr>
                    <w:t>2</w:t>
                  </w:r>
                </w:p>
              </w:tc>
              <w:tc>
                <w:tcPr>
                  <w:tcW w:w="0" w:type="auto"/>
                  <w:vAlign w:val="center"/>
                </w:tcPr>
                <w:p w14:paraId="1B09B61E">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t>喷粉厚度（</w:t>
                  </w:r>
                  <w:r>
                    <w:rPr>
                      <w:rFonts w:hint="default" w:ascii="Times New Roman" w:hAnsi="Times New Roman" w:eastAsia="宋体" w:cs="Times New Roman"/>
                      <w:b/>
                      <w:bCs/>
                      <w:color w:val="000000" w:themeColor="text1"/>
                      <w:kern w:val="2"/>
                      <w:sz w:val="21"/>
                      <w:szCs w:val="21"/>
                      <w:highlight w:val="none"/>
                      <w14:textFill>
                        <w14:solidFill>
                          <w14:schemeClr w14:val="tx1"/>
                        </w14:solidFill>
                      </w14:textFill>
                    </w:rPr>
                    <w:t>μm）</w:t>
                  </w:r>
                </w:p>
              </w:tc>
              <w:tc>
                <w:tcPr>
                  <w:tcW w:w="0" w:type="auto"/>
                  <w:vAlign w:val="center"/>
                </w:tcPr>
                <w:p w14:paraId="3FBCEF15">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t>密度/g/cm</w:t>
                  </w:r>
                  <w:r>
                    <w:rPr>
                      <w:rFonts w:hint="default" w:ascii="Times New Roman" w:hAnsi="Times New Roman" w:eastAsia="宋体" w:cs="Times New Roman"/>
                      <w:b/>
                      <w:bCs/>
                      <w:color w:val="000000" w:themeColor="text1"/>
                      <w:kern w:val="2"/>
                      <w:sz w:val="21"/>
                      <w:szCs w:val="21"/>
                      <w:highlight w:val="none"/>
                      <w:vertAlign w:val="superscript"/>
                      <w:lang w:bidi="ar"/>
                      <w14:textFill>
                        <w14:solidFill>
                          <w14:schemeClr w14:val="tx1"/>
                        </w14:solidFill>
                      </w14:textFill>
                    </w:rPr>
                    <w:t>3</w:t>
                  </w:r>
                </w:p>
              </w:tc>
              <w:tc>
                <w:tcPr>
                  <w:tcW w:w="0" w:type="auto"/>
                  <w:vAlign w:val="center"/>
                </w:tcPr>
                <w:p w14:paraId="52F4F790">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bidi="ar"/>
                      <w14:textFill>
                        <w14:solidFill>
                          <w14:schemeClr w14:val="tx1"/>
                        </w14:solidFill>
                      </w14:textFill>
                    </w:rPr>
                    <w:t>一次</w:t>
                  </w:r>
                  <w: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t>附着率%</w:t>
                  </w:r>
                </w:p>
              </w:tc>
              <w:tc>
                <w:tcPr>
                  <w:tcW w:w="0" w:type="auto"/>
                  <w:vAlign w:val="center"/>
                </w:tcPr>
                <w:p w14:paraId="213F153A">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t>综合利用率%</w:t>
                  </w:r>
                </w:p>
              </w:tc>
              <w:tc>
                <w:tcPr>
                  <w:tcW w:w="0" w:type="auto"/>
                  <w:vAlign w:val="center"/>
                </w:tcPr>
                <w:p w14:paraId="79F0E606">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bidi="ar"/>
                      <w14:textFill>
                        <w14:solidFill>
                          <w14:schemeClr w14:val="tx1"/>
                        </w14:solidFill>
                      </w14:textFill>
                    </w:rPr>
                    <w:t>粉末使用量t/a</w:t>
                  </w:r>
                </w:p>
              </w:tc>
            </w:tr>
            <w:tr w14:paraId="78C9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753" w:type="dxa"/>
                  <w:vAlign w:val="center"/>
                </w:tcPr>
                <w:p w14:paraId="205C6CD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1070000</w:t>
                  </w:r>
                </w:p>
              </w:tc>
              <w:tc>
                <w:tcPr>
                  <w:tcW w:w="1595" w:type="dxa"/>
                  <w:vAlign w:val="center"/>
                </w:tcPr>
                <w:p w14:paraId="02D6199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1078" w:type="dxa"/>
                  <w:vAlign w:val="center"/>
                </w:tcPr>
                <w:p w14:paraId="7436BDF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1351" w:type="dxa"/>
                  <w:vAlign w:val="center"/>
                </w:tcPr>
                <w:p w14:paraId="4922E4E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1351" w:type="dxa"/>
                  <w:vAlign w:val="center"/>
                </w:tcPr>
                <w:p w14:paraId="30B51A5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95.54%</w:t>
                  </w:r>
                </w:p>
              </w:tc>
              <w:tc>
                <w:tcPr>
                  <w:tcW w:w="1382" w:type="dxa"/>
                  <w:vAlign w:val="center"/>
                </w:tcPr>
                <w:p w14:paraId="545FD5B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109.755 </w:t>
                  </w:r>
                </w:p>
              </w:tc>
            </w:tr>
            <w:tr w14:paraId="10A0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10" w:type="dxa"/>
                  <w:gridSpan w:val="6"/>
                  <w:vAlign w:val="center"/>
                </w:tcPr>
                <w:p w14:paraId="346DF2ED">
                  <w:pPr>
                    <w:keepNext w:val="0"/>
                    <w:keepLines w:val="0"/>
                    <w:widowControl/>
                    <w:suppressLineNumbers w:val="0"/>
                    <w:wordWrap w:val="0"/>
                    <w:topLinePunct/>
                    <w:spacing w:before="0" w:beforeAutospacing="0" w:after="0" w:afterAutospacing="0" w:line="240" w:lineRule="auto"/>
                    <w:ind w:left="0" w:right="0"/>
                    <w:rPr>
                      <w:rFonts w:hint="default"/>
                      <w:color w:val="000000" w:themeColor="text1"/>
                      <w:kern w:val="2"/>
                      <w:sz w:val="21"/>
                      <w:szCs w:val="21"/>
                      <w:highlight w:val="none"/>
                      <w:lang w:bidi="ar"/>
                      <w14:textFill>
                        <w14:solidFill>
                          <w14:schemeClr w14:val="tx1"/>
                        </w14:solidFill>
                      </w14:textFill>
                    </w:rPr>
                  </w:pPr>
                  <w:r>
                    <w:rPr>
                      <w:rFonts w:hint="default"/>
                      <w:color w:val="000000" w:themeColor="text1"/>
                      <w:kern w:val="2"/>
                      <w:sz w:val="21"/>
                      <w:szCs w:val="21"/>
                      <w:highlight w:val="none"/>
                      <w:lang w:bidi="ar"/>
                      <w14:textFill>
                        <w14:solidFill>
                          <w14:schemeClr w14:val="tx1"/>
                        </w14:solidFill>
                      </w14:textFill>
                    </w:rPr>
                    <w:t>注：①根据粉末涂料MSDS报告可知，该物质的密度为1.</w:t>
                  </w:r>
                  <w:r>
                    <w:rPr>
                      <w:rFonts w:hint="eastAsia"/>
                      <w:color w:val="000000" w:themeColor="text1"/>
                      <w:kern w:val="2"/>
                      <w:sz w:val="21"/>
                      <w:szCs w:val="21"/>
                      <w:highlight w:val="none"/>
                      <w:lang w:val="en-US" w:eastAsia="zh-CN" w:bidi="ar"/>
                      <w14:textFill>
                        <w14:solidFill>
                          <w14:schemeClr w14:val="tx1"/>
                        </w14:solidFill>
                      </w14:textFill>
                    </w:rPr>
                    <w:t>3</w:t>
                  </w:r>
                  <w:r>
                    <w:rPr>
                      <w:rFonts w:hint="default"/>
                      <w:color w:val="000000" w:themeColor="text1"/>
                      <w:kern w:val="2"/>
                      <w:sz w:val="21"/>
                      <w:szCs w:val="21"/>
                      <w:highlight w:val="none"/>
                      <w:lang w:bidi="ar"/>
                      <w14:textFill>
                        <w14:solidFill>
                          <w14:schemeClr w14:val="tx1"/>
                        </w14:solidFill>
                      </w14:textFill>
                    </w:rPr>
                    <w:t>～1.</w:t>
                  </w:r>
                  <w:r>
                    <w:rPr>
                      <w:rFonts w:hint="eastAsia"/>
                      <w:color w:val="000000" w:themeColor="text1"/>
                      <w:kern w:val="2"/>
                      <w:sz w:val="21"/>
                      <w:szCs w:val="21"/>
                      <w:highlight w:val="none"/>
                      <w:lang w:val="en-US" w:eastAsia="zh-CN" w:bidi="ar"/>
                      <w14:textFill>
                        <w14:solidFill>
                          <w14:schemeClr w14:val="tx1"/>
                        </w14:solidFill>
                      </w14:textFill>
                    </w:rPr>
                    <w:t>4</w:t>
                  </w:r>
                  <w:r>
                    <w:rPr>
                      <w:rFonts w:hint="default"/>
                      <w:color w:val="000000" w:themeColor="text1"/>
                      <w:kern w:val="2"/>
                      <w:sz w:val="21"/>
                      <w:szCs w:val="21"/>
                      <w:highlight w:val="none"/>
                      <w:lang w:bidi="ar"/>
                      <w14:textFill>
                        <w14:solidFill>
                          <w14:schemeClr w14:val="tx1"/>
                        </w14:solidFill>
                      </w14:textFill>
                    </w:rPr>
                    <w:t>g/cm</w:t>
                  </w:r>
                  <w:r>
                    <w:rPr>
                      <w:rFonts w:hint="default"/>
                      <w:color w:val="000000" w:themeColor="text1"/>
                      <w:kern w:val="2"/>
                      <w:sz w:val="21"/>
                      <w:szCs w:val="21"/>
                      <w:highlight w:val="none"/>
                      <w:vertAlign w:val="superscript"/>
                      <w:lang w:bidi="ar"/>
                      <w14:textFill>
                        <w14:solidFill>
                          <w14:schemeClr w14:val="tx1"/>
                        </w14:solidFill>
                      </w14:textFill>
                    </w:rPr>
                    <w:t>3</w:t>
                  </w:r>
                  <w:r>
                    <w:rPr>
                      <w:rFonts w:hint="default"/>
                      <w:color w:val="000000" w:themeColor="text1"/>
                      <w:kern w:val="2"/>
                      <w:sz w:val="21"/>
                      <w:szCs w:val="21"/>
                      <w:highlight w:val="none"/>
                      <w:lang w:bidi="ar"/>
                      <w14:textFill>
                        <w14:solidFill>
                          <w14:schemeClr w14:val="tx1"/>
                        </w14:solidFill>
                      </w14:textFill>
                    </w:rPr>
                    <w:t>，本评价取值1.</w:t>
                  </w:r>
                  <w:r>
                    <w:rPr>
                      <w:rFonts w:hint="eastAsia"/>
                      <w:color w:val="000000" w:themeColor="text1"/>
                      <w:kern w:val="2"/>
                      <w:sz w:val="21"/>
                      <w:szCs w:val="21"/>
                      <w:highlight w:val="none"/>
                      <w:lang w:val="en-US" w:eastAsia="zh-CN" w:bidi="ar"/>
                      <w14:textFill>
                        <w14:solidFill>
                          <w14:schemeClr w14:val="tx1"/>
                        </w14:solidFill>
                      </w14:textFill>
                    </w:rPr>
                    <w:t>4</w:t>
                  </w:r>
                  <w:r>
                    <w:rPr>
                      <w:rFonts w:hint="default"/>
                      <w:color w:val="000000" w:themeColor="text1"/>
                      <w:kern w:val="2"/>
                      <w:sz w:val="21"/>
                      <w:szCs w:val="21"/>
                      <w:highlight w:val="none"/>
                      <w:lang w:bidi="ar"/>
                      <w14:textFill>
                        <w14:solidFill>
                          <w14:schemeClr w14:val="tx1"/>
                        </w14:solidFill>
                      </w14:textFill>
                    </w:rPr>
                    <w:t>g/cm</w:t>
                  </w:r>
                  <w:r>
                    <w:rPr>
                      <w:rFonts w:hint="default"/>
                      <w:color w:val="000000" w:themeColor="text1"/>
                      <w:kern w:val="2"/>
                      <w:sz w:val="21"/>
                      <w:szCs w:val="21"/>
                      <w:highlight w:val="none"/>
                      <w:vertAlign w:val="superscript"/>
                      <w:lang w:bidi="ar"/>
                      <w14:textFill>
                        <w14:solidFill>
                          <w14:schemeClr w14:val="tx1"/>
                        </w14:solidFill>
                      </w14:textFill>
                    </w:rPr>
                    <w:t>3</w:t>
                  </w:r>
                  <w:r>
                    <w:rPr>
                      <w:rFonts w:hint="default"/>
                      <w:color w:val="000000" w:themeColor="text1"/>
                      <w:kern w:val="2"/>
                      <w:sz w:val="21"/>
                      <w:szCs w:val="21"/>
                      <w:highlight w:val="none"/>
                      <w:lang w:bidi="ar"/>
                      <w14:textFill>
                        <w14:solidFill>
                          <w14:schemeClr w14:val="tx1"/>
                        </w14:solidFill>
                      </w14:textFill>
                    </w:rPr>
                    <w:t>；</w:t>
                  </w:r>
                </w:p>
                <w:p w14:paraId="745D8917">
                  <w:pPr>
                    <w:keepNext w:val="0"/>
                    <w:keepLines w:val="0"/>
                    <w:widowControl/>
                    <w:suppressLineNumbers w:val="0"/>
                    <w:wordWrap w:val="0"/>
                    <w:topLinePunct/>
                    <w:spacing w:before="0" w:beforeAutospacing="0" w:after="0" w:afterAutospacing="0" w:line="240" w:lineRule="auto"/>
                    <w:ind w:left="0" w:right="0"/>
                    <w:rPr>
                      <w:rFonts w:hint="default"/>
                      <w:color w:val="000000" w:themeColor="text1"/>
                      <w:kern w:val="2"/>
                      <w:sz w:val="21"/>
                      <w:szCs w:val="21"/>
                      <w:highlight w:val="none"/>
                      <w:lang w:bidi="ar"/>
                      <w14:textFill>
                        <w14:solidFill>
                          <w14:schemeClr w14:val="tx1"/>
                        </w14:solidFill>
                      </w14:textFill>
                    </w:rPr>
                  </w:pPr>
                  <w:r>
                    <w:rPr>
                      <w:rFonts w:hint="default"/>
                      <w:color w:val="000000" w:themeColor="text1"/>
                      <w:kern w:val="2"/>
                      <w:sz w:val="21"/>
                      <w:szCs w:val="21"/>
                      <w:highlight w:val="none"/>
                      <w:lang w:bidi="ar"/>
                      <w14:textFill>
                        <w14:solidFill>
                          <w14:schemeClr w14:val="tx1"/>
                        </w14:solidFill>
                      </w14:textFill>
                    </w:rPr>
                    <w:t>②本项目喷粉粉末</w:t>
                  </w:r>
                  <w:r>
                    <w:rPr>
                      <w:rFonts w:hint="eastAsia"/>
                      <w:color w:val="000000" w:themeColor="text1"/>
                      <w:kern w:val="2"/>
                      <w:sz w:val="21"/>
                      <w:szCs w:val="21"/>
                      <w:highlight w:val="none"/>
                      <w:lang w:bidi="ar"/>
                      <w14:textFill>
                        <w14:solidFill>
                          <w14:schemeClr w14:val="tx1"/>
                        </w14:solidFill>
                      </w14:textFill>
                    </w:rPr>
                    <w:t>一次</w:t>
                  </w:r>
                  <w:r>
                    <w:rPr>
                      <w:rFonts w:hint="default"/>
                      <w:color w:val="000000" w:themeColor="text1"/>
                      <w:kern w:val="2"/>
                      <w:sz w:val="21"/>
                      <w:szCs w:val="21"/>
                      <w:highlight w:val="none"/>
                      <w:lang w:bidi="ar"/>
                      <w14:textFill>
                        <w14:solidFill>
                          <w14:schemeClr w14:val="tx1"/>
                        </w14:solidFill>
                      </w14:textFill>
                    </w:rPr>
                    <w:t>附着率为70%，粉末收集效率为90%，回用率为99%，未收集部分粉尘沉降率为80%。因本项目回用粉末一直参与回用，其粉末综合利用率为0.7+（0.3×0.9×0.99）×0.7+（0.3×0.9×0.99）</w:t>
                  </w:r>
                  <w:r>
                    <w:rPr>
                      <w:rFonts w:hint="default"/>
                      <w:color w:val="000000" w:themeColor="text1"/>
                      <w:kern w:val="2"/>
                      <w:sz w:val="21"/>
                      <w:szCs w:val="21"/>
                      <w:highlight w:val="none"/>
                      <w:vertAlign w:val="superscript"/>
                      <w:lang w:bidi="ar"/>
                      <w14:textFill>
                        <w14:solidFill>
                          <w14:schemeClr w14:val="tx1"/>
                        </w14:solidFill>
                      </w14:textFill>
                    </w:rPr>
                    <w:t>2</w:t>
                  </w:r>
                  <w:r>
                    <w:rPr>
                      <w:rFonts w:hint="default"/>
                      <w:color w:val="000000" w:themeColor="text1"/>
                      <w:kern w:val="2"/>
                      <w:sz w:val="21"/>
                      <w:szCs w:val="21"/>
                      <w:highlight w:val="none"/>
                      <w:lang w:bidi="ar"/>
                      <w14:textFill>
                        <w14:solidFill>
                          <w14:schemeClr w14:val="tx1"/>
                        </w14:solidFill>
                      </w14:textFill>
                    </w:rPr>
                    <w:t>×0.7....=0.7×(1-0.2673</w:t>
                  </w:r>
                  <w:r>
                    <w:rPr>
                      <w:rFonts w:hint="default"/>
                      <w:color w:val="000000" w:themeColor="text1"/>
                      <w:kern w:val="2"/>
                      <w:sz w:val="21"/>
                      <w:szCs w:val="21"/>
                      <w:highlight w:val="none"/>
                      <w:vertAlign w:val="superscript"/>
                      <w14:textFill>
                        <w14:solidFill>
                          <w14:schemeClr w14:val="tx1"/>
                        </w14:solidFill>
                      </w14:textFill>
                    </w:rPr>
                    <w:t>n</w:t>
                  </w:r>
                  <w:r>
                    <w:rPr>
                      <w:rFonts w:hint="default"/>
                      <w:color w:val="000000" w:themeColor="text1"/>
                      <w:kern w:val="2"/>
                      <w:sz w:val="21"/>
                      <w:szCs w:val="21"/>
                      <w:highlight w:val="none"/>
                      <w:lang w:bidi="ar"/>
                      <w14:textFill>
                        <w14:solidFill>
                          <w14:schemeClr w14:val="tx1"/>
                        </w14:solidFill>
                      </w14:textFill>
                    </w:rPr>
                    <w:t>)/（1-0.2673）=0.7（1-0）/（1-0.2673）=95.54%；</w:t>
                  </w:r>
                </w:p>
                <w:p w14:paraId="67C507A4">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color w:val="000000" w:themeColor="text1"/>
                      <w:kern w:val="2"/>
                      <w:sz w:val="21"/>
                      <w:szCs w:val="21"/>
                      <w:highlight w:val="none"/>
                      <w:lang w:bidi="ar"/>
                      <w14:textFill>
                        <w14:solidFill>
                          <w14:schemeClr w14:val="tx1"/>
                        </w14:solidFill>
                      </w14:textFill>
                    </w:rPr>
                    <w:t>③</w:t>
                  </w:r>
                  <w:r>
                    <w:rPr>
                      <w:rFonts w:hint="default"/>
                      <w:color w:val="000000" w:themeColor="text1"/>
                      <w:kern w:val="2"/>
                      <w:sz w:val="21"/>
                      <w:szCs w:val="21"/>
                      <w:highlight w:val="none"/>
                      <w14:textFill>
                        <w14:solidFill>
                          <w14:schemeClr w14:val="tx1"/>
                        </w14:solidFill>
                      </w14:textFill>
                    </w:rPr>
                    <w:t>粉末使用量（t）=喷涂面积×厚度×密度/综合利用率×100%（固体分）。</w:t>
                  </w:r>
                </w:p>
              </w:tc>
            </w:tr>
          </w:tbl>
          <w:p w14:paraId="5A16ECAD">
            <w:pPr>
              <w:pageBreakBefore w:val="0"/>
              <w:widowControl w:val="0"/>
              <w:wordWrap w:val="0"/>
              <w:overflowPunct/>
              <w:bidi w:val="0"/>
              <w:spacing w:line="360" w:lineRule="auto"/>
              <w:ind w:firstLine="482" w:firstLineChars="200"/>
              <w:jc w:val="both"/>
              <w:rPr>
                <w:rFonts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eastAsia" w:cs="Times New Roman"/>
                <w:b/>
                <w:color w:val="000000" w:themeColor="text1"/>
                <w:kern w:val="2"/>
                <w:sz w:val="24"/>
                <w:szCs w:val="24"/>
                <w:highlight w:val="none"/>
                <w:lang w:val="en-US" w:eastAsia="zh-CN" w:bidi="ar-SA"/>
                <w14:textFill>
                  <w14:solidFill>
                    <w14:schemeClr w14:val="tx1"/>
                  </w14:solidFill>
                </w14:textFill>
              </w:rPr>
              <w:t>④</w:t>
            </w:r>
            <w:r>
              <w:rPr>
                <w:rFonts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喷枪产能核算：</w:t>
            </w:r>
          </w:p>
          <w:p w14:paraId="73DE4E0C">
            <w:pPr>
              <w:pageBreakBefore w:val="0"/>
              <w:widowControl w:val="0"/>
              <w:numPr>
                <w:ilvl w:val="0"/>
                <w:numId w:val="10"/>
              </w:numPr>
              <w:wordWrap w:val="0"/>
              <w:overflowPunct/>
              <w:bidi w:val="0"/>
              <w:spacing w:line="240" w:lineRule="auto"/>
              <w:ind w:left="0" w:leftChars="0" w:firstLine="40" w:firstLineChars="0"/>
              <w:jc w:val="cente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喷枪产能核算一览表</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18"/>
              <w:gridCol w:w="1217"/>
              <w:gridCol w:w="813"/>
              <w:gridCol w:w="1465"/>
              <w:gridCol w:w="1078"/>
              <w:gridCol w:w="1494"/>
              <w:gridCol w:w="1425"/>
            </w:tblGrid>
            <w:tr w14:paraId="470F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18" w:type="dxa"/>
                  <w:vAlign w:val="center"/>
                </w:tcPr>
                <w:p w14:paraId="2E7B45E3">
                  <w:pPr>
                    <w:keepNext w:val="0"/>
                    <w:keepLines w:val="0"/>
                    <w:widowControl/>
                    <w:suppressLineNumbers w:val="0"/>
                    <w:spacing w:line="240" w:lineRule="auto"/>
                    <w:jc w:val="center"/>
                    <w:textAlignment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物料名称</w:t>
                  </w:r>
                </w:p>
              </w:tc>
              <w:tc>
                <w:tcPr>
                  <w:tcW w:w="1217" w:type="dxa"/>
                  <w:vAlign w:val="center"/>
                </w:tcPr>
                <w:p w14:paraId="1DFF6F90">
                  <w:pPr>
                    <w:keepNext w:val="0"/>
                    <w:keepLines w:val="0"/>
                    <w:widowControl/>
                    <w:suppressLineNumbers w:val="0"/>
                    <w:spacing w:line="240" w:lineRule="auto"/>
                    <w:jc w:val="center"/>
                    <w:textAlignment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设备名称</w:t>
                  </w:r>
                </w:p>
              </w:tc>
              <w:tc>
                <w:tcPr>
                  <w:tcW w:w="813" w:type="dxa"/>
                  <w:vAlign w:val="center"/>
                </w:tcPr>
                <w:p w14:paraId="24488A82">
                  <w:pPr>
                    <w:keepNext w:val="0"/>
                    <w:keepLines w:val="0"/>
                    <w:widowControl/>
                    <w:suppressLineNumbers w:val="0"/>
                    <w:spacing w:line="240" w:lineRule="auto"/>
                    <w:jc w:val="center"/>
                    <w:textAlignment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数量（支）</w:t>
                  </w:r>
                </w:p>
              </w:tc>
              <w:tc>
                <w:tcPr>
                  <w:tcW w:w="1465" w:type="dxa"/>
                  <w:vAlign w:val="center"/>
                </w:tcPr>
                <w:p w14:paraId="6EFF2198">
                  <w:pPr>
                    <w:keepNext w:val="0"/>
                    <w:keepLines w:val="0"/>
                    <w:widowControl/>
                    <w:suppressLineNumbers w:val="0"/>
                    <w:spacing w:line="240" w:lineRule="auto"/>
                    <w:jc w:val="center"/>
                    <w:textAlignment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设计喷枪流量（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078" w:type="dxa"/>
                  <w:vAlign w:val="center"/>
                </w:tcPr>
                <w:p w14:paraId="66CB5F0D">
                  <w:pPr>
                    <w:keepNext w:val="0"/>
                    <w:keepLines w:val="0"/>
                    <w:widowControl/>
                    <w:suppressLineNumbers w:val="0"/>
                    <w:spacing w:line="240" w:lineRule="auto"/>
                    <w:jc w:val="center"/>
                    <w:textAlignment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工作时间（</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h</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494" w:type="dxa"/>
                  <w:vAlign w:val="center"/>
                </w:tcPr>
                <w:p w14:paraId="3C6DACF2">
                  <w:pPr>
                    <w:keepNext w:val="0"/>
                    <w:keepLines w:val="0"/>
                    <w:widowControl/>
                    <w:suppressLineNumbers w:val="0"/>
                    <w:spacing w:line="240" w:lineRule="auto"/>
                    <w:jc w:val="center"/>
                    <w:textAlignment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设计年喷涂量（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c>
                <w:tcPr>
                  <w:tcW w:w="1425" w:type="dxa"/>
                  <w:vAlign w:val="center"/>
                </w:tcPr>
                <w:p w14:paraId="72C3548A">
                  <w:pPr>
                    <w:keepNext w:val="0"/>
                    <w:keepLines w:val="0"/>
                    <w:widowControl/>
                    <w:suppressLineNumbers w:val="0"/>
                    <w:spacing w:line="240" w:lineRule="auto"/>
                    <w:jc w:val="center"/>
                    <w:textAlignment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项目实际年喷涂量（</w:t>
                  </w:r>
                  <w:r>
                    <w:rPr>
                      <w:rFonts w:hint="default" w:ascii="Times New Roman" w:hAnsi="Times New Roman" w:eastAsia="宋体" w:cs="Times New Roman"/>
                      <w:b/>
                      <w:bCs/>
                      <w:i w:val="0"/>
                      <w:iCs w:val="0"/>
                      <w:color w:val="000000" w:themeColor="text1"/>
                      <w:kern w:val="0"/>
                      <w:sz w:val="21"/>
                      <w:szCs w:val="21"/>
                      <w:u w:val="none"/>
                      <w:lang w:val="en-US" w:eastAsia="zh-CN"/>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14:textFill>
                        <w14:solidFill>
                          <w14:schemeClr w14:val="tx1"/>
                        </w14:solidFill>
                      </w14:textFill>
                    </w:rPr>
                    <w:t>）</w:t>
                  </w:r>
                </w:p>
              </w:tc>
            </w:tr>
            <w:tr w14:paraId="7B67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18" w:type="dxa"/>
                  <w:vAlign w:val="center"/>
                </w:tcPr>
                <w:p w14:paraId="5CA0E55E">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油性漆</w:t>
                  </w:r>
                </w:p>
              </w:tc>
              <w:tc>
                <w:tcPr>
                  <w:tcW w:w="1217" w:type="dxa"/>
                  <w:vAlign w:val="center"/>
                </w:tcPr>
                <w:p w14:paraId="5248F223">
                  <w:pPr>
                    <w:keepNext w:val="0"/>
                    <w:keepLines w:val="0"/>
                    <w:widowControl/>
                    <w:suppressLineNumbers w:val="0"/>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1.2mm</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口径喷枪</w:t>
                  </w:r>
                </w:p>
              </w:tc>
              <w:tc>
                <w:tcPr>
                  <w:tcW w:w="813" w:type="dxa"/>
                  <w:vAlign w:val="center"/>
                </w:tcPr>
                <w:p w14:paraId="5380CEF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465" w:type="dxa"/>
                  <w:vAlign w:val="center"/>
                </w:tcPr>
                <w:p w14:paraId="644C212C">
                  <w:pPr>
                    <w:keepNext w:val="0"/>
                    <w:keepLines w:val="0"/>
                    <w:widowControl/>
                    <w:suppressLineNumbers w:val="0"/>
                    <w:jc w:val="center"/>
                    <w:textAlignment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078" w:type="dxa"/>
                  <w:vAlign w:val="center"/>
                </w:tcPr>
                <w:p w14:paraId="5B2EF57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1928</w:t>
                  </w:r>
                </w:p>
              </w:tc>
              <w:tc>
                <w:tcPr>
                  <w:tcW w:w="1494" w:type="dxa"/>
                  <w:vAlign w:val="center"/>
                </w:tcPr>
                <w:p w14:paraId="02748EC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11.568</w:t>
                  </w:r>
                </w:p>
              </w:tc>
              <w:tc>
                <w:tcPr>
                  <w:tcW w:w="1425" w:type="dxa"/>
                  <w:vAlign w:val="center"/>
                </w:tcPr>
                <w:p w14:paraId="449CE8C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9.648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773C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510" w:type="dxa"/>
                  <w:gridSpan w:val="7"/>
                  <w:vAlign w:val="center"/>
                </w:tcPr>
                <w:p w14:paraId="003BDAD8">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注：</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①单支喷枪流量为5~50ml/min，本项目取10ml/min，即约为1kg/h；</w:t>
                  </w:r>
                </w:p>
                <w:p w14:paraId="3FCC352D">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②</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喷枪设计喷涂总量</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分别</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11.568t/a</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，项目油漆实际总用量为</w:t>
                  </w:r>
                  <w:r>
                    <w:rPr>
                      <w:rFonts w:hint="eastAsia" w:cs="Times New Roman"/>
                      <w:color w:val="000000" w:themeColor="text1"/>
                      <w:kern w:val="2"/>
                      <w:sz w:val="21"/>
                      <w:szCs w:val="21"/>
                      <w:highlight w:val="none"/>
                      <w:lang w:val="en-US" w:eastAsia="zh-CN" w:bidi="ar-SA"/>
                      <w14:textFill>
                        <w14:solidFill>
                          <w14:schemeClr w14:val="tx1"/>
                        </w14:solidFill>
                      </w14:textFill>
                    </w:rPr>
                    <w:t>9.648</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t/a，约占喷枪设计产能的</w:t>
                  </w:r>
                  <w:r>
                    <w:rPr>
                      <w:rFonts w:hint="eastAsia" w:cs="Times New Roman"/>
                      <w:color w:val="000000" w:themeColor="text1"/>
                      <w:kern w:val="2"/>
                      <w:sz w:val="21"/>
                      <w:szCs w:val="21"/>
                      <w:highlight w:val="none"/>
                      <w:lang w:val="en-US" w:eastAsia="zh-CN" w:bidi="ar-SA"/>
                      <w14:textFill>
                        <w14:solidFill>
                          <w14:schemeClr w14:val="tx1"/>
                        </w14:solidFill>
                      </w14:textFill>
                    </w:rPr>
                    <w:t>83.4</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%，与喷枪的产能相匹配。因此，生产设备的产能和原料用量相匹配、合理。</w:t>
                  </w:r>
                </w:p>
              </w:tc>
            </w:tr>
          </w:tbl>
          <w:p w14:paraId="1C5E516C">
            <w:pPr>
              <w:pageBreakBefore w:val="0"/>
              <w:widowControl w:val="0"/>
              <w:wordWrap w:val="0"/>
              <w:overflowPunct/>
              <w:bidi w:val="0"/>
              <w:spacing w:line="360" w:lineRule="auto"/>
              <w:ind w:firstLine="482" w:firstLineChars="200"/>
              <w:jc w:val="both"/>
              <w:rPr>
                <w:rFonts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eastAsia" w:cs="Times New Roman"/>
                <w:b/>
                <w:color w:val="000000" w:themeColor="text1"/>
                <w:kern w:val="2"/>
                <w:sz w:val="24"/>
                <w:szCs w:val="24"/>
                <w:highlight w:val="none"/>
                <w:lang w:val="en-US" w:eastAsia="zh-CN" w:bidi="ar-SA"/>
                <w14:textFill>
                  <w14:solidFill>
                    <w14:schemeClr w14:val="tx1"/>
                  </w14:solidFill>
                </w14:textFill>
              </w:rPr>
              <w:t>⑤</w:t>
            </w:r>
            <w:r>
              <w:rPr>
                <w:rFonts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喷枪</w:t>
            </w:r>
            <w:r>
              <w:rPr>
                <w:rFonts w:hint="eastAsia"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清洗剂用量</w:t>
            </w:r>
            <w:r>
              <w:rPr>
                <w:rFonts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核算：</w:t>
            </w:r>
          </w:p>
          <w:p w14:paraId="109C17E4">
            <w:pPr>
              <w:pageBreakBefore w:val="0"/>
              <w:widowControl w:val="0"/>
              <w:numPr>
                <w:ilvl w:val="0"/>
                <w:numId w:val="10"/>
              </w:numPr>
              <w:wordWrap w:val="0"/>
              <w:overflowPunct/>
              <w:bidi w:val="0"/>
              <w:spacing w:line="240" w:lineRule="auto"/>
              <w:ind w:left="0" w:leftChars="0" w:firstLine="40" w:firstLineChars="0"/>
              <w:jc w:val="cente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喷枪产能</w:t>
            </w: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清洗剂用量</w:t>
            </w: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核算一览表</w:t>
            </w:r>
          </w:p>
          <w:tbl>
            <w:tblPr>
              <w:tblStyle w:val="44"/>
              <w:tblW w:w="49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2"/>
              <w:gridCol w:w="2198"/>
              <w:gridCol w:w="1041"/>
              <w:gridCol w:w="1729"/>
              <w:gridCol w:w="2375"/>
            </w:tblGrid>
            <w:tr w14:paraId="20247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2B978">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themeColor="text1"/>
                      <w:sz w:val="21"/>
                      <w:szCs w:val="21"/>
                      <w:u w:val="none"/>
                      <w:lang w:val="en-US"/>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用量t/a</w:t>
                  </w:r>
                </w:p>
              </w:tc>
              <w:tc>
                <w:tcPr>
                  <w:tcW w:w="1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42FC">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每次每把</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ml</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0998">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把数</w:t>
                  </w:r>
                </w:p>
              </w:tc>
              <w:tc>
                <w:tcPr>
                  <w:tcW w:w="10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EC52">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清洗次数</w:t>
                  </w:r>
                </w:p>
              </w:tc>
              <w:tc>
                <w:tcPr>
                  <w:tcW w:w="1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ED4C">
                  <w:pPr>
                    <w:keepNext w:val="0"/>
                    <w:keepLines w:val="0"/>
                    <w:widowControl/>
                    <w:suppressLineNumbers w:val="0"/>
                    <w:spacing w:line="360" w:lineRule="auto"/>
                    <w:jc w:val="center"/>
                    <w:textAlignment w:val="center"/>
                    <w:rPr>
                      <w:rFonts w:hint="default" w:ascii="宋体" w:hAnsi="宋体" w:eastAsia="宋体" w:cs="宋体"/>
                      <w:b/>
                      <w:bCs/>
                      <w:i w:val="0"/>
                      <w:iCs w:val="0"/>
                      <w:color w:val="000000" w:themeColor="text1"/>
                      <w:sz w:val="21"/>
                      <w:szCs w:val="21"/>
                      <w:u w:val="none"/>
                      <w:vertAlign w:val="superscript"/>
                      <w:lang w:val="en-US"/>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密度g/cm</w:t>
                  </w:r>
                  <w:r>
                    <w:rPr>
                      <w:rFonts w:hint="eastAsia" w:ascii="宋体" w:hAnsi="宋体" w:eastAsia="宋体" w:cs="宋体"/>
                      <w:b/>
                      <w:bCs/>
                      <w:i w:val="0"/>
                      <w:iCs w:val="0"/>
                      <w:color w:val="000000" w:themeColor="text1"/>
                      <w:kern w:val="0"/>
                      <w:sz w:val="21"/>
                      <w:szCs w:val="21"/>
                      <w:u w:val="none"/>
                      <w:vertAlign w:val="superscript"/>
                      <w:lang w:val="en-US" w:eastAsia="zh-CN" w:bidi="ar"/>
                      <w14:textFill>
                        <w14:solidFill>
                          <w14:schemeClr w14:val="tx1"/>
                        </w14:solidFill>
                      </w14:textFill>
                    </w:rPr>
                    <w:t>3</w:t>
                  </w:r>
                </w:p>
              </w:tc>
            </w:tr>
            <w:tr w14:paraId="3FCB5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E8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0.084 </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4A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249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4E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w:t>
                  </w:r>
                </w:p>
              </w:tc>
              <w:tc>
                <w:tcPr>
                  <w:tcW w:w="2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7C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0.828</w:t>
                  </w:r>
                </w:p>
              </w:tc>
            </w:tr>
            <w:tr w14:paraId="10FB1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1E89">
                  <w:pPr>
                    <w:keepNext w:val="0"/>
                    <w:keepLines w:val="0"/>
                    <w:widowControl/>
                    <w:suppressLineNumbers w:val="0"/>
                    <w:spacing w:line="360" w:lineRule="auto"/>
                    <w:jc w:val="both"/>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注：油漆喷枪需每日清洗一次，每次每把清洗时使用清洗剂约70ml。</w:t>
                  </w:r>
                </w:p>
              </w:tc>
            </w:tr>
          </w:tbl>
          <w:p w14:paraId="32191887">
            <w:pPr>
              <w:wordWrap w:val="0"/>
              <w:topLinePunct/>
              <w:spacing w:line="360" w:lineRule="auto"/>
              <w:ind w:firstLine="482" w:firstLineChars="200"/>
              <w:outlineLvl w:val="4"/>
              <w:rPr>
                <w:b/>
                <w:color w:val="000000" w:themeColor="text1"/>
                <w:sz w:val="24"/>
                <w:szCs w:val="24"/>
                <w:highlight w:val="none"/>
                <w14:textFill>
                  <w14:solidFill>
                    <w14:schemeClr w14:val="tx1"/>
                  </w14:solidFill>
                </w14:textFill>
              </w:rPr>
            </w:pPr>
            <w:r>
              <w:rPr>
                <w:rFonts w:hint="eastAsia"/>
                <w:b/>
                <w:color w:val="000000" w:themeColor="text1"/>
                <w:sz w:val="24"/>
                <w:szCs w:val="24"/>
                <w:highlight w:val="none"/>
                <w:lang w:eastAsia="zh-CN"/>
                <w14:textFill>
                  <w14:solidFill>
                    <w14:schemeClr w14:val="tx1"/>
                  </w14:solidFill>
                </w14:textFill>
              </w:rPr>
              <w:t>（</w:t>
            </w:r>
            <w:r>
              <w:rPr>
                <w:rFonts w:hint="eastAsia"/>
                <w:b/>
                <w:color w:val="000000" w:themeColor="text1"/>
                <w:sz w:val="24"/>
                <w:szCs w:val="24"/>
                <w:highlight w:val="none"/>
                <w:lang w:val="en-US" w:eastAsia="zh-CN"/>
                <w14:textFill>
                  <w14:solidFill>
                    <w14:schemeClr w14:val="tx1"/>
                  </w14:solidFill>
                </w14:textFill>
              </w:rPr>
              <w:t>5</w:t>
            </w:r>
            <w:r>
              <w:rPr>
                <w:rFonts w:hint="eastAsia"/>
                <w:b/>
                <w:color w:val="000000" w:themeColor="text1"/>
                <w:sz w:val="24"/>
                <w:szCs w:val="24"/>
                <w:highlight w:val="none"/>
                <w:lang w:eastAsia="zh-CN"/>
                <w14:textFill>
                  <w14:solidFill>
                    <w14:schemeClr w14:val="tx1"/>
                  </w14:solidFill>
                </w14:textFill>
              </w:rPr>
              <w:t>）</w:t>
            </w:r>
            <w:r>
              <w:rPr>
                <w:rFonts w:hint="eastAsia"/>
                <w:b/>
                <w:color w:val="000000" w:themeColor="text1"/>
                <w:sz w:val="24"/>
                <w:szCs w:val="24"/>
                <w:highlight w:val="none"/>
                <w:lang w:val="en-US" w:eastAsia="zh-CN"/>
                <w14:textFill>
                  <w14:solidFill>
                    <w14:schemeClr w14:val="tx1"/>
                  </w14:solidFill>
                </w14:textFill>
              </w:rPr>
              <w:t>物料</w:t>
            </w:r>
            <w:r>
              <w:rPr>
                <w:b/>
                <w:color w:val="000000" w:themeColor="text1"/>
                <w:sz w:val="24"/>
                <w:szCs w:val="24"/>
                <w:highlight w:val="none"/>
                <w14:textFill>
                  <w14:solidFill>
                    <w14:schemeClr w14:val="tx1"/>
                  </w14:solidFill>
                </w14:textFill>
              </w:rPr>
              <w:t>平衡</w:t>
            </w:r>
          </w:p>
          <w:p w14:paraId="2166EA0B">
            <w:pPr>
              <w:wordWrap w:val="0"/>
              <w:topLinePunct/>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szCs w:val="24"/>
                <w:highlight w:val="none"/>
                <w14:textFill>
                  <w14:solidFill>
                    <w14:schemeClr w14:val="tx1"/>
                  </w14:solidFill>
                </w14:textFill>
              </w:rPr>
              <w:t>本项目</w:t>
            </w:r>
            <w:r>
              <w:rPr>
                <w:rFonts w:hint="eastAsia"/>
                <w:color w:val="000000" w:themeColor="text1"/>
                <w:sz w:val="24"/>
                <w:szCs w:val="24"/>
                <w:highlight w:val="none"/>
                <w:lang w:val="en-US" w:eastAsia="zh-CN"/>
                <w14:textFill>
                  <w14:solidFill>
                    <w14:schemeClr w14:val="tx1"/>
                  </w14:solidFill>
                </w14:textFill>
              </w:rPr>
              <w:t>涉VOCs物料</w:t>
            </w:r>
            <w:r>
              <w:rPr>
                <w:color w:val="000000" w:themeColor="text1"/>
                <w:sz w:val="24"/>
                <w:highlight w:val="none"/>
                <w14:textFill>
                  <w14:solidFill>
                    <w14:schemeClr w14:val="tx1"/>
                  </w14:solidFill>
                </w14:textFill>
              </w:rPr>
              <w:t>平衡见下表及下图。</w:t>
            </w:r>
          </w:p>
          <w:p w14:paraId="7D71ED4D">
            <w:pPr>
              <w:pageBreakBefore w:val="0"/>
              <w:widowControl w:val="0"/>
              <w:numPr>
                <w:ilvl w:val="0"/>
                <w:numId w:val="10"/>
              </w:numPr>
              <w:wordWrap w:val="0"/>
              <w:overflowPunct/>
              <w:bidi w:val="0"/>
              <w:spacing w:line="240" w:lineRule="auto"/>
              <w:ind w:left="0" w:leftChars="0" w:firstLine="40" w:firstLineChars="0"/>
              <w:jc w:val="center"/>
              <w:rPr>
                <w:bCs/>
                <w:color w:val="000000" w:themeColor="text1"/>
                <w:sz w:val="21"/>
                <w:szCs w:val="21"/>
                <w:highlight w:val="none"/>
                <w14:textFill>
                  <w14:solidFill>
                    <w14:schemeClr w14:val="tx1"/>
                  </w14:solidFill>
                </w14:textFill>
              </w:rPr>
            </w:pPr>
            <w:r>
              <w:rPr>
                <w:b/>
                <w:bCs w:val="0"/>
                <w:color w:val="000000" w:themeColor="text1"/>
                <w:sz w:val="21"/>
                <w:szCs w:val="21"/>
                <w:highlight w:val="none"/>
                <w14:textFill>
                  <w14:solidFill>
                    <w14:schemeClr w14:val="tx1"/>
                  </w14:solidFill>
                </w14:textFill>
              </w:rPr>
              <w:t>项目</w:t>
            </w:r>
            <w:r>
              <w:rPr>
                <w:rFonts w:hint="eastAsia"/>
                <w:b/>
                <w:bCs w:val="0"/>
                <w:color w:val="000000" w:themeColor="text1"/>
                <w:sz w:val="21"/>
                <w:szCs w:val="21"/>
                <w:highlight w:val="none"/>
                <w:lang w:val="en-US" w:eastAsia="zh-CN"/>
                <w14:textFill>
                  <w14:solidFill>
                    <w14:schemeClr w14:val="tx1"/>
                  </w14:solidFill>
                </w14:textFill>
              </w:rPr>
              <w:t>涉VOCs物料</w:t>
            </w:r>
            <w:r>
              <w:rPr>
                <w:b/>
                <w:bCs w:val="0"/>
                <w:color w:val="000000" w:themeColor="text1"/>
                <w:sz w:val="21"/>
                <w:szCs w:val="21"/>
                <w:highlight w:val="none"/>
                <w14:textFill>
                  <w14:solidFill>
                    <w14:schemeClr w14:val="tx1"/>
                  </w14:solidFill>
                </w14:textFill>
              </w:rPr>
              <w:t>平衡表    单位t/a</w:t>
            </w:r>
          </w:p>
          <w:tbl>
            <w:tblPr>
              <w:tblStyle w:val="44"/>
              <w:tblW w:w="4832"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12"/>
              <w:gridCol w:w="1851"/>
              <w:gridCol w:w="1292"/>
              <w:gridCol w:w="1728"/>
              <w:gridCol w:w="1851"/>
            </w:tblGrid>
            <w:tr w14:paraId="12FCA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1512" w:type="dxa"/>
                  <w:tcBorders>
                    <w:top w:val="single" w:color="auto" w:sz="4" w:space="0"/>
                    <w:left w:val="single" w:color="000000" w:sz="4" w:space="0"/>
                    <w:bottom w:val="single" w:color="auto" w:sz="4" w:space="0"/>
                    <w:right w:val="single" w:color="auto" w:sz="4" w:space="0"/>
                  </w:tcBorders>
                  <w:noWrap w:val="0"/>
                  <w:vAlign w:val="center"/>
                </w:tcPr>
                <w:p w14:paraId="0013640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输入</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3ADE797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重量（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3020" w:type="dxa"/>
                  <w:gridSpan w:val="2"/>
                  <w:tcBorders>
                    <w:top w:val="single" w:color="auto" w:sz="4" w:space="0"/>
                    <w:left w:val="single" w:color="auto" w:sz="4" w:space="0"/>
                    <w:bottom w:val="single" w:color="auto" w:sz="4" w:space="0"/>
                    <w:right w:val="single" w:color="auto" w:sz="4" w:space="0"/>
                  </w:tcBorders>
                  <w:noWrap w:val="0"/>
                  <w:vAlign w:val="center"/>
                </w:tcPr>
                <w:p w14:paraId="78F3457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输出</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240BC77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重量（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r>
            <w:tr w14:paraId="2DFF4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766771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稀释剂</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4DB0B4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1.299 </w:t>
                  </w:r>
                </w:p>
              </w:tc>
              <w:tc>
                <w:tcPr>
                  <w:tcW w:w="3020" w:type="dxa"/>
                  <w:gridSpan w:val="2"/>
                  <w:tcBorders>
                    <w:top w:val="single" w:color="auto" w:sz="4" w:space="0"/>
                    <w:left w:val="single" w:color="auto" w:sz="4" w:space="0"/>
                    <w:bottom w:val="single" w:color="auto" w:sz="4" w:space="0"/>
                    <w:right w:val="single" w:color="auto" w:sz="4" w:space="0"/>
                  </w:tcBorders>
                  <w:noWrap w:val="0"/>
                  <w:vAlign w:val="center"/>
                </w:tcPr>
                <w:p w14:paraId="761EDF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进入产品</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1C45CB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108.621 </w:t>
                  </w:r>
                </w:p>
              </w:tc>
            </w:tr>
            <w:tr w14:paraId="1DDF4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36A08F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底漆</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08D85E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2.309 </w:t>
                  </w:r>
                </w:p>
              </w:tc>
              <w:tc>
                <w:tcPr>
                  <w:tcW w:w="3020" w:type="dxa"/>
                  <w:gridSpan w:val="2"/>
                  <w:tcBorders>
                    <w:top w:val="single" w:color="auto" w:sz="4" w:space="0"/>
                    <w:left w:val="single" w:color="auto" w:sz="4" w:space="0"/>
                    <w:bottom w:val="single" w:color="auto" w:sz="4" w:space="0"/>
                    <w:right w:val="single" w:color="auto" w:sz="4" w:space="0"/>
                  </w:tcBorders>
                  <w:noWrap w:val="0"/>
                  <w:vAlign w:val="center"/>
                </w:tcPr>
                <w:p w14:paraId="2AD1AB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VOCs削减量</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444E38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2.679 </w:t>
                  </w:r>
                </w:p>
              </w:tc>
            </w:tr>
            <w:tr w14:paraId="3FBE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07F0ADC9">
                  <w:pPr>
                    <w:keepNext w:val="0"/>
                    <w:keepLines w:val="0"/>
                    <w:widowControl/>
                    <w:suppressLineNumbers w:val="0"/>
                    <w:jc w:val="center"/>
                    <w:textAlignment w:val="center"/>
                    <w:rPr>
                      <w:rFonts w:hint="default" w:ascii="宋体" w:hAnsi="宋体" w:eastAsia="宋体" w:cs="宋体"/>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面漆</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3584E4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3.242 </w:t>
                  </w:r>
                </w:p>
              </w:tc>
              <w:tc>
                <w:tcPr>
                  <w:tcW w:w="1292" w:type="dxa"/>
                  <w:vMerge w:val="restart"/>
                  <w:tcBorders>
                    <w:top w:val="single" w:color="auto" w:sz="4" w:space="0"/>
                    <w:left w:val="single" w:color="auto" w:sz="4" w:space="0"/>
                    <w:bottom w:val="single" w:color="auto" w:sz="4" w:space="0"/>
                    <w:right w:val="single" w:color="auto" w:sz="4" w:space="0"/>
                  </w:tcBorders>
                  <w:noWrap w:val="0"/>
                  <w:vAlign w:val="center"/>
                </w:tcPr>
                <w:p w14:paraId="06DA58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VOCs</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44978F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有组织排放</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3C1AA6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0.670 </w:t>
                  </w:r>
                </w:p>
              </w:tc>
            </w:tr>
            <w:tr w14:paraId="391A7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602713D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清漆</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32D81C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2.798 </w:t>
                  </w:r>
                </w:p>
              </w:tc>
              <w:tc>
                <w:tcPr>
                  <w:tcW w:w="1292" w:type="dxa"/>
                  <w:vMerge w:val="continue"/>
                  <w:tcBorders>
                    <w:top w:val="single" w:color="auto" w:sz="4" w:space="0"/>
                    <w:left w:val="single" w:color="auto" w:sz="4" w:space="0"/>
                    <w:bottom w:val="single" w:color="auto" w:sz="4" w:space="0"/>
                    <w:right w:val="single" w:color="auto" w:sz="4" w:space="0"/>
                  </w:tcBorders>
                  <w:noWrap w:val="0"/>
                  <w:vAlign w:val="center"/>
                </w:tcPr>
                <w:p w14:paraId="6A8648BF">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18D3F6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无组织排放</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0498A1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0.352 </w:t>
                  </w:r>
                </w:p>
              </w:tc>
            </w:tr>
            <w:tr w14:paraId="528E8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3FB460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粉末涂料</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1E38C1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109.755 </w:t>
                  </w:r>
                </w:p>
              </w:tc>
              <w:tc>
                <w:tcPr>
                  <w:tcW w:w="1292" w:type="dxa"/>
                  <w:vMerge w:val="restart"/>
                  <w:tcBorders>
                    <w:top w:val="single" w:color="auto" w:sz="4" w:space="0"/>
                    <w:left w:val="single" w:color="auto" w:sz="4" w:space="0"/>
                    <w:bottom w:val="single" w:color="auto" w:sz="4" w:space="0"/>
                    <w:right w:val="single" w:color="auto" w:sz="4" w:space="0"/>
                  </w:tcBorders>
                  <w:noWrap w:val="0"/>
                  <w:vAlign w:val="center"/>
                </w:tcPr>
                <w:p w14:paraId="2C8432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漆雾</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1F457E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有组织排放</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0B6C7D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 </w:t>
                  </w:r>
                </w:p>
              </w:tc>
            </w:tr>
            <w:tr w14:paraId="04B87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048384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清洗剂</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5DC451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292" w:type="dxa"/>
                  <w:vMerge w:val="continue"/>
                  <w:tcBorders>
                    <w:top w:val="single" w:color="auto" w:sz="4" w:space="0"/>
                    <w:left w:val="single" w:color="auto" w:sz="4" w:space="0"/>
                    <w:bottom w:val="single" w:color="auto" w:sz="4" w:space="0"/>
                    <w:right w:val="single" w:color="auto" w:sz="4" w:space="0"/>
                  </w:tcBorders>
                  <w:noWrap w:val="0"/>
                  <w:vAlign w:val="center"/>
                </w:tcPr>
                <w:p w14:paraId="04DC8623">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4CA9DA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无组织排放</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2770F0A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0.024 </w:t>
                  </w:r>
                </w:p>
              </w:tc>
            </w:tr>
            <w:tr w14:paraId="4268A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0F785C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796BE4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020" w:type="dxa"/>
                  <w:gridSpan w:val="2"/>
                  <w:tcBorders>
                    <w:top w:val="single" w:color="auto" w:sz="4" w:space="0"/>
                    <w:left w:val="single" w:color="auto" w:sz="4" w:space="0"/>
                    <w:bottom w:val="single" w:color="auto" w:sz="4" w:space="0"/>
                    <w:right w:val="single" w:color="auto" w:sz="4" w:space="0"/>
                  </w:tcBorders>
                  <w:noWrap w:val="0"/>
                  <w:vAlign w:val="center"/>
                </w:tcPr>
                <w:p w14:paraId="2701F9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漆渣</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1B958B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2.181 </w:t>
                  </w:r>
                </w:p>
              </w:tc>
            </w:tr>
            <w:tr w14:paraId="6E150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749E0F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44C66D5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020" w:type="dxa"/>
                  <w:gridSpan w:val="2"/>
                  <w:tcBorders>
                    <w:top w:val="single" w:color="auto" w:sz="4" w:space="0"/>
                    <w:left w:val="single" w:color="auto" w:sz="4" w:space="0"/>
                    <w:bottom w:val="single" w:color="auto" w:sz="4" w:space="0"/>
                    <w:right w:val="single" w:color="auto" w:sz="4" w:space="0"/>
                  </w:tcBorders>
                  <w:noWrap w:val="0"/>
                  <w:vAlign w:val="center"/>
                </w:tcPr>
                <w:p w14:paraId="0AAF48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喷枪清洗废液</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132C44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0.042 </w:t>
                  </w:r>
                </w:p>
              </w:tc>
            </w:tr>
            <w:tr w14:paraId="10308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3BCECCA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5E2C23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020" w:type="dxa"/>
                  <w:gridSpan w:val="2"/>
                  <w:tcBorders>
                    <w:top w:val="single" w:color="auto" w:sz="4" w:space="0"/>
                    <w:left w:val="single" w:color="auto" w:sz="4" w:space="0"/>
                    <w:bottom w:val="single" w:color="auto" w:sz="4" w:space="0"/>
                    <w:right w:val="single" w:color="auto" w:sz="4" w:space="0"/>
                  </w:tcBorders>
                  <w:noWrap w:val="0"/>
                  <w:vAlign w:val="center"/>
                </w:tcPr>
                <w:p w14:paraId="16D4F2F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废粉末涂料</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628B96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3.593 </w:t>
                  </w:r>
                </w:p>
              </w:tc>
            </w:tr>
            <w:tr w14:paraId="2D651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37296CC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416AF1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020" w:type="dxa"/>
                  <w:gridSpan w:val="2"/>
                  <w:tcBorders>
                    <w:top w:val="single" w:color="auto" w:sz="4" w:space="0"/>
                    <w:left w:val="single" w:color="auto" w:sz="4" w:space="0"/>
                    <w:bottom w:val="single" w:color="auto" w:sz="4" w:space="0"/>
                    <w:right w:val="single" w:color="auto" w:sz="4" w:space="0"/>
                  </w:tcBorders>
                  <w:noWrap w:val="0"/>
                  <w:vAlign w:val="center"/>
                </w:tcPr>
                <w:p w14:paraId="7D67E85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粉末涂料无组织粉尘排放量</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7B2607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1.3024 </w:t>
                  </w:r>
                </w:p>
              </w:tc>
            </w:tr>
            <w:tr w14:paraId="39AE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12" w:type="dxa"/>
                  <w:tcBorders>
                    <w:top w:val="single" w:color="auto" w:sz="4" w:space="0"/>
                    <w:left w:val="single" w:color="auto" w:sz="4" w:space="0"/>
                    <w:bottom w:val="single" w:color="auto" w:sz="4" w:space="0"/>
                    <w:right w:val="single" w:color="auto" w:sz="4" w:space="0"/>
                  </w:tcBorders>
                  <w:noWrap w:val="0"/>
                  <w:vAlign w:val="center"/>
                </w:tcPr>
                <w:p w14:paraId="4E9F0C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合计</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759C2D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119.487 </w:t>
                  </w:r>
                </w:p>
              </w:tc>
              <w:tc>
                <w:tcPr>
                  <w:tcW w:w="3020" w:type="dxa"/>
                  <w:gridSpan w:val="2"/>
                  <w:tcBorders>
                    <w:top w:val="single" w:color="auto" w:sz="4" w:space="0"/>
                    <w:left w:val="single" w:color="auto" w:sz="4" w:space="0"/>
                    <w:bottom w:val="single" w:color="auto" w:sz="4" w:space="0"/>
                    <w:right w:val="single" w:color="auto" w:sz="4" w:space="0"/>
                  </w:tcBorders>
                  <w:noWrap w:val="0"/>
                  <w:vAlign w:val="center"/>
                </w:tcPr>
                <w:p w14:paraId="54F924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合计</w:t>
                  </w:r>
                </w:p>
              </w:tc>
              <w:tc>
                <w:tcPr>
                  <w:tcW w:w="1851" w:type="dxa"/>
                  <w:tcBorders>
                    <w:top w:val="single" w:color="auto" w:sz="4" w:space="0"/>
                    <w:left w:val="single" w:color="auto" w:sz="4" w:space="0"/>
                    <w:bottom w:val="single" w:color="auto" w:sz="4" w:space="0"/>
                    <w:right w:val="single" w:color="auto" w:sz="4" w:space="0"/>
                  </w:tcBorders>
                  <w:noWrap w:val="0"/>
                  <w:vAlign w:val="center"/>
                </w:tcPr>
                <w:p w14:paraId="70113C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119.487 </w:t>
                  </w:r>
                </w:p>
              </w:tc>
            </w:tr>
          </w:tbl>
          <w:p w14:paraId="51A694B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t>（</w:t>
            </w:r>
            <w:r>
              <w:rPr>
                <w:rFonts w:hint="eastAsia" w:ascii="Times New Roman" w:hAnsi="Times New Roman" w:eastAsia="宋体" w:cs="Times New Roman"/>
                <w:b/>
                <w:bCs/>
                <w:color w:val="000000" w:themeColor="text1"/>
                <w:spacing w:val="-1"/>
                <w:sz w:val="24"/>
                <w:szCs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t>）通风系统</w:t>
            </w:r>
          </w:p>
          <w:p w14:paraId="149DFEA2">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本项目主要采用自然通风或设置抽排风机进行通风，不设中央空调。</w:t>
            </w:r>
          </w:p>
          <w:p w14:paraId="69215F80">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1"/>
                <w:sz w:val="24"/>
                <w:szCs w:val="24"/>
                <w:highlight w:val="none"/>
                <w:lang w:val="en-US" w:eastAsia="zh-CN"/>
                <w14:textFill>
                  <w14:solidFill>
                    <w14:schemeClr w14:val="tx1"/>
                  </w14:solidFill>
                </w14:textFill>
              </w:rPr>
              <w:t>7、环保投资</w:t>
            </w:r>
          </w:p>
          <w:p w14:paraId="4E00FAE0">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本项目所需落实的污染防治措施的投资估算如下表所示。</w:t>
            </w:r>
          </w:p>
          <w:p w14:paraId="65C5743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环保投资估算一览表</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542"/>
              <w:gridCol w:w="4476"/>
              <w:gridCol w:w="1755"/>
            </w:tblGrid>
            <w:tr w14:paraId="56DA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6F85B19">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序号</w:t>
                  </w:r>
                </w:p>
              </w:tc>
              <w:tc>
                <w:tcPr>
                  <w:tcW w:w="906" w:type="pct"/>
                  <w:noWrap w:val="0"/>
                  <w:vAlign w:val="center"/>
                </w:tcPr>
                <w:p w14:paraId="1BADF5EC">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环保项目</w:t>
                  </w:r>
                </w:p>
              </w:tc>
              <w:tc>
                <w:tcPr>
                  <w:tcW w:w="2629" w:type="pct"/>
                  <w:noWrap w:val="0"/>
                  <w:vAlign w:val="center"/>
                </w:tcPr>
                <w:p w14:paraId="3A593812">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主要内容</w:t>
                  </w:r>
                </w:p>
              </w:tc>
              <w:tc>
                <w:tcPr>
                  <w:tcW w:w="1031" w:type="pct"/>
                  <w:noWrap w:val="0"/>
                  <w:vAlign w:val="center"/>
                </w:tcPr>
                <w:p w14:paraId="5ECE915C">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投资额（万元）</w:t>
                  </w:r>
                </w:p>
              </w:tc>
            </w:tr>
            <w:tr w14:paraId="3654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1BD5E42">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w:t>
                  </w:r>
                </w:p>
              </w:tc>
              <w:tc>
                <w:tcPr>
                  <w:tcW w:w="906" w:type="pct"/>
                  <w:noWrap w:val="0"/>
                  <w:vAlign w:val="center"/>
                </w:tcPr>
                <w:p w14:paraId="3F1AD00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废气治理</w:t>
                  </w:r>
                </w:p>
              </w:tc>
              <w:tc>
                <w:tcPr>
                  <w:tcW w:w="2629" w:type="pct"/>
                  <w:noWrap w:val="0"/>
                  <w:vAlign w:val="center"/>
                </w:tcPr>
                <w:p w14:paraId="51F4C7C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配套废气收集设施</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和排气筒等</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031" w:type="pct"/>
                  <w:noWrap w:val="0"/>
                  <w:vAlign w:val="center"/>
                </w:tcPr>
                <w:p w14:paraId="13C759A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cs="Times New Roman"/>
                      <w:snapToGrid/>
                      <w:color w:val="000000" w:themeColor="text1"/>
                      <w:kern w:val="0"/>
                      <w:sz w:val="21"/>
                      <w:szCs w:val="21"/>
                      <w:highlight w:val="none"/>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w:t>
                  </w:r>
                  <w:r>
                    <w:rPr>
                      <w:rFonts w:hint="eastAsia" w:cs="Times New Roman"/>
                      <w:snapToGrid/>
                      <w:color w:val="000000" w:themeColor="text1"/>
                      <w:kern w:val="0"/>
                      <w:sz w:val="21"/>
                      <w:szCs w:val="21"/>
                      <w:highlight w:val="none"/>
                      <w:lang w:val="en-US" w:eastAsia="zh-CN"/>
                      <w14:textFill>
                        <w14:solidFill>
                          <w14:schemeClr w14:val="tx1"/>
                        </w14:solidFill>
                      </w14:textFill>
                    </w:rPr>
                    <w:t>5</w:t>
                  </w:r>
                </w:p>
              </w:tc>
            </w:tr>
            <w:tr w14:paraId="0A21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36F76C4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2</w:t>
                  </w:r>
                </w:p>
              </w:tc>
              <w:tc>
                <w:tcPr>
                  <w:tcW w:w="906" w:type="pct"/>
                  <w:noWrap w:val="0"/>
                  <w:vAlign w:val="center"/>
                </w:tcPr>
                <w:p w14:paraId="0907172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废水治理</w:t>
                  </w:r>
                </w:p>
              </w:tc>
              <w:tc>
                <w:tcPr>
                  <w:tcW w:w="2629" w:type="pct"/>
                  <w:noWrap w:val="0"/>
                  <w:vAlign w:val="center"/>
                </w:tcPr>
                <w:p w14:paraId="635ABAE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铺设污水接驳管道</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、废水处理设施</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（三级化粪池+隔油隔渣池</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自建污水处理站</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工艺为“</w:t>
                  </w:r>
                  <w:r>
                    <w:rPr>
                      <w:rFonts w:hint="eastAsia" w:cs="Times New Roman"/>
                      <w:color w:val="000000" w:themeColor="text1"/>
                      <w:kern w:val="2"/>
                      <w:sz w:val="21"/>
                      <w:szCs w:val="21"/>
                      <w:highlight w:val="none"/>
                      <w:lang w:val="en-US" w:eastAsia="zh-CN" w:bidi="ar-SA"/>
                      <w14:textFill>
                        <w14:solidFill>
                          <w14:schemeClr w14:val="tx1"/>
                        </w14:solidFill>
                      </w14:textFill>
                    </w:rPr>
                    <w:t>中和调节+混凝沉淀+气浮+化学除氟</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031" w:type="pct"/>
                  <w:noWrap w:val="0"/>
                  <w:vAlign w:val="center"/>
                </w:tcPr>
                <w:p w14:paraId="09ECCCB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60</w:t>
                  </w:r>
                </w:p>
              </w:tc>
            </w:tr>
            <w:tr w14:paraId="21FA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1A4596D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3</w:t>
                  </w:r>
                </w:p>
              </w:tc>
              <w:tc>
                <w:tcPr>
                  <w:tcW w:w="906" w:type="pct"/>
                  <w:noWrap w:val="0"/>
                  <w:vAlign w:val="center"/>
                </w:tcPr>
                <w:p w14:paraId="084E13D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噪声治理</w:t>
                  </w:r>
                </w:p>
              </w:tc>
              <w:tc>
                <w:tcPr>
                  <w:tcW w:w="2629" w:type="pct"/>
                  <w:noWrap w:val="0"/>
                  <w:vAlign w:val="center"/>
                </w:tcPr>
                <w:p w14:paraId="7C6BD15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高噪声设备配套减振、隔音、消声装置。</w:t>
                  </w:r>
                </w:p>
              </w:tc>
              <w:tc>
                <w:tcPr>
                  <w:tcW w:w="1031" w:type="pct"/>
                  <w:noWrap w:val="0"/>
                  <w:vAlign w:val="center"/>
                </w:tcPr>
                <w:p w14:paraId="0B84E92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10</w:t>
                  </w:r>
                </w:p>
              </w:tc>
            </w:tr>
            <w:tr w14:paraId="3FB6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0B1815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4</w:t>
                  </w:r>
                </w:p>
              </w:tc>
              <w:tc>
                <w:tcPr>
                  <w:tcW w:w="906" w:type="pct"/>
                  <w:noWrap w:val="0"/>
                  <w:vAlign w:val="center"/>
                </w:tcPr>
                <w:p w14:paraId="4F449E8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固体废物处理</w:t>
                  </w:r>
                </w:p>
              </w:tc>
              <w:tc>
                <w:tcPr>
                  <w:tcW w:w="2629" w:type="pct"/>
                  <w:noWrap w:val="0"/>
                  <w:vAlign w:val="center"/>
                </w:tcPr>
                <w:p w14:paraId="11B2666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建设一般工业固体废物、危险废物贮存间</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和处置费</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031" w:type="pct"/>
                  <w:noWrap w:val="0"/>
                  <w:vAlign w:val="center"/>
                </w:tcPr>
                <w:p w14:paraId="4E6ABA7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20</w:t>
                  </w:r>
                </w:p>
              </w:tc>
            </w:tr>
            <w:tr w14:paraId="3CE2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042AC3A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cs="Times New Roman"/>
                      <w:snapToGrid/>
                      <w:color w:val="000000" w:themeColor="text1"/>
                      <w:kern w:val="0"/>
                      <w:sz w:val="21"/>
                      <w:szCs w:val="21"/>
                      <w:highlight w:val="none"/>
                      <w:lang w:val="en-US" w:eastAsia="zh-CN"/>
                      <w14:textFill>
                        <w14:solidFill>
                          <w14:schemeClr w14:val="tx1"/>
                        </w14:solidFill>
                      </w14:textFill>
                    </w:rPr>
                    <w:t>5</w:t>
                  </w:r>
                </w:p>
              </w:tc>
              <w:tc>
                <w:tcPr>
                  <w:tcW w:w="906" w:type="pct"/>
                  <w:noWrap w:val="0"/>
                  <w:vAlign w:val="center"/>
                </w:tcPr>
                <w:p w14:paraId="16AE37B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cs="Times New Roman"/>
                      <w:snapToGrid/>
                      <w:color w:val="000000" w:themeColor="text1"/>
                      <w:kern w:val="0"/>
                      <w:sz w:val="21"/>
                      <w:szCs w:val="21"/>
                      <w:highlight w:val="none"/>
                      <w:lang w:val="en-US" w:eastAsia="zh-CN"/>
                      <w14:textFill>
                        <w14:solidFill>
                          <w14:schemeClr w14:val="tx1"/>
                        </w14:solidFill>
                      </w14:textFill>
                    </w:rPr>
                    <w:t>环境风险</w:t>
                  </w:r>
                </w:p>
              </w:tc>
              <w:tc>
                <w:tcPr>
                  <w:tcW w:w="2629" w:type="pct"/>
                  <w:noWrap w:val="0"/>
                  <w:vAlign w:val="center"/>
                </w:tcPr>
                <w:p w14:paraId="7DC1779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cs="Times New Roman"/>
                      <w:snapToGrid/>
                      <w:color w:val="000000" w:themeColor="text1"/>
                      <w:kern w:val="0"/>
                      <w:sz w:val="21"/>
                      <w:szCs w:val="21"/>
                      <w:highlight w:val="none"/>
                      <w:lang w:val="en-US" w:eastAsia="zh-CN"/>
                      <w14:textFill>
                        <w14:solidFill>
                          <w14:schemeClr w14:val="tx1"/>
                        </w14:solidFill>
                      </w14:textFill>
                    </w:rPr>
                    <w:t>应急池</w:t>
                  </w:r>
                </w:p>
              </w:tc>
              <w:tc>
                <w:tcPr>
                  <w:tcW w:w="1031" w:type="pct"/>
                  <w:noWrap w:val="0"/>
                  <w:vAlign w:val="center"/>
                </w:tcPr>
                <w:p w14:paraId="444C44F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cs="Times New Roman"/>
                      <w:snapToGrid/>
                      <w:color w:val="000000" w:themeColor="text1"/>
                      <w:kern w:val="0"/>
                      <w:sz w:val="21"/>
                      <w:szCs w:val="21"/>
                      <w:highlight w:val="none"/>
                      <w:lang w:val="en-US" w:eastAsia="zh-CN"/>
                      <w14:textFill>
                        <w14:solidFill>
                          <w14:schemeClr w14:val="tx1"/>
                        </w14:solidFill>
                      </w14:textFill>
                    </w:rPr>
                    <w:t>5</w:t>
                  </w:r>
                </w:p>
              </w:tc>
            </w:tr>
            <w:tr w14:paraId="7751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68" w:type="pct"/>
                  <w:gridSpan w:val="3"/>
                  <w:noWrap w:val="0"/>
                  <w:vAlign w:val="center"/>
                </w:tcPr>
                <w:p w14:paraId="157738A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合计</w:t>
                  </w:r>
                </w:p>
              </w:tc>
              <w:tc>
                <w:tcPr>
                  <w:tcW w:w="1031" w:type="pct"/>
                  <w:noWrap w:val="0"/>
                  <w:vAlign w:val="center"/>
                </w:tcPr>
                <w:p w14:paraId="7A271A7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cs="Times New Roman"/>
                      <w:snapToGrid/>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00</w:t>
                  </w:r>
                </w:p>
              </w:tc>
            </w:tr>
          </w:tbl>
          <w:p w14:paraId="2FC090B3">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0ED6DA56">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三</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w:t>
            </w:r>
            <w:r>
              <w:rPr>
                <w:rFonts w:hint="default" w:ascii="Times New Roman" w:hAnsi="Times New Roman" w:cs="Times New Roman"/>
                <w:b/>
                <w:bCs/>
                <w:color w:val="000000" w:themeColor="text1"/>
                <w:kern w:val="2"/>
                <w:sz w:val="24"/>
                <w:szCs w:val="24"/>
                <w:highlight w:val="none"/>
                <w14:textFill>
                  <w14:solidFill>
                    <w14:schemeClr w14:val="tx1"/>
                  </w14:solidFill>
                </w14:textFill>
              </w:rPr>
              <w:t>厂区平面布置及四至情况</w:t>
            </w:r>
          </w:p>
          <w:p w14:paraId="0A5D8920">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bookmarkStart w:id="10" w:name="_Toc15878"/>
            <w:bookmarkStart w:id="11" w:name="_Toc21623"/>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本项目位于</w:t>
            </w:r>
            <w:r>
              <w:rPr>
                <w:rFonts w:hint="eastAsia" w:ascii="Times New Roman" w:hAnsi="Times New Roman" w:eastAsia="宋体" w:cs="Times New Roman"/>
                <w:color w:val="000000" w:themeColor="text1"/>
                <w:spacing w:val="-1"/>
                <w:sz w:val="24"/>
                <w:szCs w:val="24"/>
                <w:highlight w:val="none"/>
                <w:lang w:eastAsia="zh-CN"/>
                <w14:textFill>
                  <w14:solidFill>
                    <w14:schemeClr w14:val="tx1"/>
                  </w14:solidFill>
                </w14:textFill>
              </w:rPr>
              <w:t>韶关市乐昌市乐昌经济开发区管理委员会后座046号</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。本项目东面为</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平整空地，</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南面为</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平整空地</w:t>
            </w:r>
            <w:r>
              <w:rPr>
                <w:rFonts w:hint="eastAsia"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西面</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为平整空地</w:t>
            </w:r>
            <w:r>
              <w:rPr>
                <w:rFonts w:hint="eastAsia"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北面为</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平整空地</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w:t>
            </w:r>
            <w:bookmarkEnd w:id="10"/>
            <w:bookmarkEnd w:id="11"/>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项目四至环境见附图2，周边环境现状实景见附图</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3。</w:t>
            </w:r>
          </w:p>
          <w:p w14:paraId="79D024D8">
            <w:pPr>
              <w:spacing w:line="360" w:lineRule="auto"/>
              <w:ind w:firstLine="480" w:firstLineChars="200"/>
              <w:rPr>
                <w:rFonts w:ascii="黑体" w:hAnsi="黑体" w:eastAsia="黑体"/>
                <w:snapToGrid w:val="0"/>
                <w:color w:val="000000" w:themeColor="text1"/>
                <w:sz w:val="36"/>
                <w:szCs w:val="36"/>
                <w:highlight w:val="none"/>
                <w:vertAlign w:val="baseli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规划总</w:t>
            </w:r>
            <w:r>
              <w:rPr>
                <w:rFonts w:hint="default" w:ascii="Times New Roman" w:hAnsi="Times New Roman" w:eastAsia="宋体" w:cs="Times New Roman"/>
                <w:color w:val="000000" w:themeColor="text1"/>
                <w:sz w:val="24"/>
                <w:szCs w:val="24"/>
                <w:highlight w:val="none"/>
                <w14:textFill>
                  <w14:solidFill>
                    <w14:schemeClr w14:val="tx1"/>
                  </w14:solidFill>
                </w14:textFill>
              </w:rPr>
              <w:t>占地面积</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54139.29</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总</w:t>
            </w:r>
            <w:r>
              <w:rPr>
                <w:rFonts w:hint="default" w:ascii="Times New Roman" w:hAnsi="Times New Roman" w:eastAsia="宋体" w:cs="Times New Roman"/>
                <w:color w:val="000000" w:themeColor="text1"/>
                <w:sz w:val="24"/>
                <w:szCs w:val="24"/>
                <w:highlight w:val="none"/>
                <w14:textFill>
                  <w14:solidFill>
                    <w14:schemeClr w14:val="tx1"/>
                  </w14:solidFill>
                </w14:textFill>
              </w:rPr>
              <w:t>建筑面积</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43886.37</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主要包含5栋</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生产厂房（1#~</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#厂房）</w:t>
            </w:r>
            <w:r>
              <w:rPr>
                <w:rFonts w:hint="eastAsia"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宿舍楼</w:t>
            </w:r>
            <w:r>
              <w:rPr>
                <w:rFonts w:hint="default" w:ascii="Times New Roman" w:hAnsi="Times New Roman" w:eastAsia="宋体" w:cs="Times New Roman"/>
                <w:color w:val="000000" w:themeColor="text1"/>
                <w:sz w:val="24"/>
                <w:szCs w:val="24"/>
                <w:highlight w:val="none"/>
                <w14:textFill>
                  <w14:solidFill>
                    <w14:schemeClr w14:val="tx1"/>
                  </w14:solidFill>
                </w14:textFill>
              </w:rPr>
              <w:t>1栋</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综合楼1栋及其他辅助设施</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。其中1#厂房主要划分为开料、冲压区以及车间通道；2#厂房主要划分为折弯成型区及车间通道；</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#厂房</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主要为焊接、抛光打磨</w:t>
            </w:r>
            <w:r>
              <w:rPr>
                <w:rFonts w:hint="eastAsia" w:cs="Times New Roman"/>
                <w:color w:val="000000" w:themeColor="text1"/>
                <w:spacing w:val="-1"/>
                <w:sz w:val="24"/>
                <w:szCs w:val="24"/>
                <w:highlight w:val="none"/>
                <w:lang w:val="en-US" w:eastAsia="zh-CN"/>
                <w14:textFill>
                  <w14:solidFill>
                    <w14:schemeClr w14:val="tx1"/>
                  </w14:solidFill>
                </w14:textFill>
              </w:rPr>
              <w:t>区</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以及车间通道</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#厂房</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主要为</w:t>
            </w:r>
            <w:r>
              <w:rPr>
                <w:rFonts w:hint="eastAsia" w:cs="Times New Roman"/>
                <w:color w:val="000000" w:themeColor="text1"/>
                <w:spacing w:val="-1"/>
                <w:sz w:val="24"/>
                <w:szCs w:val="24"/>
                <w:highlight w:val="none"/>
                <w:lang w:val="en-US" w:eastAsia="zh-CN"/>
                <w14:textFill>
                  <w14:solidFill>
                    <w14:schemeClr w14:val="tx1"/>
                  </w14:solidFill>
                </w14:textFill>
              </w:rPr>
              <w:t>喷漆、喷粉和固化线、</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组装区以及车间通道；5</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#厂房</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主要为原料堆放区、预处理区、烘干区、成品堆放区以及车间通道</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各区</w:t>
            </w:r>
            <w:r>
              <w:rPr>
                <w:rFonts w:hint="default" w:ascii="Times New Roman" w:hAnsi="Times New Roman"/>
                <w:color w:val="000000" w:themeColor="text1"/>
                <w:sz w:val="24"/>
                <w:szCs w:val="24"/>
                <w:highlight w:val="none"/>
                <w14:textFill>
                  <w14:solidFill>
                    <w14:schemeClr w14:val="tx1"/>
                  </w14:solidFill>
                </w14:textFill>
              </w:rPr>
              <w:t>布局功能分区</w:t>
            </w:r>
            <w:r>
              <w:rPr>
                <w:rFonts w:hint="default" w:ascii="Times New Roman" w:hAnsi="Times New Roman" w:eastAsia="宋体" w:cs="Times New Roman"/>
                <w:color w:val="000000" w:themeColor="text1"/>
                <w:sz w:val="24"/>
                <w:szCs w:val="24"/>
                <w:highlight w:val="none"/>
                <w14:textFill>
                  <w14:solidFill>
                    <w14:schemeClr w14:val="tx1"/>
                  </w14:solidFill>
                </w14:textFill>
              </w:rPr>
              <w:t>划分明确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且</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紧凑</w:t>
            </w:r>
            <w:r>
              <w:rPr>
                <w:rFonts w:hint="default" w:ascii="Times New Roman" w:hAnsi="Times New Roman" w:eastAsia="宋体" w:cs="Times New Roman"/>
                <w:color w:val="000000" w:themeColor="text1"/>
                <w:sz w:val="24"/>
                <w:szCs w:val="24"/>
                <w:highlight w:val="none"/>
                <w14:textFill>
                  <w14:solidFill>
                    <w14:schemeClr w14:val="tx1"/>
                  </w14:solidFill>
                </w14:textFill>
              </w:rPr>
              <w:t>，人流、物流线路清晰，平面布置合理可行</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，具体</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总平面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布置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及生产</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厂房</w:t>
            </w:r>
            <w:r>
              <w:rPr>
                <w:rFonts w:hint="eastAsia" w:ascii="Times New Roman" w:hAnsi="Times New Roman"/>
                <w:color w:val="000000" w:themeColor="text1"/>
                <w:sz w:val="24"/>
                <w:szCs w:val="24"/>
                <w:highlight w:val="none"/>
                <w:lang w:val="en-US" w:eastAsia="zh-CN"/>
                <w14:textFill>
                  <w14:solidFill>
                    <w14:schemeClr w14:val="tx1"/>
                  </w14:solidFill>
                </w14:textFill>
              </w:rPr>
              <w:t>布局</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详见</w:t>
            </w:r>
            <w:r>
              <w:rPr>
                <w:rFonts w:hint="default" w:ascii="Times New Roman" w:hAnsi="Times New Roman" w:eastAsia="宋体" w:cs="Times New Roman"/>
                <w:color w:val="000000" w:themeColor="text1"/>
                <w:sz w:val="24"/>
                <w:szCs w:val="24"/>
                <w:highlight w:val="none"/>
                <w14:textFill>
                  <w14:solidFill>
                    <w14:schemeClr w14:val="tx1"/>
                  </w14:solidFill>
                </w14:textFill>
              </w:rPr>
              <w:t>附图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4、附图5-1到附图5-5</w:t>
            </w:r>
            <w:r>
              <w:rPr>
                <w:rFonts w:ascii="Times New Roman" w:hAnsi="Times New Roman"/>
                <w:color w:val="000000" w:themeColor="text1"/>
                <w:sz w:val="24"/>
                <w:szCs w:val="24"/>
                <w:highlight w:val="none"/>
                <w14:textFill>
                  <w14:solidFill>
                    <w14:schemeClr w14:val="tx1"/>
                  </w14:solidFill>
                </w14:textFill>
              </w:rPr>
              <w:t>。</w:t>
            </w:r>
          </w:p>
        </w:tc>
      </w:tr>
      <w:tr w14:paraId="4DEC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575" w:type="dxa"/>
            <w:noWrap w:val="0"/>
            <w:vAlign w:val="center"/>
          </w:tcPr>
          <w:p w14:paraId="665FC03B">
            <w:pPr>
              <w:pStyle w:val="41"/>
              <w:adjustRightInd w:val="0"/>
              <w:snapToGrid w:val="0"/>
              <w:spacing w:before="0" w:beforeAutospacing="0" w:after="0" w:afterAutospacing="0"/>
              <w:jc w:val="center"/>
              <w:rPr>
                <w:rFonts w:ascii="黑体" w:hAnsi="黑体" w:eastAsia="黑体"/>
                <w:snapToGrid w:val="0"/>
                <w:color w:val="000000" w:themeColor="text1"/>
                <w:sz w:val="36"/>
                <w:szCs w:val="36"/>
                <w:highlight w:val="none"/>
                <w:vertAlign w:val="baseline"/>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t>工艺流程和产排污环节</w:t>
            </w:r>
          </w:p>
        </w:tc>
        <w:tc>
          <w:tcPr>
            <w:tcW w:w="8485" w:type="dxa"/>
            <w:noWrap w:val="0"/>
            <w:vAlign w:val="top"/>
          </w:tcPr>
          <w:p w14:paraId="6AD6B5B2">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b/>
                <w:bCs/>
                <w:color w:val="000000" w:themeColor="text1"/>
                <w:sz w:val="24"/>
                <w:highlight w:val="none"/>
                <w14:textFill>
                  <w14:solidFill>
                    <w14:schemeClr w14:val="tx1"/>
                  </w14:solidFill>
                </w14:textFill>
              </w:rPr>
            </w:pPr>
          </w:p>
          <w:p w14:paraId="109AE28E">
            <w:pPr>
              <w:spacing w:line="360" w:lineRule="auto"/>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工艺流程简述（图示）：</w:t>
            </w:r>
          </w:p>
          <w:p w14:paraId="328260DD">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left="420" w:leftChars="200" w:right="0"/>
              <w:outlineLvl w:val="9"/>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生产工艺流程</w:t>
            </w:r>
          </w:p>
          <w:p w14:paraId="7971DCC6">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right="0"/>
              <w:jc w:val="center"/>
              <w:outlineLvl w:val="9"/>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object>
                <v:shape id="_x0000_i1026" o:spt="75" type="#_x0000_t75" style="height:567.1pt;width:419.85pt;" o:ole="t" filled="f" o:preferrelative="t" stroked="f" coordsize="21600,21600">
                  <v:path/>
                  <v:fill on="f" focussize="0,0"/>
                  <v:stroke on="f"/>
                  <v:imagedata r:id="rId24" o:title=""/>
                  <o:lock v:ext="edit" aspectratio="f"/>
                  <w10:wrap type="none"/>
                  <w10:anchorlock/>
                </v:shape>
                <o:OLEObject Type="Embed" ProgID="Visio.Drawing.15" ShapeID="_x0000_i1026" DrawAspect="Content" ObjectID="_1468075726" r:id="rId23">
                  <o:LockedField>false</o:LockedField>
                </o:OLEObject>
              </w:object>
            </w:r>
          </w:p>
          <w:p w14:paraId="7CE34D08">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240" w:lineRule="auto"/>
              <w:ind w:right="0"/>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注：项目水洗废水与</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预</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脱脂池、脱脂池更换出来的高浓度废水排入自建污水处理站进行处理，故后文分析将水洗废水及高浓度废水统称为前处理废水。</w:t>
            </w:r>
          </w:p>
          <w:p w14:paraId="2B6335E1">
            <w:pPr>
              <w:pStyle w:val="17"/>
              <w:keepNext w:val="0"/>
              <w:keepLines w:val="0"/>
              <w:pageBreakBefore w:val="0"/>
              <w:widowControl w:val="0"/>
              <w:numPr>
                <w:ilvl w:val="0"/>
                <w:numId w:val="11"/>
              </w:numPr>
              <w:suppressLineNumbers w:val="0"/>
              <w:tabs>
                <w:tab w:val="left" w:pos="628"/>
                <w:tab w:val="left" w:pos="993"/>
                <w:tab w:val="left" w:pos="1884"/>
                <w:tab w:val="clear" w:pos="3240"/>
                <w:tab w:val="clear" w:pos="6120"/>
              </w:tabs>
              <w:kinsoku/>
              <w:wordWrap w:val="0"/>
              <w:overflowPunct/>
              <w:topLinePunct w:val="0"/>
              <w:bidi w:val="0"/>
              <w:adjustRightInd/>
              <w:snapToGrid/>
              <w:spacing w:before="0" w:beforeAutospacing="0" w:after="0" w:afterLines="0" w:afterAutospacing="0" w:line="360" w:lineRule="auto"/>
              <w:ind w:left="0" w:leftChars="0" w:right="0" w:firstLine="0" w:firstLineChars="0"/>
              <w:jc w:val="center"/>
              <w:outlineLvl w:val="9"/>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钣金</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件</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生产工艺流程</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及产污环节</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图</w:t>
            </w:r>
          </w:p>
          <w:p w14:paraId="04A0BDC2">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left="420" w:leftChars="200" w:right="0"/>
              <w:outlineLvl w:val="9"/>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工艺流程说明：</w:t>
            </w:r>
          </w:p>
          <w:p w14:paraId="62B7EF3F">
            <w:pPr>
              <w:pStyle w:val="105"/>
              <w:spacing w:line="360" w:lineRule="auto"/>
              <w:ind w:firstLine="48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（1）铝卷开料、钣金成型：</w:t>
            </w:r>
            <w:r>
              <w:rPr>
                <w:rFonts w:hint="default" w:ascii="Times New Roman" w:hAnsi="Times New Roman" w:eastAsia="宋体" w:cs="Times New Roman"/>
                <w:color w:val="000000" w:themeColor="text1"/>
                <w:sz w:val="24"/>
                <w:szCs w:val="24"/>
                <w:highlight w:val="none"/>
                <w14:textFill>
                  <w14:solidFill>
                    <w14:schemeClr w14:val="tx1"/>
                  </w14:solidFill>
                </w14:textFill>
              </w:rPr>
              <w:t>项目铝卷购入后经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激光切割生产线</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、数控切割机</w:t>
            </w:r>
            <w:r>
              <w:rPr>
                <w:rFonts w:hint="default" w:ascii="Times New Roman" w:hAnsi="Times New Roman" w:eastAsia="宋体" w:cs="Times New Roman"/>
                <w:color w:val="000000" w:themeColor="text1"/>
                <w:sz w:val="24"/>
                <w:szCs w:val="24"/>
                <w:highlight w:val="none"/>
                <w14:textFill>
                  <w14:solidFill>
                    <w14:schemeClr w14:val="tx1"/>
                  </w14:solidFill>
                </w14:textFill>
              </w:rPr>
              <w:t>开料，</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切割</w:t>
            </w:r>
            <w:r>
              <w:rPr>
                <w:rFonts w:hint="default" w:ascii="Times New Roman" w:hAnsi="Times New Roman" w:eastAsia="宋体" w:cs="Times New Roman"/>
                <w:color w:val="000000" w:themeColor="text1"/>
                <w:sz w:val="24"/>
                <w:szCs w:val="24"/>
                <w:highlight w:val="none"/>
                <w14:textFill>
                  <w14:solidFill>
                    <w14:schemeClr w14:val="tx1"/>
                  </w14:solidFill>
                </w14:textFill>
              </w:rPr>
              <w:t>出合适大小的铝板件，经冲压、折弯、滚弧、焊接等工序后成型，该工序主要产生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切割粉尘</w:t>
            </w:r>
            <w:r>
              <w:rPr>
                <w:rFonts w:hint="default" w:ascii="Times New Roman" w:hAnsi="Times New Roman" w:eastAsia="宋体" w:cs="Times New Roman"/>
                <w:color w:val="000000" w:themeColor="text1"/>
                <w:sz w:val="24"/>
                <w:szCs w:val="24"/>
                <w:highlight w:val="none"/>
                <w14:textFill>
                  <w14:solidFill>
                    <w14:schemeClr w14:val="tx1"/>
                  </w14:solidFill>
                </w14:textFill>
              </w:rPr>
              <w:t>、焊接烟尘、噪声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废包装物、边角料。</w:t>
            </w:r>
          </w:p>
          <w:p w14:paraId="0CB5107F">
            <w:pPr>
              <w:pStyle w:val="105"/>
              <w:spacing w:line="360" w:lineRule="auto"/>
              <w:ind w:firstLine="480"/>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（2）</w:t>
            </w:r>
            <w:r>
              <w:rPr>
                <w:rFonts w:hint="eastAsia" w:ascii="Times New Roman" w:hAnsi="Times New Roman" w:eastAsia="宋体" w:cs="Times New Roman"/>
                <w:b/>
                <w:color w:val="000000" w:themeColor="text1"/>
                <w:sz w:val="24"/>
                <w:szCs w:val="24"/>
                <w:highlight w:val="none"/>
                <w:lang w:eastAsia="zh-CN"/>
                <w14:textFill>
                  <w14:solidFill>
                    <w14:schemeClr w14:val="tx1"/>
                  </w14:solidFill>
                </w14:textFill>
              </w:rPr>
              <w:t>抛光打磨</w:t>
            </w:r>
            <w:r>
              <w:rPr>
                <w:rFonts w:hint="default" w:ascii="Times New Roman" w:hAnsi="Times New Roman" w:eastAsia="宋体" w:cs="Times New Roman"/>
                <w:b/>
                <w:color w:val="000000" w:themeColor="text1"/>
                <w:sz w:val="24"/>
                <w:szCs w:val="24"/>
                <w:highlight w:val="none"/>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14:textFill>
                  <w14:solidFill>
                    <w14:schemeClr w14:val="tx1"/>
                  </w14:solidFill>
                </w14:textFill>
              </w:rPr>
              <w:t>钣金</w:t>
            </w:r>
            <w:r>
              <w:rPr>
                <w:rFonts w:hint="eastAsia" w:cs="Times New Roman"/>
                <w:bCs/>
                <w:color w:val="000000" w:themeColor="text1"/>
                <w:sz w:val="24"/>
                <w:szCs w:val="24"/>
                <w:highlight w:val="none"/>
                <w:lang w:val="en-US" w:eastAsia="zh-CN"/>
                <w14:textFill>
                  <w14:solidFill>
                    <w14:schemeClr w14:val="tx1"/>
                  </w14:solidFill>
                </w14:textFill>
              </w:rPr>
              <w:t>后工</w:t>
            </w:r>
            <w:r>
              <w:rPr>
                <w:rFonts w:hint="default" w:ascii="Times New Roman" w:hAnsi="Times New Roman" w:eastAsia="宋体" w:cs="Times New Roman"/>
                <w:bCs/>
                <w:color w:val="000000" w:themeColor="text1"/>
                <w:sz w:val="24"/>
                <w:szCs w:val="24"/>
                <w:highlight w:val="none"/>
                <w14:textFill>
                  <w14:solidFill>
                    <w14:schemeClr w14:val="tx1"/>
                  </w14:solidFill>
                </w14:textFill>
              </w:rPr>
              <w:t>件</w:t>
            </w:r>
            <w:r>
              <w:rPr>
                <w:rFonts w:hint="eastAsia" w:cs="Times New Roman"/>
                <w:bCs/>
                <w:color w:val="000000" w:themeColor="text1"/>
                <w:sz w:val="24"/>
                <w:szCs w:val="24"/>
                <w:highlight w:val="none"/>
                <w:lang w:val="en-US" w:eastAsia="zh-CN"/>
                <w14:textFill>
                  <w14:solidFill>
                    <w14:schemeClr w14:val="tx1"/>
                  </w14:solidFill>
                </w14:textFill>
              </w:rPr>
              <w:t>部分需要进行表面打磨，还有部分需要焊接口打磨</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r>
              <w:rPr>
                <w:rFonts w:hint="eastAsia" w:cs="Times New Roman"/>
                <w:bCs/>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bCs/>
                <w:color w:val="000000" w:themeColor="text1"/>
                <w:sz w:val="24"/>
                <w:szCs w:val="24"/>
                <w:highlight w:val="none"/>
                <w14:textFill>
                  <w14:solidFill>
                    <w14:schemeClr w14:val="tx1"/>
                  </w14:solidFill>
                </w14:textFill>
              </w:rPr>
              <w:t>使用</w:t>
            </w:r>
            <w:r>
              <w:rPr>
                <w:rFonts w:hint="eastAsia" w:cs="Times New Roman"/>
                <w:bCs/>
                <w:color w:val="000000" w:themeColor="text1"/>
                <w:sz w:val="24"/>
                <w:szCs w:val="24"/>
                <w:highlight w:val="none"/>
                <w:lang w:val="en-US" w:eastAsia="zh-CN"/>
                <w14:textFill>
                  <w14:solidFill>
                    <w14:schemeClr w14:val="tx1"/>
                  </w14:solidFill>
                </w14:textFill>
              </w:rPr>
              <w:t>手磨机</w:t>
            </w:r>
            <w:r>
              <w:rPr>
                <w:rFonts w:hint="default" w:ascii="Times New Roman" w:hAnsi="Times New Roman" w:eastAsia="宋体" w:cs="Times New Roman"/>
                <w:bCs/>
                <w:color w:val="000000" w:themeColor="text1"/>
                <w:sz w:val="24"/>
                <w:szCs w:val="24"/>
                <w:highlight w:val="none"/>
                <w14:textFill>
                  <w14:solidFill>
                    <w14:schemeClr w14:val="tx1"/>
                  </w14:solidFill>
                </w14:textFill>
              </w:rPr>
              <w:t>进行</w:t>
            </w: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抛光打磨</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，该工序产生打磨抛光粉尘、噪声</w:t>
            </w:r>
            <w:r>
              <w:rPr>
                <w:rFonts w:hint="default" w:ascii="Times New Roman" w:hAnsi="Times New Roman" w:eastAsia="宋体" w:cs="Times New Roman"/>
                <w:color w:val="000000" w:themeColor="text1"/>
                <w:kern w:val="0"/>
                <w:sz w:val="24"/>
                <w:szCs w:val="24"/>
                <w:highlight w:val="none"/>
                <w:lang w:eastAsia="zh-CN" w:bidi="ar"/>
                <w14:textFill>
                  <w14:solidFill>
                    <w14:schemeClr w14:val="tx1"/>
                  </w14:solidFill>
                </w14:textFill>
              </w:rPr>
              <w:t>。</w:t>
            </w:r>
          </w:p>
          <w:p w14:paraId="31576210">
            <w:pPr>
              <w:pStyle w:val="105"/>
              <w:spacing w:line="360" w:lineRule="auto"/>
              <w:ind w:firstLine="48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（3）</w:t>
            </w:r>
            <w:r>
              <w:rPr>
                <w:rFonts w:hint="eastAsia" w:cs="Times New Roman"/>
                <w:b/>
                <w:color w:val="000000" w:themeColor="text1"/>
                <w:sz w:val="24"/>
                <w:szCs w:val="24"/>
                <w:highlight w:val="none"/>
                <w:lang w:eastAsia="zh-CN"/>
                <w14:textFill>
                  <w14:solidFill>
                    <w14:schemeClr w14:val="tx1"/>
                  </w14:solidFill>
                </w14:textFill>
              </w:rPr>
              <w:t>工件表面预处理</w:t>
            </w:r>
            <w:r>
              <w:rPr>
                <w:rFonts w:hint="default" w:ascii="Times New Roman" w:hAnsi="Times New Roman" w:eastAsia="宋体" w:cs="Times New Roman"/>
                <w:b/>
                <w:color w:val="000000" w:themeColor="text1"/>
                <w:sz w:val="24"/>
                <w:szCs w:val="24"/>
                <w:highlight w:val="none"/>
                <w14:textFill>
                  <w14:solidFill>
                    <w14:schemeClr w14:val="tx1"/>
                  </w14:solidFill>
                </w14:textFill>
              </w:rPr>
              <w:t>生产线</w:t>
            </w:r>
          </w:p>
          <w:p w14:paraId="2403C81C">
            <w:pPr>
              <w:pStyle w:val="105"/>
              <w:spacing w:line="360" w:lineRule="auto"/>
              <w:ind w:firstLine="48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①预</w:t>
            </w: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脱脂</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池、</w:t>
            </w: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脱脂</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池：</w:t>
            </w: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预脱脂、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脱脂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除油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工序采用</w:t>
            </w:r>
            <w:r>
              <w:rPr>
                <w:rFonts w:hint="eastAsia" w:cs="Times New Roman"/>
                <w:color w:val="000000" w:themeColor="text1"/>
                <w:sz w:val="24"/>
                <w:szCs w:val="24"/>
                <w:highlight w:val="none"/>
                <w:lang w:eastAsia="zh-CN"/>
                <w14:textFill>
                  <w14:solidFill>
                    <w14:schemeClr w14:val="tx1"/>
                  </w14:solidFill>
                </w14:textFill>
              </w:rPr>
              <w:t>除油</w:t>
            </w:r>
            <w:r>
              <w:rPr>
                <w:rFonts w:hint="default" w:ascii="Times New Roman" w:hAnsi="Times New Roman" w:eastAsia="宋体" w:cs="Times New Roman"/>
                <w:color w:val="000000" w:themeColor="text1"/>
                <w:sz w:val="24"/>
                <w:szCs w:val="24"/>
                <w:highlight w:val="none"/>
                <w14:textFill>
                  <w14:solidFill>
                    <w14:schemeClr w14:val="tx1"/>
                  </w14:solidFill>
                </w14:textFill>
              </w:rPr>
              <w:t>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项目预处理生产采用喷淋方式清洗除油，</w:t>
            </w:r>
            <w:r>
              <w:rPr>
                <w:rFonts w:hint="default" w:ascii="Times New Roman" w:hAnsi="Times New Roman" w:eastAsia="宋体" w:cs="Times New Roman"/>
                <w:color w:val="000000" w:themeColor="text1"/>
                <w:sz w:val="24"/>
                <w:szCs w:val="24"/>
                <w:highlight w:val="none"/>
                <w14:textFill>
                  <w14:solidFill>
                    <w14:schemeClr w14:val="tx1"/>
                  </w14:solidFill>
                </w14:textFill>
              </w:rPr>
              <w:t>铝卷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在喷淋柜喷淋</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常温状态下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，当</w:t>
            </w:r>
            <w:r>
              <w:rPr>
                <w:rFonts w:hint="default" w:ascii="Times New Roman" w:hAnsi="Times New Roman" w:eastAsia="宋体" w:cs="Times New Roman"/>
                <w:color w:val="000000" w:themeColor="text1"/>
                <w:sz w:val="24"/>
                <w:szCs w:val="24"/>
                <w:highlight w:val="none"/>
                <w14:textFill>
                  <w14:solidFill>
                    <w14:schemeClr w14:val="tx1"/>
                  </w14:solidFill>
                </w14:textFill>
              </w:rPr>
              <w:t>除油工序完成后进入水洗池清洗</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。项目预脱脂池、脱脂池溶液循环使用，定期补充新除油剂</w:t>
            </w:r>
            <w:r>
              <w:rPr>
                <w:rFonts w:hint="eastAsia" w:cs="Times New Roman"/>
                <w:color w:val="000000" w:themeColor="text1"/>
                <w:kern w:val="0"/>
                <w:sz w:val="24"/>
                <w:szCs w:val="24"/>
                <w:highlight w:val="none"/>
                <w:lang w:val="en-US" w:eastAsia="zh-CN" w:bidi="ar"/>
                <w14:textFill>
                  <w14:solidFill>
                    <w14:schemeClr w14:val="tx1"/>
                  </w14:solidFill>
                </w14:textFill>
              </w:rPr>
              <w:t>、水，预脱脂池、脱脂油池中槽液工艺浓度控制在3%左右</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，预脱脂池每3个月整池更换一次、脱脂池每3个月整池更换一次，</w:t>
            </w:r>
            <w:r>
              <w:rPr>
                <w:rFonts w:hint="default" w:ascii="Times New Roman" w:hAnsi="Times New Roman" w:cs="Times New Roman"/>
                <w:color w:val="000000" w:themeColor="text1"/>
                <w:highlight w:val="none"/>
                <w:lang w:val="en-US" w:eastAsia="zh-CN"/>
                <w14:textFill>
                  <w14:solidFill>
                    <w14:schemeClr w14:val="tx1"/>
                  </w14:solidFill>
                </w14:textFill>
              </w:rPr>
              <w:t>更换后的槽液全部进入自建污水处理站进行处理</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03D66437">
            <w:pPr>
              <w:pStyle w:val="105"/>
              <w:spacing w:line="360" w:lineRule="auto"/>
              <w:ind w:firstLine="480"/>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②</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水洗池</w:t>
            </w:r>
          </w:p>
          <w:p w14:paraId="0EE593D0">
            <w:pPr>
              <w:keepNext w:val="0"/>
              <w:keepLines w:val="0"/>
              <w:pageBreakBefore w:val="0"/>
              <w:widowControl/>
              <w:suppressLineNumbers w:val="0"/>
              <w:kinsoku/>
              <w:wordWrap/>
              <w:overflowPunct/>
              <w:topLinePunct w:val="0"/>
              <w:bidi w:val="0"/>
              <w:adjustRightInd/>
              <w:snapToGrid/>
              <w:spacing w:before="0" w:beforeAutospacing="0" w:after="0" w:afterAutospacing="0" w:line="360" w:lineRule="auto"/>
              <w:ind w:left="0" w:right="0" w:firstLine="480" w:firstLineChars="200"/>
              <w:jc w:val="left"/>
              <w:textAlignment w:val="auto"/>
              <w:outlineLvl w:val="9"/>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脱脂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除油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后的工件经过1#、2#水洗工段</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以及清水洗</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工段进行水洗，将工件表面残留的试剂截留在水池内。用自来水对脱脂后的工件进行喷淋清洗，把工件表面的残液清洗干净。工件分别通过四个水洗工段经自来水喷淋水洗，为保证水洗池清洗效果，项目在各水洗池均</w:t>
            </w:r>
            <w:r>
              <w:rPr>
                <w:rFonts w:hint="default" w:ascii="Times New Roman" w:hAnsi="Times New Roman" w:eastAsia="宋体" w:cs="Times New Roman"/>
                <w:color w:val="000000" w:themeColor="text1"/>
                <w:sz w:val="24"/>
                <w:szCs w:val="24"/>
                <w:highlight w:val="none"/>
                <w14:textFill>
                  <w14:solidFill>
                    <w14:schemeClr w14:val="tx1"/>
                  </w14:solidFill>
                </w14:textFill>
              </w:rPr>
              <w:t>设置溢流口并用固定管道接入收集池</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，工件水洗后进入无铬钝化池钝化</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，工件钝化后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再</w:t>
            </w:r>
            <w:r>
              <w:rPr>
                <w:rFonts w:hint="default" w:ascii="Times New Roman" w:hAnsi="Times New Roman" w:eastAsia="宋体" w:cs="Times New Roman"/>
                <w:color w:val="000000" w:themeColor="text1"/>
                <w:sz w:val="24"/>
                <w:szCs w:val="24"/>
                <w:highlight w:val="none"/>
                <w14:textFill>
                  <w14:solidFill>
                    <w14:schemeClr w14:val="tx1"/>
                  </w14:solidFill>
                </w14:textFill>
              </w:rPr>
              <w:t>进入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水洗池清洗</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水洗池每个月更换整槽废水并同时采用溢流排水方式保证清洗效果</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此过程会产生前处理废水</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，排入自建污水处理站进行处理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5213946">
            <w:pPr>
              <w:pStyle w:val="105"/>
              <w:spacing w:line="360" w:lineRule="auto"/>
              <w:ind w:firstLine="48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③</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无铬钝化池：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经除油、水洗后的金属表面很清洁，非常活化，很容易遭受腐蚀，所以必须立即进行钝化处理，使清洗后的金属表面生成保护膜，减缓腐蚀。钝化是使用无铬钝化剂与铝件表面生成致密氧化物保护层，从而阻止铝件发生氧化反应，无铬钝化池</w:t>
            </w:r>
            <w:r>
              <w:rPr>
                <w:rFonts w:hint="default" w:ascii="Times New Roman" w:hAnsi="Times New Roman" w:eastAsia="宋体" w:cs="Times New Roman"/>
                <w:color w:val="000000" w:themeColor="text1"/>
                <w:sz w:val="24"/>
                <w:szCs w:val="24"/>
                <w:highlight w:val="none"/>
                <w14:textFill>
                  <w14:solidFill>
                    <w14:schemeClr w14:val="tx1"/>
                  </w14:solidFill>
                </w14:textFill>
              </w:rPr>
              <w:t>槽液定期更换</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槽液内无铬钝化剂</w:t>
            </w:r>
            <w:r>
              <w:rPr>
                <w:rFonts w:hint="eastAsia" w:cs="Times New Roman"/>
                <w:color w:val="000000" w:themeColor="text1"/>
                <w:sz w:val="24"/>
                <w:szCs w:val="24"/>
                <w:highlight w:val="none"/>
                <w:lang w:val="en-US" w:eastAsia="zh-CN"/>
                <w14:textFill>
                  <w14:solidFill>
                    <w14:schemeClr w14:val="tx1"/>
                  </w14:solidFill>
                </w14:textFill>
              </w:rPr>
              <w:t>工艺浓度控制在1%左右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，更换后的槽液交有危废资质单位处理</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E78484E">
            <w:pPr>
              <w:pStyle w:val="105"/>
              <w:spacing w:line="360" w:lineRule="auto"/>
              <w:ind w:firstLine="48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④设计参数：</w:t>
            </w:r>
          </w:p>
          <w:p w14:paraId="5543336E">
            <w:pPr>
              <w:pStyle w:val="105"/>
              <w:spacing w:line="360" w:lineRule="auto"/>
              <w:ind w:firstLine="48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工件表面预处理</w:t>
            </w:r>
            <w:r>
              <w:rPr>
                <w:rFonts w:hint="default" w:ascii="Times New Roman" w:hAnsi="Times New Roman" w:eastAsia="宋体" w:cs="Times New Roman"/>
                <w:color w:val="000000" w:themeColor="text1"/>
                <w:sz w:val="24"/>
                <w:szCs w:val="24"/>
                <w:highlight w:val="none"/>
                <w14:textFill>
                  <w14:solidFill>
                    <w14:schemeClr w14:val="tx1"/>
                  </w14:solidFill>
                </w14:textFill>
              </w:rPr>
              <w:t>各池体大小设计参数如下，水槽有效水深为0.8m：</w:t>
            </w:r>
          </w:p>
          <w:p w14:paraId="4E10C18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预处理各池体参数表</w:t>
            </w:r>
          </w:p>
          <w:tbl>
            <w:tblPr>
              <w:tblStyle w:val="4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91"/>
              <w:gridCol w:w="888"/>
              <w:gridCol w:w="644"/>
              <w:gridCol w:w="644"/>
              <w:gridCol w:w="646"/>
              <w:gridCol w:w="882"/>
              <w:gridCol w:w="1304"/>
              <w:gridCol w:w="877"/>
              <w:gridCol w:w="1331"/>
            </w:tblGrid>
            <w:tr w14:paraId="2AD7F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vMerge w:val="restart"/>
                  <w:tcBorders>
                    <w:tl2br w:val="nil"/>
                    <w:tr2bl w:val="nil"/>
                  </w:tcBorders>
                  <w:noWrap w:val="0"/>
                  <w:vAlign w:val="center"/>
                </w:tcPr>
                <w:p w14:paraId="0F438B39">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工艺流程</w:t>
                  </w:r>
                </w:p>
              </w:tc>
              <w:tc>
                <w:tcPr>
                  <w:tcW w:w="522" w:type="pct"/>
                  <w:vMerge w:val="restart"/>
                  <w:tcBorders>
                    <w:tl2br w:val="nil"/>
                    <w:tr2bl w:val="nil"/>
                  </w:tcBorders>
                  <w:noWrap w:val="0"/>
                  <w:vAlign w:val="center"/>
                </w:tcPr>
                <w:p w14:paraId="29C4066F">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处理方式</w:t>
                  </w:r>
                </w:p>
              </w:tc>
              <w:tc>
                <w:tcPr>
                  <w:tcW w:w="1138" w:type="pct"/>
                  <w:gridSpan w:val="3"/>
                  <w:tcBorders>
                    <w:tl2br w:val="nil"/>
                    <w:tr2bl w:val="nil"/>
                  </w:tcBorders>
                  <w:noWrap w:val="0"/>
                  <w:vAlign w:val="center"/>
                </w:tcPr>
                <w:p w14:paraId="12D297B6">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水槽内尺寸（m）</w:t>
                  </w:r>
                </w:p>
              </w:tc>
              <w:tc>
                <w:tcPr>
                  <w:tcW w:w="515" w:type="pct"/>
                  <w:vMerge w:val="restart"/>
                  <w:tcBorders>
                    <w:tl2br w:val="nil"/>
                    <w:tr2bl w:val="nil"/>
                  </w:tcBorders>
                  <w:noWrap w:val="0"/>
                  <w:vAlign w:val="center"/>
                </w:tcPr>
                <w:p w14:paraId="5CDB4E4B">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水池</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有效容积</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w:t>
                  </w:r>
                </w:p>
              </w:tc>
              <w:tc>
                <w:tcPr>
                  <w:tcW w:w="766" w:type="pct"/>
                  <w:vMerge w:val="restart"/>
                  <w:tcBorders>
                    <w:tl2br w:val="nil"/>
                    <w:tr2bl w:val="nil"/>
                  </w:tcBorders>
                  <w:noWrap w:val="0"/>
                  <w:vAlign w:val="center"/>
                </w:tcPr>
                <w:p w14:paraId="22B08C6A">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使用药剂</w:t>
                  </w:r>
                </w:p>
              </w:tc>
              <w:tc>
                <w:tcPr>
                  <w:tcW w:w="515" w:type="pct"/>
                  <w:vMerge w:val="restart"/>
                  <w:tcBorders>
                    <w:tl2br w:val="nil"/>
                    <w:tr2bl w:val="nil"/>
                  </w:tcBorders>
                  <w:noWrap w:val="0"/>
                  <w:vAlign w:val="center"/>
                </w:tcPr>
                <w:p w14:paraId="3AAFC78C">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槽液更换周期</w:t>
                  </w:r>
                </w:p>
              </w:tc>
              <w:tc>
                <w:tcPr>
                  <w:tcW w:w="782" w:type="pct"/>
                  <w:vMerge w:val="restart"/>
                  <w:tcBorders>
                    <w:tl2br w:val="nil"/>
                    <w:tr2bl w:val="nil"/>
                  </w:tcBorders>
                  <w:noWrap w:val="0"/>
                  <w:vAlign w:val="center"/>
                </w:tcPr>
                <w:p w14:paraId="2ACEE9EF">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处理去向</w:t>
                  </w:r>
                </w:p>
              </w:tc>
            </w:tr>
            <w:tr w14:paraId="5E6B4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vMerge w:val="continue"/>
                  <w:tcBorders>
                    <w:tl2br w:val="nil"/>
                    <w:tr2bl w:val="nil"/>
                  </w:tcBorders>
                  <w:noWrap w:val="0"/>
                  <w:vAlign w:val="center"/>
                </w:tcPr>
                <w:p w14:paraId="75500220">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522" w:type="pct"/>
                  <w:vMerge w:val="continue"/>
                  <w:tcBorders>
                    <w:tl2br w:val="nil"/>
                    <w:tr2bl w:val="nil"/>
                  </w:tcBorders>
                  <w:noWrap w:val="0"/>
                  <w:vAlign w:val="center"/>
                </w:tcPr>
                <w:p w14:paraId="70B5B20D">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379" w:type="pct"/>
                  <w:tcBorders>
                    <w:tl2br w:val="nil"/>
                    <w:tr2bl w:val="nil"/>
                  </w:tcBorders>
                  <w:noWrap/>
                  <w:vAlign w:val="center"/>
                </w:tcPr>
                <w:p w14:paraId="576A5A30">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长</w:t>
                  </w:r>
                </w:p>
              </w:tc>
              <w:tc>
                <w:tcPr>
                  <w:tcW w:w="379" w:type="pct"/>
                  <w:tcBorders>
                    <w:tl2br w:val="nil"/>
                    <w:tr2bl w:val="nil"/>
                  </w:tcBorders>
                  <w:noWrap/>
                  <w:vAlign w:val="center"/>
                </w:tcPr>
                <w:p w14:paraId="06435786">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宽</w:t>
                  </w:r>
                </w:p>
              </w:tc>
              <w:tc>
                <w:tcPr>
                  <w:tcW w:w="379" w:type="pct"/>
                  <w:tcBorders>
                    <w:tl2br w:val="nil"/>
                    <w:tr2bl w:val="nil"/>
                  </w:tcBorders>
                  <w:noWrap/>
                  <w:vAlign w:val="center"/>
                </w:tcPr>
                <w:p w14:paraId="5232CBB1">
                  <w:pPr>
                    <w:adjustRightInd w:val="0"/>
                    <w:snapToGrid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高</w:t>
                  </w:r>
                </w:p>
              </w:tc>
              <w:tc>
                <w:tcPr>
                  <w:tcW w:w="515" w:type="pct"/>
                  <w:vMerge w:val="continue"/>
                  <w:tcBorders>
                    <w:tl2br w:val="nil"/>
                    <w:tr2bl w:val="nil"/>
                  </w:tcBorders>
                  <w:noWrap w:val="0"/>
                  <w:vAlign w:val="center"/>
                </w:tcPr>
                <w:p w14:paraId="524F7D7A">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766" w:type="pct"/>
                  <w:vMerge w:val="continue"/>
                  <w:tcBorders>
                    <w:tl2br w:val="nil"/>
                    <w:tr2bl w:val="nil"/>
                  </w:tcBorders>
                  <w:noWrap w:val="0"/>
                  <w:vAlign w:val="center"/>
                </w:tcPr>
                <w:p w14:paraId="38F6F85C">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515" w:type="pct"/>
                  <w:vMerge w:val="continue"/>
                  <w:tcBorders>
                    <w:tl2br w:val="nil"/>
                    <w:tr2bl w:val="nil"/>
                  </w:tcBorders>
                  <w:noWrap w:val="0"/>
                  <w:vAlign w:val="center"/>
                </w:tcPr>
                <w:p w14:paraId="47538E18">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782" w:type="pct"/>
                  <w:vMerge w:val="continue"/>
                  <w:tcBorders>
                    <w:tl2br w:val="nil"/>
                    <w:tr2bl w:val="nil"/>
                  </w:tcBorders>
                  <w:noWrap w:val="0"/>
                  <w:vAlign w:val="center"/>
                </w:tcPr>
                <w:p w14:paraId="05F97FED">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3BD51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435DBD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水洗</w:t>
                  </w:r>
                  <w:r>
                    <w:rPr>
                      <w:rFonts w:hint="default" w:ascii="Times New Roman" w:hAnsi="Times New Roman" w:eastAsia="宋体" w:cs="Times New Roman"/>
                      <w:color w:val="000000" w:themeColor="text1"/>
                      <w:sz w:val="21"/>
                      <w:szCs w:val="21"/>
                      <w:highlight w:val="none"/>
                      <w14:textFill>
                        <w14:solidFill>
                          <w14:schemeClr w14:val="tx1"/>
                        </w14:solidFill>
                      </w14:textFill>
                    </w:rPr>
                    <w:t>池</w:t>
                  </w:r>
                </w:p>
              </w:tc>
              <w:tc>
                <w:tcPr>
                  <w:tcW w:w="522" w:type="pct"/>
                  <w:tcBorders>
                    <w:tl2br w:val="nil"/>
                    <w:tr2bl w:val="nil"/>
                  </w:tcBorders>
                  <w:noWrap w:val="0"/>
                  <w:vAlign w:val="center"/>
                </w:tcPr>
                <w:p w14:paraId="65390EA7">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喷淋式</w:t>
                  </w:r>
                </w:p>
              </w:tc>
              <w:tc>
                <w:tcPr>
                  <w:tcW w:w="379" w:type="pct"/>
                  <w:tcBorders>
                    <w:tl2br w:val="nil"/>
                    <w:tr2bl w:val="nil"/>
                  </w:tcBorders>
                  <w:noWrap w:val="0"/>
                  <w:vAlign w:val="center"/>
                </w:tcPr>
                <w:p w14:paraId="1C6EE410">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ign w:val="center"/>
                </w:tcPr>
                <w:p w14:paraId="20FFE281">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ign w:val="center"/>
                </w:tcPr>
                <w:p w14:paraId="64F012BA">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515" w:type="pct"/>
                  <w:tcBorders>
                    <w:tl2br w:val="nil"/>
                    <w:tr2bl w:val="nil"/>
                  </w:tcBorders>
                  <w:noWrap w:val="0"/>
                  <w:vAlign w:val="center"/>
                </w:tcPr>
                <w:p w14:paraId="7A81FA4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w:t>
                  </w:r>
                </w:p>
              </w:tc>
              <w:tc>
                <w:tcPr>
                  <w:tcW w:w="766" w:type="pct"/>
                  <w:tcBorders>
                    <w:tl2br w:val="nil"/>
                    <w:tr2bl w:val="nil"/>
                  </w:tcBorders>
                  <w:noWrap w:val="0"/>
                  <w:vAlign w:val="center"/>
                </w:tcPr>
                <w:p w14:paraId="13696EC0">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853" w:type="dxa"/>
                  <w:tcBorders>
                    <w:tl2br w:val="nil"/>
                    <w:tr2bl w:val="nil"/>
                  </w:tcBorders>
                  <w:noWrap w:val="0"/>
                  <w:vAlign w:val="center"/>
                </w:tcPr>
                <w:p w14:paraId="6F0370A0">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1次/月</w:t>
                  </w:r>
                </w:p>
              </w:tc>
              <w:tc>
                <w:tcPr>
                  <w:tcW w:w="782" w:type="pct"/>
                  <w:vMerge w:val="restart"/>
                  <w:tcBorders>
                    <w:tl2br w:val="nil"/>
                    <w:tr2bl w:val="nil"/>
                  </w:tcBorders>
                  <w:noWrap w:val="0"/>
                  <w:vAlign w:val="center"/>
                </w:tcPr>
                <w:p w14:paraId="382C6C07">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污水</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处理站</w:t>
                  </w:r>
                </w:p>
              </w:tc>
            </w:tr>
            <w:tr w14:paraId="74C75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2387D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预脱脂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池</w:t>
                  </w:r>
                </w:p>
              </w:tc>
              <w:tc>
                <w:tcPr>
                  <w:tcW w:w="522" w:type="pct"/>
                  <w:tcBorders>
                    <w:tl2br w:val="nil"/>
                    <w:tr2bl w:val="nil"/>
                  </w:tcBorders>
                  <w:noWrap w:val="0"/>
                  <w:vAlign w:val="center"/>
                </w:tcPr>
                <w:p w14:paraId="49C29888">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喷淋式</w:t>
                  </w:r>
                </w:p>
              </w:tc>
              <w:tc>
                <w:tcPr>
                  <w:tcW w:w="379" w:type="pct"/>
                  <w:tcBorders>
                    <w:tl2br w:val="nil"/>
                    <w:tr2bl w:val="nil"/>
                  </w:tcBorders>
                  <w:noWrap w:val="0"/>
                  <w:vAlign w:val="center"/>
                </w:tcPr>
                <w:p w14:paraId="7C365509">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7</w:t>
                  </w:r>
                </w:p>
              </w:tc>
              <w:tc>
                <w:tcPr>
                  <w:tcW w:w="379" w:type="pct"/>
                  <w:tcBorders>
                    <w:tl2br w:val="nil"/>
                    <w:tr2bl w:val="nil"/>
                  </w:tcBorders>
                  <w:noWrap/>
                  <w:vAlign w:val="center"/>
                </w:tcPr>
                <w:p w14:paraId="131A185C">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ign w:val="center"/>
                </w:tcPr>
                <w:p w14:paraId="7DFAA82C">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515" w:type="pct"/>
                  <w:tcBorders>
                    <w:tl2br w:val="nil"/>
                    <w:tr2bl w:val="nil"/>
                  </w:tcBorders>
                  <w:noWrap w:val="0"/>
                  <w:vAlign w:val="center"/>
                </w:tcPr>
                <w:p w14:paraId="7EA21FC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11.2</w:t>
                  </w:r>
                </w:p>
              </w:tc>
              <w:tc>
                <w:tcPr>
                  <w:tcW w:w="766" w:type="pct"/>
                  <w:tcBorders>
                    <w:tl2br w:val="nil"/>
                    <w:tr2bl w:val="nil"/>
                  </w:tcBorders>
                  <w:noWrap w:val="0"/>
                  <w:vAlign w:val="center"/>
                </w:tcPr>
                <w:p w14:paraId="3F8872C2">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除油</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剂</w:t>
                  </w:r>
                </w:p>
              </w:tc>
              <w:tc>
                <w:tcPr>
                  <w:tcW w:w="853" w:type="dxa"/>
                  <w:tcBorders>
                    <w:tl2br w:val="nil"/>
                    <w:tr2bl w:val="nil"/>
                  </w:tcBorders>
                  <w:noWrap w:val="0"/>
                  <w:vAlign w:val="center"/>
                </w:tcPr>
                <w:p w14:paraId="45BF6475">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1次/季</w:t>
                  </w:r>
                </w:p>
              </w:tc>
              <w:tc>
                <w:tcPr>
                  <w:tcW w:w="782" w:type="pct"/>
                  <w:vMerge w:val="continue"/>
                  <w:tcBorders>
                    <w:tl2br w:val="nil"/>
                    <w:tr2bl w:val="nil"/>
                  </w:tcBorders>
                  <w:noWrap w:val="0"/>
                  <w:vAlign w:val="center"/>
                </w:tcPr>
                <w:p w14:paraId="094CDD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p>
              </w:tc>
            </w:tr>
            <w:tr w14:paraId="4399D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705AF9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脱脂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池</w:t>
                  </w:r>
                </w:p>
              </w:tc>
              <w:tc>
                <w:tcPr>
                  <w:tcW w:w="522" w:type="pct"/>
                  <w:tcBorders>
                    <w:tl2br w:val="nil"/>
                    <w:tr2bl w:val="nil"/>
                  </w:tcBorders>
                  <w:noWrap w:val="0"/>
                  <w:vAlign w:val="center"/>
                </w:tcPr>
                <w:p w14:paraId="1D66969F">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喷淋式</w:t>
                  </w:r>
                </w:p>
              </w:tc>
              <w:tc>
                <w:tcPr>
                  <w:tcW w:w="379" w:type="pct"/>
                  <w:tcBorders>
                    <w:tl2br w:val="nil"/>
                    <w:tr2bl w:val="nil"/>
                  </w:tcBorders>
                  <w:noWrap w:val="0"/>
                  <w:vAlign w:val="center"/>
                </w:tcPr>
                <w:p w14:paraId="50412E3F">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7</w:t>
                  </w:r>
                </w:p>
              </w:tc>
              <w:tc>
                <w:tcPr>
                  <w:tcW w:w="379" w:type="pct"/>
                  <w:tcBorders>
                    <w:tl2br w:val="nil"/>
                    <w:tr2bl w:val="nil"/>
                  </w:tcBorders>
                  <w:noWrap/>
                  <w:vAlign w:val="center"/>
                </w:tcPr>
                <w:p w14:paraId="1FCB5337">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ign w:val="center"/>
                </w:tcPr>
                <w:p w14:paraId="1A3012CE">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515" w:type="pct"/>
                  <w:tcBorders>
                    <w:tl2br w:val="nil"/>
                    <w:tr2bl w:val="nil"/>
                  </w:tcBorders>
                  <w:noWrap w:val="0"/>
                  <w:vAlign w:val="center"/>
                </w:tcPr>
                <w:p w14:paraId="633289F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11.2</w:t>
                  </w:r>
                </w:p>
              </w:tc>
              <w:tc>
                <w:tcPr>
                  <w:tcW w:w="766" w:type="pct"/>
                  <w:tcBorders>
                    <w:tl2br w:val="nil"/>
                    <w:tr2bl w:val="nil"/>
                  </w:tcBorders>
                  <w:noWrap w:val="0"/>
                  <w:vAlign w:val="center"/>
                </w:tcPr>
                <w:p w14:paraId="061090BF">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除油</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剂</w:t>
                  </w:r>
                </w:p>
              </w:tc>
              <w:tc>
                <w:tcPr>
                  <w:tcW w:w="853" w:type="dxa"/>
                  <w:tcBorders>
                    <w:tl2br w:val="nil"/>
                    <w:tr2bl w:val="nil"/>
                  </w:tcBorders>
                  <w:noWrap w:val="0"/>
                  <w:vAlign w:val="center"/>
                </w:tcPr>
                <w:p w14:paraId="033360BC">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1次/季</w:t>
                  </w:r>
                </w:p>
              </w:tc>
              <w:tc>
                <w:tcPr>
                  <w:tcW w:w="782" w:type="pct"/>
                  <w:vMerge w:val="continue"/>
                  <w:tcBorders>
                    <w:tl2br w:val="nil"/>
                    <w:tr2bl w:val="nil"/>
                  </w:tcBorders>
                  <w:noWrap w:val="0"/>
                  <w:vAlign w:val="center"/>
                </w:tcPr>
                <w:p w14:paraId="2C7357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79F9D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30D018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522" w:type="pct"/>
                  <w:tcBorders>
                    <w:tl2br w:val="nil"/>
                    <w:tr2bl w:val="nil"/>
                  </w:tcBorders>
                  <w:noWrap w:val="0"/>
                  <w:vAlign w:val="center"/>
                </w:tcPr>
                <w:p w14:paraId="74FA1F0A">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喷淋式</w:t>
                  </w:r>
                </w:p>
              </w:tc>
              <w:tc>
                <w:tcPr>
                  <w:tcW w:w="379" w:type="pct"/>
                  <w:tcBorders>
                    <w:tl2br w:val="nil"/>
                    <w:tr2bl w:val="nil"/>
                  </w:tcBorders>
                  <w:noWrap w:val="0"/>
                  <w:vAlign w:val="center"/>
                </w:tcPr>
                <w:p w14:paraId="021D404B">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379" w:type="pct"/>
                  <w:tcBorders>
                    <w:tl2br w:val="nil"/>
                    <w:tr2bl w:val="nil"/>
                  </w:tcBorders>
                  <w:noWrap/>
                  <w:vAlign w:val="center"/>
                </w:tcPr>
                <w:p w14:paraId="3C9C90EE">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ign w:val="center"/>
                </w:tcPr>
                <w:p w14:paraId="1E525D25">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515" w:type="pct"/>
                  <w:tcBorders>
                    <w:tl2br w:val="nil"/>
                    <w:tr2bl w:val="nil"/>
                  </w:tcBorders>
                  <w:noWrap w:val="0"/>
                  <w:vAlign w:val="center"/>
                </w:tcPr>
                <w:p w14:paraId="482BC8B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766" w:type="pct"/>
                  <w:tcBorders>
                    <w:tl2br w:val="nil"/>
                    <w:tr2bl w:val="nil"/>
                  </w:tcBorders>
                  <w:noWrap w:val="0"/>
                  <w:vAlign w:val="center"/>
                </w:tcPr>
                <w:p w14:paraId="58EBE3CF">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853" w:type="dxa"/>
                  <w:tcBorders>
                    <w:tl2br w:val="nil"/>
                    <w:tr2bl w:val="nil"/>
                  </w:tcBorders>
                  <w:noWrap w:val="0"/>
                  <w:vAlign w:val="center"/>
                </w:tcPr>
                <w:p w14:paraId="4A6C928A">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1次/月</w:t>
                  </w:r>
                </w:p>
              </w:tc>
              <w:tc>
                <w:tcPr>
                  <w:tcW w:w="782" w:type="pct"/>
                  <w:vMerge w:val="continue"/>
                  <w:tcBorders>
                    <w:tl2br w:val="nil"/>
                    <w:tr2bl w:val="nil"/>
                  </w:tcBorders>
                  <w:noWrap w:val="0"/>
                  <w:vAlign w:val="center"/>
                </w:tcPr>
                <w:p w14:paraId="06135B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5C598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12BD13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522" w:type="pct"/>
                  <w:tcBorders>
                    <w:tl2br w:val="nil"/>
                    <w:tr2bl w:val="nil"/>
                  </w:tcBorders>
                  <w:noWrap w:val="0"/>
                  <w:vAlign w:val="center"/>
                </w:tcPr>
                <w:p w14:paraId="0CCC3F05">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喷淋式</w:t>
                  </w:r>
                </w:p>
              </w:tc>
              <w:tc>
                <w:tcPr>
                  <w:tcW w:w="379" w:type="pct"/>
                  <w:tcBorders>
                    <w:tl2br w:val="nil"/>
                    <w:tr2bl w:val="nil"/>
                  </w:tcBorders>
                  <w:noWrap w:val="0"/>
                  <w:vAlign w:val="center"/>
                </w:tcPr>
                <w:p w14:paraId="45B47DC8">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379" w:type="pct"/>
                  <w:tcBorders>
                    <w:tl2br w:val="nil"/>
                    <w:tr2bl w:val="nil"/>
                  </w:tcBorders>
                  <w:noWrap/>
                  <w:vAlign w:val="center"/>
                </w:tcPr>
                <w:p w14:paraId="0E49B074">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ign w:val="center"/>
                </w:tcPr>
                <w:p w14:paraId="643079BF">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515" w:type="pct"/>
                  <w:tcBorders>
                    <w:tl2br w:val="nil"/>
                    <w:tr2bl w:val="nil"/>
                  </w:tcBorders>
                  <w:noWrap w:val="0"/>
                  <w:vAlign w:val="center"/>
                </w:tcPr>
                <w:p w14:paraId="199F848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766" w:type="pct"/>
                  <w:tcBorders>
                    <w:tl2br w:val="nil"/>
                    <w:tr2bl w:val="nil"/>
                  </w:tcBorders>
                  <w:noWrap w:val="0"/>
                  <w:vAlign w:val="center"/>
                </w:tcPr>
                <w:p w14:paraId="3BCC490C">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853" w:type="dxa"/>
                  <w:tcBorders>
                    <w:tl2br w:val="nil"/>
                    <w:tr2bl w:val="nil"/>
                  </w:tcBorders>
                  <w:noWrap w:val="0"/>
                  <w:vAlign w:val="center"/>
                </w:tcPr>
                <w:p w14:paraId="0BCC2953">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1次/月</w:t>
                  </w:r>
                </w:p>
              </w:tc>
              <w:tc>
                <w:tcPr>
                  <w:tcW w:w="782" w:type="pct"/>
                  <w:vMerge w:val="continue"/>
                  <w:tcBorders>
                    <w:tl2br w:val="nil"/>
                    <w:tr2bl w:val="nil"/>
                  </w:tcBorders>
                  <w:noWrap w:val="0"/>
                  <w:vAlign w:val="center"/>
                </w:tcPr>
                <w:p w14:paraId="628D3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30B18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378B2F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清</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522" w:type="pct"/>
                  <w:tcBorders>
                    <w:tl2br w:val="nil"/>
                    <w:tr2bl w:val="nil"/>
                  </w:tcBorders>
                  <w:noWrap w:val="0"/>
                  <w:vAlign w:val="center"/>
                </w:tcPr>
                <w:p w14:paraId="2773DF6C">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喷淋式</w:t>
                  </w:r>
                </w:p>
              </w:tc>
              <w:tc>
                <w:tcPr>
                  <w:tcW w:w="379" w:type="pct"/>
                  <w:tcBorders>
                    <w:tl2br w:val="nil"/>
                    <w:tr2bl w:val="nil"/>
                  </w:tcBorders>
                  <w:noWrap w:val="0"/>
                  <w:vAlign w:val="center"/>
                </w:tcPr>
                <w:p w14:paraId="59F321C5">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w:t>
                  </w:r>
                </w:p>
              </w:tc>
              <w:tc>
                <w:tcPr>
                  <w:tcW w:w="379" w:type="pct"/>
                  <w:tcBorders>
                    <w:tl2br w:val="nil"/>
                    <w:tr2bl w:val="nil"/>
                  </w:tcBorders>
                  <w:noWrap/>
                  <w:vAlign w:val="center"/>
                </w:tcPr>
                <w:p w14:paraId="73424548">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ign w:val="center"/>
                </w:tcPr>
                <w:p w14:paraId="13AC7E11">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515" w:type="pct"/>
                  <w:tcBorders>
                    <w:tl2br w:val="nil"/>
                    <w:tr2bl w:val="nil"/>
                  </w:tcBorders>
                  <w:noWrap w:val="0"/>
                  <w:vAlign w:val="center"/>
                </w:tcPr>
                <w:p w14:paraId="63D7E95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1.6</w:t>
                  </w:r>
                </w:p>
              </w:tc>
              <w:tc>
                <w:tcPr>
                  <w:tcW w:w="766" w:type="pct"/>
                  <w:tcBorders>
                    <w:tl2br w:val="nil"/>
                    <w:tr2bl w:val="nil"/>
                  </w:tcBorders>
                  <w:noWrap w:val="0"/>
                  <w:vAlign w:val="center"/>
                </w:tcPr>
                <w:p w14:paraId="6F8C4904">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853" w:type="dxa"/>
                  <w:tcBorders>
                    <w:tl2br w:val="nil"/>
                    <w:tr2bl w:val="nil"/>
                  </w:tcBorders>
                  <w:noWrap w:val="0"/>
                  <w:vAlign w:val="center"/>
                </w:tcPr>
                <w:p w14:paraId="7B5E8BD6">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1次/月</w:t>
                  </w:r>
                </w:p>
              </w:tc>
              <w:tc>
                <w:tcPr>
                  <w:tcW w:w="782" w:type="pct"/>
                  <w:vMerge w:val="continue"/>
                  <w:tcBorders>
                    <w:tl2br w:val="nil"/>
                    <w:tr2bl w:val="nil"/>
                  </w:tcBorders>
                  <w:noWrap w:val="0"/>
                  <w:vAlign w:val="center"/>
                </w:tcPr>
                <w:p w14:paraId="30AEB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r>
            <w:tr w14:paraId="15600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26F9BC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无铬钝化池</w:t>
                  </w:r>
                </w:p>
              </w:tc>
              <w:tc>
                <w:tcPr>
                  <w:tcW w:w="522" w:type="pct"/>
                  <w:tcBorders>
                    <w:tl2br w:val="nil"/>
                    <w:tr2bl w:val="nil"/>
                  </w:tcBorders>
                  <w:noWrap w:val="0"/>
                  <w:vAlign w:val="center"/>
                </w:tcPr>
                <w:p w14:paraId="79DD11BC">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喷淋式</w:t>
                  </w:r>
                </w:p>
              </w:tc>
              <w:tc>
                <w:tcPr>
                  <w:tcW w:w="379" w:type="pct"/>
                  <w:tcBorders>
                    <w:tl2br w:val="nil"/>
                    <w:tr2bl w:val="nil"/>
                  </w:tcBorders>
                  <w:noWrap w:val="0"/>
                  <w:vAlign w:val="center"/>
                </w:tcPr>
                <w:p w14:paraId="516E4AD4">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w:t>
                  </w:r>
                </w:p>
              </w:tc>
              <w:tc>
                <w:tcPr>
                  <w:tcW w:w="379" w:type="pct"/>
                  <w:tcBorders>
                    <w:tl2br w:val="nil"/>
                    <w:tr2bl w:val="nil"/>
                  </w:tcBorders>
                  <w:noWrap/>
                  <w:vAlign w:val="center"/>
                </w:tcPr>
                <w:p w14:paraId="21EF25C3">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ign w:val="center"/>
                </w:tcPr>
                <w:p w14:paraId="3C1941C3">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515" w:type="pct"/>
                  <w:tcBorders>
                    <w:tl2br w:val="nil"/>
                    <w:tr2bl w:val="nil"/>
                  </w:tcBorders>
                  <w:noWrap w:val="0"/>
                  <w:vAlign w:val="center"/>
                </w:tcPr>
                <w:p w14:paraId="28ED22E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5.6</w:t>
                  </w:r>
                </w:p>
              </w:tc>
              <w:tc>
                <w:tcPr>
                  <w:tcW w:w="766" w:type="pct"/>
                  <w:tcBorders>
                    <w:tl2br w:val="nil"/>
                    <w:tr2bl w:val="nil"/>
                  </w:tcBorders>
                  <w:noWrap w:val="0"/>
                  <w:vAlign w:val="center"/>
                </w:tcPr>
                <w:p w14:paraId="72D02E20">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无铬钝化剂</w:t>
                  </w:r>
                </w:p>
              </w:tc>
              <w:tc>
                <w:tcPr>
                  <w:tcW w:w="853" w:type="dxa"/>
                  <w:tcBorders>
                    <w:tl2br w:val="nil"/>
                    <w:tr2bl w:val="nil"/>
                  </w:tcBorders>
                  <w:noWrap w:val="0"/>
                  <w:vAlign w:val="center"/>
                </w:tcPr>
                <w:p w14:paraId="38CCBE18">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1次/季</w:t>
                  </w:r>
                </w:p>
              </w:tc>
              <w:tc>
                <w:tcPr>
                  <w:tcW w:w="782" w:type="pct"/>
                  <w:tcBorders>
                    <w:tl2br w:val="nil"/>
                    <w:tr2bl w:val="nil"/>
                  </w:tcBorders>
                  <w:noWrap w:val="0"/>
                  <w:vAlign w:val="center"/>
                </w:tcPr>
                <w:p w14:paraId="5F7307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委外处置</w:t>
                  </w:r>
                </w:p>
              </w:tc>
            </w:tr>
            <w:tr w14:paraId="1E2EB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13D0C0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水洗池</w:t>
                  </w:r>
                </w:p>
              </w:tc>
              <w:tc>
                <w:tcPr>
                  <w:tcW w:w="522" w:type="pct"/>
                  <w:tcBorders>
                    <w:tl2br w:val="nil"/>
                    <w:tr2bl w:val="nil"/>
                  </w:tcBorders>
                  <w:noWrap w:val="0"/>
                  <w:vAlign w:val="center"/>
                </w:tcPr>
                <w:p w14:paraId="5484A354">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喷淋式</w:t>
                  </w:r>
                </w:p>
              </w:tc>
              <w:tc>
                <w:tcPr>
                  <w:tcW w:w="379" w:type="pct"/>
                  <w:tcBorders>
                    <w:tl2br w:val="nil"/>
                    <w:tr2bl w:val="nil"/>
                  </w:tcBorders>
                  <w:noWrap w:val="0"/>
                  <w:vAlign w:val="center"/>
                </w:tcPr>
                <w:p w14:paraId="5808587F">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0"/>
                  <w:vAlign w:val="center"/>
                </w:tcPr>
                <w:p w14:paraId="0BA3E1DA">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379" w:type="pct"/>
                  <w:tcBorders>
                    <w:tl2br w:val="nil"/>
                    <w:tr2bl w:val="nil"/>
                  </w:tcBorders>
                  <w:noWrap w:val="0"/>
                  <w:vAlign w:val="center"/>
                </w:tcPr>
                <w:p w14:paraId="339FF915">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515" w:type="pct"/>
                  <w:tcBorders>
                    <w:tl2br w:val="nil"/>
                    <w:tr2bl w:val="nil"/>
                  </w:tcBorders>
                  <w:noWrap w:val="0"/>
                  <w:vAlign w:val="center"/>
                </w:tcPr>
                <w:p w14:paraId="67FE1112">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w:t>
                  </w:r>
                </w:p>
              </w:tc>
              <w:tc>
                <w:tcPr>
                  <w:tcW w:w="766" w:type="pct"/>
                  <w:tcBorders>
                    <w:tl2br w:val="nil"/>
                    <w:tr2bl w:val="nil"/>
                  </w:tcBorders>
                  <w:noWrap w:val="0"/>
                  <w:vAlign w:val="center"/>
                </w:tcPr>
                <w:p w14:paraId="2F6CCE66">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853" w:type="dxa"/>
                  <w:tcBorders>
                    <w:tl2br w:val="nil"/>
                    <w:tr2bl w:val="nil"/>
                  </w:tcBorders>
                  <w:noWrap w:val="0"/>
                  <w:vAlign w:val="center"/>
                </w:tcPr>
                <w:p w14:paraId="7F381492">
                  <w:pPr>
                    <w:adjustRightInd w:val="0"/>
                    <w:snapToGrid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1次/月</w:t>
                  </w:r>
                </w:p>
              </w:tc>
              <w:tc>
                <w:tcPr>
                  <w:tcW w:w="782" w:type="pct"/>
                  <w:tcBorders>
                    <w:tl2br w:val="nil"/>
                    <w:tr2bl w:val="nil"/>
                  </w:tcBorders>
                  <w:noWrap w:val="0"/>
                  <w:vAlign w:val="center"/>
                </w:tcPr>
                <w:p w14:paraId="07B24E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污水</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处理站</w:t>
                  </w:r>
                </w:p>
              </w:tc>
            </w:tr>
          </w:tbl>
          <w:p w14:paraId="7B53AD97">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pPr>
          </w:p>
          <w:p w14:paraId="4A718520">
            <w:pPr>
              <w:pStyle w:val="105"/>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color w:val="000000" w:themeColor="text1"/>
                <w:highlight w:val="none"/>
                <w14:textFill>
                  <w14:solidFill>
                    <w14:schemeClr w14:val="tx1"/>
                  </w14:solidFill>
                </w14:textFill>
              </w:rPr>
              <w:t>（</w:t>
            </w:r>
            <w:r>
              <w:rPr>
                <w:rFonts w:hint="eastAsia" w:cs="Times New Roman"/>
                <w:b/>
                <w:color w:val="000000" w:themeColor="text1"/>
                <w:highlight w:val="none"/>
                <w:lang w:val="en-US" w:eastAsia="zh-CN"/>
                <w14:textFill>
                  <w14:solidFill>
                    <w14:schemeClr w14:val="tx1"/>
                  </w14:solidFill>
                </w14:textFill>
              </w:rPr>
              <w:t>4</w:t>
            </w:r>
            <w:r>
              <w:rPr>
                <w:rFonts w:hint="default" w:ascii="Times New Roman" w:hAnsi="Times New Roman" w:cs="Times New Roman"/>
                <w:b/>
                <w:color w:val="000000" w:themeColor="text1"/>
                <w:highlight w:val="none"/>
                <w14:textFill>
                  <w14:solidFill>
                    <w14:schemeClr w14:val="tx1"/>
                  </w14:solidFill>
                </w14:textFill>
              </w:rPr>
              <w:t>）烘干：</w:t>
            </w:r>
            <w:r>
              <w:rPr>
                <w:rFonts w:hint="default" w:ascii="Times New Roman" w:hAnsi="Times New Roman" w:cs="Times New Roman"/>
                <w:color w:val="000000" w:themeColor="text1"/>
                <w:highlight w:val="none"/>
                <w14:textFill>
                  <w14:solidFill>
                    <w14:schemeClr w14:val="tx1"/>
                  </w14:solidFill>
                </w14:textFill>
              </w:rPr>
              <w:t>成型铝板材经钝化处理后，内设</w:t>
            </w:r>
            <w:r>
              <w:rPr>
                <w:rFonts w:hint="eastAsia" w:cs="Times New Roman"/>
                <w:color w:val="000000" w:themeColor="text1"/>
                <w:highlight w:val="none"/>
                <w:lang w:val="en-US" w:eastAsia="zh-CN"/>
                <w14:textFill>
                  <w14:solidFill>
                    <w14:schemeClr w14:val="tx1"/>
                  </w14:solidFill>
                </w14:textFill>
              </w:rPr>
              <w:t>电</w:t>
            </w:r>
            <w:r>
              <w:rPr>
                <w:rFonts w:hint="default" w:ascii="Times New Roman" w:hAnsi="Times New Roman" w:cs="Times New Roman"/>
                <w:color w:val="000000" w:themeColor="text1"/>
                <w:highlight w:val="none"/>
                <w14:textFill>
                  <w14:solidFill>
                    <w14:schemeClr w14:val="tx1"/>
                  </w14:solidFill>
                </w14:textFill>
              </w:rPr>
              <w:t>热风循环式烤炉</w:t>
            </w:r>
            <w:r>
              <w:rPr>
                <w:rFonts w:hint="eastAsia" w:cs="Times New Roman"/>
                <w:color w:val="000000" w:themeColor="text1"/>
                <w:highlight w:val="none"/>
                <w:lang w:val="en-US" w:eastAsia="zh-CN"/>
                <w14:textFill>
                  <w14:solidFill>
                    <w14:schemeClr w14:val="tx1"/>
                  </w14:solidFill>
                </w14:textFill>
              </w:rPr>
              <w:t>进行烘烤</w:t>
            </w:r>
            <w:r>
              <w:rPr>
                <w:rFonts w:hint="default" w:ascii="Times New Roman" w:hAnsi="Times New Roman" w:cs="Times New Roman"/>
                <w:color w:val="000000" w:themeColor="text1"/>
                <w:highlight w:val="none"/>
                <w14:textFill>
                  <w14:solidFill>
                    <w14:schemeClr w14:val="tx1"/>
                  </w14:solidFill>
                </w14:textFill>
              </w:rPr>
              <w:t>，控制温度为100℃，时间为6min。</w:t>
            </w:r>
          </w:p>
          <w:p w14:paraId="31D2FEFB">
            <w:pPr>
              <w:pStyle w:val="173"/>
              <w:wordWrap w:val="0"/>
              <w:topLinePunct/>
              <w:adjustRightInd w:val="0"/>
              <w:spacing w:before="0" w:beforeAutospacing="0"/>
              <w:ind w:firstLine="482" w:firstLineChars="200"/>
              <w:rPr>
                <w:b w:val="0"/>
                <w:color w:val="000000" w:themeColor="text1"/>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w:t>
            </w:r>
            <w:r>
              <w:rPr>
                <w:rFonts w:hint="eastAsia" w:cs="Times New Roman"/>
                <w:b/>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bCs/>
                <w:color w:val="000000" w:themeColor="text1"/>
                <w:sz w:val="24"/>
                <w:szCs w:val="24"/>
                <w:highlight w:val="none"/>
                <w14:textFill>
                  <w14:solidFill>
                    <w14:schemeClr w14:val="tx1"/>
                  </w14:solidFill>
                </w14:textFill>
              </w:rPr>
              <w:t>）</w:t>
            </w:r>
            <w:r>
              <w:rPr>
                <w:b/>
                <w:bCs/>
                <w:color w:val="000000" w:themeColor="text1"/>
                <w:szCs w:val="24"/>
                <w:highlight w:val="none"/>
                <w14:textFill>
                  <w14:solidFill>
                    <w14:schemeClr w14:val="tx1"/>
                  </w14:solidFill>
                </w14:textFill>
              </w:rPr>
              <w:t>喷粉：</w:t>
            </w:r>
            <w:r>
              <w:rPr>
                <w:b w:val="0"/>
                <w:color w:val="000000" w:themeColor="text1"/>
                <w:szCs w:val="24"/>
                <w:highlight w:val="none"/>
                <w14:textFill>
                  <w14:solidFill>
                    <w14:schemeClr w14:val="tx1"/>
                  </w14:solidFill>
                </w14:textFill>
              </w:rPr>
              <w:t>本项目采用自动化的静电喷粉工艺，在喷枪与工件之间形成一个高压电晕放电电场，当粉末粒子由喷枪口喷出经过放电区时，便捕集了大量的电子，成为带负电的微粒，在静电吸引的作用下，被吸附到带正电荷的工件上去。当粉末附着到一定厚度时，则会发生“同性相斥”的作用，不能再吸附粉末，从而使各部分的粉层厚度均匀，然后经加温烘烤固化后粉层流平成为均匀的膜层。</w:t>
            </w:r>
          </w:p>
          <w:p w14:paraId="12DCD434">
            <w:pPr>
              <w:pStyle w:val="173"/>
              <w:wordWrap w:val="0"/>
              <w:topLinePunct/>
              <w:adjustRightInd w:val="0"/>
              <w:spacing w:before="0" w:beforeAutospacing="0"/>
              <w:ind w:firstLine="480" w:firstLineChars="200"/>
              <w:rPr>
                <w:b w:val="0"/>
                <w:color w:val="000000" w:themeColor="text1"/>
                <w:szCs w:val="24"/>
                <w:highlight w:val="none"/>
                <w14:textFill>
                  <w14:solidFill>
                    <w14:schemeClr w14:val="tx1"/>
                  </w14:solidFill>
                </w14:textFill>
              </w:rPr>
            </w:pPr>
            <w:r>
              <w:rPr>
                <w:b w:val="0"/>
                <w:color w:val="000000" w:themeColor="text1"/>
                <w:szCs w:val="24"/>
                <w:highlight w:val="none"/>
                <w14:textFill>
                  <w14:solidFill>
                    <w14:schemeClr w14:val="tx1"/>
                  </w14:solidFill>
                </w14:textFill>
              </w:rPr>
              <w:t>铝单板喷粉线设有</w:t>
            </w:r>
            <w:r>
              <w:rPr>
                <w:rFonts w:hint="eastAsia"/>
                <w:b w:val="0"/>
                <w:color w:val="000000" w:themeColor="text1"/>
                <w:szCs w:val="24"/>
                <w:highlight w:val="none"/>
                <w:lang w:val="en-US" w:eastAsia="zh-CN"/>
                <w14:textFill>
                  <w14:solidFill>
                    <w14:schemeClr w14:val="tx1"/>
                  </w14:solidFill>
                </w14:textFill>
              </w:rPr>
              <w:t>1</w:t>
            </w:r>
            <w:r>
              <w:rPr>
                <w:b w:val="0"/>
                <w:color w:val="000000" w:themeColor="text1"/>
                <w:szCs w:val="24"/>
                <w:highlight w:val="none"/>
                <w14:textFill>
                  <w14:solidFill>
                    <w14:schemeClr w14:val="tx1"/>
                  </w14:solidFill>
                </w14:textFill>
              </w:rPr>
              <w:t>套“密闭车间负压收集+大旋风+滤芯式二级回收系统”系统装置。未收集的粉尘于车间内无组织排放。此过程会产生喷粉粉尘。</w:t>
            </w:r>
          </w:p>
          <w:p w14:paraId="1F4BA75F">
            <w:pPr>
              <w:pStyle w:val="173"/>
              <w:wordWrap w:val="0"/>
              <w:topLinePunct/>
              <w:adjustRightInd w:val="0"/>
              <w:spacing w:before="0" w:beforeAutospacing="0"/>
              <w:ind w:firstLine="482" w:firstLineChars="200"/>
              <w:rPr>
                <w:rFonts w:hint="default" w:ascii="Times New Roman" w:hAnsi="Times New Roman" w:cs="Times New Roman"/>
                <w:b w:val="0"/>
                <w:color w:val="000000" w:themeColor="text1"/>
                <w:szCs w:val="24"/>
                <w:highlight w:val="none"/>
                <w14:textFill>
                  <w14:solidFill>
                    <w14:schemeClr w14:val="tx1"/>
                  </w14:solidFill>
                </w14:textFill>
              </w:rPr>
            </w:pPr>
            <w:r>
              <w:rPr>
                <w:rFonts w:hint="eastAsia"/>
                <w:color w:val="000000" w:themeColor="text1"/>
                <w:szCs w:val="24"/>
                <w:highlight w:val="none"/>
                <w:lang w:eastAsia="zh-CN"/>
                <w14:textFill>
                  <w14:solidFill>
                    <w14:schemeClr w14:val="tx1"/>
                  </w14:solidFill>
                </w14:textFill>
              </w:rPr>
              <w:t>（</w:t>
            </w:r>
            <w:r>
              <w:rPr>
                <w:rFonts w:hint="eastAsia"/>
                <w:color w:val="000000" w:themeColor="text1"/>
                <w:szCs w:val="24"/>
                <w:highlight w:val="none"/>
                <w:lang w:val="en-US" w:eastAsia="zh-CN"/>
                <w14:textFill>
                  <w14:solidFill>
                    <w14:schemeClr w14:val="tx1"/>
                  </w14:solidFill>
                </w14:textFill>
              </w:rPr>
              <w:t>6</w:t>
            </w:r>
            <w:r>
              <w:rPr>
                <w:rFonts w:hint="eastAsia"/>
                <w:color w:val="000000" w:themeColor="text1"/>
                <w:szCs w:val="24"/>
                <w:highlight w:val="none"/>
                <w:lang w:eastAsia="zh-CN"/>
                <w14:textFill>
                  <w14:solidFill>
                    <w14:schemeClr w14:val="tx1"/>
                  </w14:solidFill>
                </w14:textFill>
              </w:rPr>
              <w:t>）</w:t>
            </w:r>
            <w:r>
              <w:rPr>
                <w:color w:val="000000" w:themeColor="text1"/>
                <w:szCs w:val="24"/>
                <w:highlight w:val="none"/>
                <w14:textFill>
                  <w14:solidFill>
                    <w14:schemeClr w14:val="tx1"/>
                  </w14:solidFill>
                </w14:textFill>
              </w:rPr>
              <w:t>喷粉</w:t>
            </w:r>
            <w:r>
              <w:rPr>
                <w:b/>
                <w:bCs/>
                <w:color w:val="000000" w:themeColor="text1"/>
                <w:szCs w:val="24"/>
                <w:highlight w:val="none"/>
                <w14:textFill>
                  <w14:solidFill>
                    <w14:schemeClr w14:val="tx1"/>
                  </w14:solidFill>
                </w14:textFill>
              </w:rPr>
              <w:t>固化</w:t>
            </w:r>
            <w:r>
              <w:rPr>
                <w:b w:val="0"/>
                <w:color w:val="000000" w:themeColor="text1"/>
                <w:szCs w:val="24"/>
                <w:highlight w:val="none"/>
                <w14:textFill>
                  <w14:solidFill>
                    <w14:schemeClr w14:val="tx1"/>
                  </w14:solidFill>
                </w14:textFill>
              </w:rPr>
              <w:t>：工件经喷粉后需要加热使粉末涂料固化。工件送入固化线内加热。固化时间一般为</w:t>
            </w:r>
            <w:r>
              <w:rPr>
                <w:rFonts w:hint="eastAsia"/>
                <w:b w:val="0"/>
                <w:color w:val="000000" w:themeColor="text1"/>
                <w:szCs w:val="24"/>
                <w:highlight w:val="none"/>
                <w:lang w:val="en-US" w:eastAsia="zh-CN"/>
                <w14:textFill>
                  <w14:solidFill>
                    <w14:schemeClr w14:val="tx1"/>
                  </w14:solidFill>
                </w14:textFill>
              </w:rPr>
              <w:t>6-12</w:t>
            </w:r>
            <w:r>
              <w:rPr>
                <w:b w:val="0"/>
                <w:color w:val="000000" w:themeColor="text1"/>
                <w:szCs w:val="24"/>
                <w:highlight w:val="none"/>
                <w14:textFill>
                  <w14:solidFill>
                    <w14:schemeClr w14:val="tx1"/>
                  </w14:solidFill>
                </w14:textFill>
              </w:rPr>
              <w:t>min，温度一般为160℃~200℃。热量由天然气燃烧产生，通过</w:t>
            </w:r>
            <w:r>
              <w:rPr>
                <w:rFonts w:hint="default" w:ascii="Times New Roman" w:hAnsi="Times New Roman" w:cs="Times New Roman"/>
                <w:b w:val="0"/>
                <w:color w:val="000000" w:themeColor="text1"/>
                <w:szCs w:val="24"/>
                <w:highlight w:val="none"/>
                <w14:textFill>
                  <w14:solidFill>
                    <w14:schemeClr w14:val="tx1"/>
                  </w14:solidFill>
                </w14:textFill>
              </w:rPr>
              <w:t>热气直接接触工件进行加热固化。粉末涂料固化过程会产生天然气燃烧废气、固化有机废气及臭气浓度。</w:t>
            </w:r>
          </w:p>
          <w:p w14:paraId="29CF3B8F">
            <w:pPr>
              <w:pStyle w:val="173"/>
              <w:wordWrap w:val="0"/>
              <w:topLinePunct/>
              <w:adjustRightInd w:val="0"/>
              <w:spacing w:before="0" w:beforeAutospacing="0"/>
              <w:ind w:firstLine="482" w:firstLineChars="200"/>
              <w:rPr>
                <w:rFonts w:hint="default" w:ascii="Times New Roman" w:hAnsi="Times New Roman" w:cs="Times New Roman"/>
                <w:b w:val="0"/>
                <w:color w:val="000000" w:themeColor="text1"/>
                <w:szCs w:val="24"/>
                <w:highlight w:val="none"/>
                <w14:textFill>
                  <w14:solidFill>
                    <w14:schemeClr w14:val="tx1"/>
                  </w14:solidFill>
                </w14:textFill>
              </w:rPr>
            </w:pPr>
            <w:r>
              <w:rPr>
                <w:rFonts w:hint="default" w:ascii="Times New Roman" w:hAnsi="Times New Roman" w:cs="Times New Roman"/>
                <w:color w:val="000000" w:themeColor="text1"/>
                <w:szCs w:val="24"/>
                <w:highlight w:val="none"/>
                <w:lang w:eastAsia="zh-CN"/>
                <w14:textFill>
                  <w14:solidFill>
                    <w14:schemeClr w14:val="tx1"/>
                  </w14:solidFill>
                </w14:textFill>
              </w:rPr>
              <w:t>（</w:t>
            </w:r>
            <w:r>
              <w:rPr>
                <w:rFonts w:hint="eastAsia" w:cs="Times New Roman"/>
                <w:color w:val="000000" w:themeColor="text1"/>
                <w:szCs w:val="24"/>
                <w:highlight w:val="none"/>
                <w:lang w:val="en-US" w:eastAsia="zh-CN"/>
                <w14:textFill>
                  <w14:solidFill>
                    <w14:schemeClr w14:val="tx1"/>
                  </w14:solidFill>
                </w14:textFill>
              </w:rPr>
              <w:t>7</w:t>
            </w:r>
            <w:r>
              <w:rPr>
                <w:rFonts w:hint="default" w:ascii="Times New Roman" w:hAnsi="Times New Roman" w:cs="Times New Roman"/>
                <w:color w:val="000000" w:themeColor="text1"/>
                <w:szCs w:val="24"/>
                <w:highlight w:val="none"/>
                <w:lang w:eastAsia="zh-CN"/>
                <w14:textFill>
                  <w14:solidFill>
                    <w14:schemeClr w14:val="tx1"/>
                  </w14:solidFill>
                </w14:textFill>
              </w:rPr>
              <w:t>）</w:t>
            </w:r>
            <w:r>
              <w:rPr>
                <w:rFonts w:hint="default" w:ascii="Times New Roman" w:hAnsi="Times New Roman" w:cs="Times New Roman"/>
                <w:b/>
                <w:bCs/>
                <w:color w:val="000000" w:themeColor="text1"/>
                <w:szCs w:val="24"/>
                <w:highlight w:val="none"/>
                <w14:textFill>
                  <w14:solidFill>
                    <w14:schemeClr w14:val="tx1"/>
                  </w14:solidFill>
                </w14:textFill>
              </w:rPr>
              <w:t>调漆</w:t>
            </w:r>
            <w:r>
              <w:rPr>
                <w:rFonts w:hint="default" w:ascii="Times New Roman" w:hAnsi="Times New Roman" w:cs="Times New Roman"/>
                <w:b w:val="0"/>
                <w:color w:val="000000" w:themeColor="text1"/>
                <w:szCs w:val="24"/>
                <w:highlight w:val="none"/>
                <w14:textFill>
                  <w14:solidFill>
                    <w14:schemeClr w14:val="tx1"/>
                  </w14:solidFill>
                </w14:textFill>
              </w:rPr>
              <w:t>：喷漆前根据产品要求进行调漆，本项目调漆在调漆房内完成。</w:t>
            </w:r>
          </w:p>
          <w:p w14:paraId="1DE4FF4D">
            <w:pPr>
              <w:pStyle w:val="173"/>
              <w:wordWrap w:val="0"/>
              <w:topLinePunct/>
              <w:adjustRightInd w:val="0"/>
              <w:spacing w:before="0" w:beforeAutospacing="0"/>
              <w:ind w:firstLine="482" w:firstLineChars="200"/>
              <w:rPr>
                <w:rFonts w:hint="default" w:eastAsia="宋体"/>
                <w:b w:val="0"/>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szCs w:val="24"/>
                <w:highlight w:val="none"/>
                <w:lang w:eastAsia="zh-CN"/>
                <w14:textFill>
                  <w14:solidFill>
                    <w14:schemeClr w14:val="tx1"/>
                  </w14:solidFill>
                </w14:textFill>
              </w:rPr>
              <w:t>（</w:t>
            </w:r>
            <w:r>
              <w:rPr>
                <w:rFonts w:hint="eastAsia" w:cs="Times New Roman"/>
                <w:color w:val="000000" w:themeColor="text1"/>
                <w:szCs w:val="24"/>
                <w:highlight w:val="none"/>
                <w:lang w:val="en-US" w:eastAsia="zh-CN"/>
                <w14:textFill>
                  <w14:solidFill>
                    <w14:schemeClr w14:val="tx1"/>
                  </w14:solidFill>
                </w14:textFill>
              </w:rPr>
              <w:t>8</w:t>
            </w:r>
            <w:r>
              <w:rPr>
                <w:rFonts w:hint="default" w:ascii="Times New Roman" w:hAnsi="Times New Roman" w:cs="Times New Roman"/>
                <w:b/>
                <w:bCs w:val="0"/>
                <w:color w:val="000000" w:themeColor="text1"/>
                <w:szCs w:val="24"/>
                <w:highlight w:val="none"/>
                <w:lang w:eastAsia="zh-CN"/>
                <w14:textFill>
                  <w14:solidFill>
                    <w14:schemeClr w14:val="tx1"/>
                  </w14:solidFill>
                </w14:textFill>
              </w:rPr>
              <w:t>）</w:t>
            </w:r>
            <w:r>
              <w:rPr>
                <w:rFonts w:hint="default" w:ascii="Times New Roman" w:hAnsi="Times New Roman" w:cs="Times New Roman"/>
                <w:b/>
                <w:bCs w:val="0"/>
                <w:color w:val="000000" w:themeColor="text1"/>
                <w:szCs w:val="24"/>
                <w:highlight w:val="none"/>
                <w14:textFill>
                  <w14:solidFill>
                    <w14:schemeClr w14:val="tx1"/>
                  </w14:solidFill>
                </w14:textFill>
              </w:rPr>
              <w:t>喷</w:t>
            </w:r>
            <w:r>
              <w:rPr>
                <w:b/>
                <w:bCs w:val="0"/>
                <w:color w:val="000000" w:themeColor="text1"/>
                <w:szCs w:val="24"/>
                <w:highlight w:val="none"/>
                <w14:textFill>
                  <w14:solidFill>
                    <w14:schemeClr w14:val="tx1"/>
                  </w14:solidFill>
                </w14:textFill>
              </w:rPr>
              <w:t>漆：</w:t>
            </w:r>
            <w:r>
              <w:rPr>
                <w:b w:val="0"/>
                <w:color w:val="000000" w:themeColor="text1"/>
                <w:szCs w:val="24"/>
                <w:highlight w:val="none"/>
                <w14:textFill>
                  <w14:solidFill>
                    <w14:schemeClr w14:val="tx1"/>
                  </w14:solidFill>
                </w14:textFill>
              </w:rPr>
              <w:t>底漆的作用在于提高涂层抗渗透能力，增强对底材的保护，稳定金属表层，加强面漆与金属表面附着力；面漆涂层在底漆涂层之上，其主要作用是提高装饰性，也有一定的防腐性和耐磨性；</w:t>
            </w:r>
            <w:r>
              <w:rPr>
                <w:rFonts w:hint="eastAsia"/>
                <w:b w:val="0"/>
                <w:color w:val="000000" w:themeColor="text1"/>
                <w:szCs w:val="24"/>
                <w:highlight w:val="none"/>
                <w:lang w:val="en-US" w:eastAsia="zh-CN"/>
                <w14:textFill>
                  <w14:solidFill>
                    <w14:schemeClr w14:val="tx1"/>
                  </w14:solidFill>
                </w14:textFill>
              </w:rPr>
              <w:t>清</w:t>
            </w:r>
            <w:r>
              <w:rPr>
                <w:b w:val="0"/>
                <w:color w:val="000000" w:themeColor="text1"/>
                <w:szCs w:val="24"/>
                <w:highlight w:val="none"/>
                <w14:textFill>
                  <w14:solidFill>
                    <w14:schemeClr w14:val="tx1"/>
                  </w14:solidFill>
                </w14:textFill>
              </w:rPr>
              <w:t>漆涂层在面漆涂层之上，为增强涂层的光泽、丰满度。工件通过流水线进入全线密闭的喷漆生产线内，工件进入喷漆室进行手工+自动化喷漆，工件每进行一次喷漆后进行一次流平，工件经流平表面形成一个平整、光滑、均匀的涂膜。</w:t>
            </w:r>
            <w:r>
              <w:rPr>
                <w:rFonts w:hint="eastAsia"/>
                <w:b w:val="0"/>
                <w:color w:val="000000" w:themeColor="text1"/>
                <w:szCs w:val="24"/>
                <w:highlight w:val="none"/>
                <w:lang w:val="en-US" w:eastAsia="zh-CN"/>
                <w14:textFill>
                  <w14:solidFill>
                    <w14:schemeClr w14:val="tx1"/>
                  </w14:solidFill>
                </w14:textFill>
              </w:rPr>
              <w:t>精涂机为空气喷涂式，对漆层进一步喷涂均匀。</w:t>
            </w:r>
          </w:p>
          <w:p w14:paraId="7179A27B">
            <w:pPr>
              <w:pStyle w:val="173"/>
              <w:wordWrap w:val="0"/>
              <w:topLinePunct/>
              <w:adjustRightInd w:val="0"/>
              <w:spacing w:before="0" w:beforeAutospacing="0"/>
              <w:ind w:firstLine="482" w:firstLineChars="200"/>
              <w:rPr>
                <w:b w:val="0"/>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lang w:eastAsia="zh-CN"/>
                <w14:textFill>
                  <w14:solidFill>
                    <w14:schemeClr w14:val="tx1"/>
                  </w14:solidFill>
                </w14:textFill>
              </w:rPr>
              <w:t>（</w:t>
            </w:r>
            <w:r>
              <w:rPr>
                <w:rFonts w:hint="eastAsia" w:ascii="宋体" w:hAnsi="宋体" w:cs="宋体"/>
                <w:color w:val="000000" w:themeColor="text1"/>
                <w:szCs w:val="24"/>
                <w:highlight w:val="none"/>
                <w:lang w:val="en-US" w:eastAsia="zh-CN"/>
                <w14:textFill>
                  <w14:solidFill>
                    <w14:schemeClr w14:val="tx1"/>
                  </w14:solidFill>
                </w14:textFill>
              </w:rPr>
              <w:t>9</w:t>
            </w:r>
            <w:r>
              <w:rPr>
                <w:rFonts w:hint="eastAsia" w:ascii="宋体" w:hAnsi="宋体" w:cs="宋体"/>
                <w:color w:val="000000" w:themeColor="text1"/>
                <w:szCs w:val="24"/>
                <w:highlight w:val="none"/>
                <w:lang w:eastAsia="zh-CN"/>
                <w14:textFill>
                  <w14:solidFill>
                    <w14:schemeClr w14:val="tx1"/>
                  </w14:solidFill>
                </w14:textFill>
              </w:rPr>
              <w:t>）</w:t>
            </w:r>
            <w:r>
              <w:rPr>
                <w:color w:val="000000" w:themeColor="text1"/>
                <w:szCs w:val="24"/>
                <w:highlight w:val="none"/>
                <w14:textFill>
                  <w14:solidFill>
                    <w14:schemeClr w14:val="tx1"/>
                  </w14:solidFill>
                </w14:textFill>
              </w:rPr>
              <w:t>喷漆</w:t>
            </w:r>
            <w:r>
              <w:rPr>
                <w:b/>
                <w:bCs/>
                <w:color w:val="000000" w:themeColor="text1"/>
                <w:szCs w:val="24"/>
                <w:highlight w:val="none"/>
                <w14:textFill>
                  <w14:solidFill>
                    <w14:schemeClr w14:val="tx1"/>
                  </w14:solidFill>
                </w14:textFill>
              </w:rPr>
              <w:t>固化</w:t>
            </w:r>
            <w:r>
              <w:rPr>
                <w:b w:val="0"/>
                <w:color w:val="000000" w:themeColor="text1"/>
                <w:szCs w:val="24"/>
                <w:highlight w:val="none"/>
                <w14:textFill>
                  <w14:solidFill>
                    <w14:schemeClr w14:val="tx1"/>
                  </w14:solidFill>
                </w14:textFill>
              </w:rPr>
              <w:t>：喷漆后的工件需进行加热固化，通过流水线送入高温固化通道，使之流平、固化，从而得到预期的工件表面效果，喷油性漆的工件固化温度170℃、固化时间约</w:t>
            </w:r>
            <w:r>
              <w:rPr>
                <w:rFonts w:hint="eastAsia"/>
                <w:b w:val="0"/>
                <w:color w:val="000000" w:themeColor="text1"/>
                <w:szCs w:val="24"/>
                <w:highlight w:val="none"/>
                <w:lang w:val="en-US" w:eastAsia="zh-CN"/>
                <w14:textFill>
                  <w14:solidFill>
                    <w14:schemeClr w14:val="tx1"/>
                  </w14:solidFill>
                </w14:textFill>
              </w:rPr>
              <w:t>6-12</w:t>
            </w:r>
            <w:r>
              <w:rPr>
                <w:b w:val="0"/>
                <w:color w:val="000000" w:themeColor="text1"/>
                <w:szCs w:val="24"/>
                <w:highlight w:val="none"/>
                <w14:textFill>
                  <w14:solidFill>
                    <w14:schemeClr w14:val="tx1"/>
                  </w14:solidFill>
                </w14:textFill>
              </w:rPr>
              <w:t>min</w:t>
            </w:r>
            <w:r>
              <w:rPr>
                <w:color w:val="000000" w:themeColor="text1"/>
                <w:highlight w:val="none"/>
                <w14:textFill>
                  <w14:solidFill>
                    <w14:schemeClr w14:val="tx1"/>
                  </w14:solidFill>
                </w14:textFill>
              </w:rPr>
              <w:t>。</w:t>
            </w:r>
          </w:p>
          <w:p w14:paraId="0BA063BB">
            <w:pPr>
              <w:pStyle w:val="173"/>
              <w:wordWrap w:val="0"/>
              <w:topLinePunct/>
              <w:adjustRightInd w:val="0"/>
              <w:spacing w:before="0" w:beforeAutospacing="0"/>
              <w:ind w:firstLine="480" w:firstLineChars="200"/>
              <w:rPr>
                <w:b w:val="0"/>
                <w:color w:val="000000" w:themeColor="text1"/>
                <w:szCs w:val="24"/>
                <w:highlight w:val="none"/>
                <w14:textFill>
                  <w14:solidFill>
                    <w14:schemeClr w14:val="tx1"/>
                  </w14:solidFill>
                </w14:textFill>
              </w:rPr>
            </w:pPr>
            <w:r>
              <w:rPr>
                <w:b w:val="0"/>
                <w:color w:val="000000" w:themeColor="text1"/>
                <w:szCs w:val="24"/>
                <w:highlight w:val="none"/>
                <w14:textFill>
                  <w14:solidFill>
                    <w14:schemeClr w14:val="tx1"/>
                  </w14:solidFill>
                </w14:textFill>
              </w:rPr>
              <w:t>调漆、喷漆、流平、烘干固化过程中产生有机废气（VOCs、</w:t>
            </w:r>
            <w:r>
              <w:rPr>
                <w:rFonts w:hint="eastAsia"/>
                <w:b w:val="0"/>
                <w:color w:val="000000" w:themeColor="text1"/>
                <w:szCs w:val="24"/>
                <w:highlight w:val="none"/>
                <w:lang w:val="en-US" w:eastAsia="zh-CN"/>
                <w14:textFill>
                  <w14:solidFill>
                    <w14:schemeClr w14:val="tx1"/>
                  </w14:solidFill>
                </w14:textFill>
              </w:rPr>
              <w:t>苯系物</w:t>
            </w:r>
            <w:r>
              <w:rPr>
                <w:b w:val="0"/>
                <w:color w:val="000000" w:themeColor="text1"/>
                <w:szCs w:val="24"/>
                <w:highlight w:val="none"/>
                <w14:textFill>
                  <w14:solidFill>
                    <w14:schemeClr w14:val="tx1"/>
                  </w14:solidFill>
                </w14:textFill>
              </w:rPr>
              <w:t>）、臭气浓度、漆雾、</w:t>
            </w:r>
            <w:r>
              <w:rPr>
                <w:rFonts w:hint="eastAsia"/>
                <w:b w:val="0"/>
                <w:color w:val="000000" w:themeColor="text1"/>
                <w:szCs w:val="24"/>
                <w:highlight w:val="none"/>
                <w:lang w:val="en-US" w:eastAsia="zh-CN"/>
                <w14:textFill>
                  <w14:solidFill>
                    <w14:schemeClr w14:val="tx1"/>
                  </w14:solidFill>
                </w14:textFill>
              </w:rPr>
              <w:t>喷淋废液及沉渣</w:t>
            </w:r>
            <w:r>
              <w:rPr>
                <w:b w:val="0"/>
                <w:color w:val="000000" w:themeColor="text1"/>
                <w:szCs w:val="24"/>
                <w:highlight w:val="none"/>
                <w14:textFill>
                  <w14:solidFill>
                    <w14:schemeClr w14:val="tx1"/>
                  </w14:solidFill>
                </w14:textFill>
              </w:rPr>
              <w:t>、天然气燃烧废气、废原料桶及设备生产噪声。</w:t>
            </w:r>
          </w:p>
          <w:p w14:paraId="22FBAC6F">
            <w:pPr>
              <w:pStyle w:val="173"/>
              <w:wordWrap w:val="0"/>
              <w:topLinePunct/>
              <w:adjustRightInd w:val="0"/>
              <w:spacing w:before="0" w:beforeAutospacing="0"/>
              <w:ind w:firstLine="480" w:firstLineChars="200"/>
              <w:rPr>
                <w:b w:val="0"/>
                <w:color w:val="000000" w:themeColor="text1"/>
                <w:szCs w:val="24"/>
                <w:highlight w:val="none"/>
                <w14:textFill>
                  <w14:solidFill>
                    <w14:schemeClr w14:val="tx1"/>
                  </w14:solidFill>
                </w14:textFill>
              </w:rPr>
            </w:pPr>
            <w:r>
              <w:rPr>
                <w:b w:val="0"/>
                <w:color w:val="000000" w:themeColor="text1"/>
                <w:szCs w:val="24"/>
                <w:highlight w:val="none"/>
                <w14:textFill>
                  <w14:solidFill>
                    <w14:schemeClr w14:val="tx1"/>
                  </w14:solidFill>
                </w14:textFill>
              </w:rPr>
              <w:t>此外，本项目使用</w:t>
            </w:r>
            <w:r>
              <w:rPr>
                <w:rFonts w:hint="eastAsia"/>
                <w:b w:val="0"/>
                <w:color w:val="000000" w:themeColor="text1"/>
                <w:szCs w:val="24"/>
                <w:highlight w:val="none"/>
                <w:lang w:val="en-US" w:eastAsia="zh-CN"/>
                <w14:textFill>
                  <w14:solidFill>
                    <w14:schemeClr w14:val="tx1"/>
                  </w14:solidFill>
                </w14:textFill>
              </w:rPr>
              <w:t>清洗</w:t>
            </w:r>
            <w:r>
              <w:rPr>
                <w:b w:val="0"/>
                <w:color w:val="000000" w:themeColor="text1"/>
                <w:szCs w:val="24"/>
                <w:highlight w:val="none"/>
                <w14:textFill>
                  <w14:solidFill>
                    <w14:schemeClr w14:val="tx1"/>
                  </w14:solidFill>
                </w14:textFill>
              </w:rPr>
              <w:t>剂定期对喷漆枪头进行清洗，此过程会产生喷枪清洗废液，作为危险废物进行暂存、转运处理。</w:t>
            </w:r>
          </w:p>
          <w:p w14:paraId="60CBF078">
            <w:pPr>
              <w:pStyle w:val="173"/>
              <w:wordWrap w:val="0"/>
              <w:topLinePunct/>
              <w:adjustRightInd w:val="0"/>
              <w:spacing w:before="0" w:beforeAutospacing="0"/>
              <w:ind w:firstLine="482" w:firstLineChars="200"/>
              <w:rPr>
                <w:b w:val="0"/>
                <w:color w:val="000000" w:themeColor="text1"/>
                <w:szCs w:val="24"/>
                <w:highlight w:val="none"/>
                <w14:textFill>
                  <w14:solidFill>
                    <w14:schemeClr w14:val="tx1"/>
                  </w14:solidFill>
                </w14:textFill>
              </w:rPr>
            </w:pPr>
            <w:r>
              <w:rPr>
                <w:rFonts w:hint="eastAsia" w:ascii="宋体" w:hAnsi="宋体" w:cs="宋体"/>
                <w:b/>
                <w:bCs/>
                <w:color w:val="000000" w:themeColor="text1"/>
                <w:szCs w:val="24"/>
                <w:highlight w:val="none"/>
                <w:lang w:eastAsia="zh-CN"/>
                <w14:textFill>
                  <w14:solidFill>
                    <w14:schemeClr w14:val="tx1"/>
                  </w14:solidFill>
                </w14:textFill>
              </w:rPr>
              <w:t>（</w:t>
            </w:r>
            <w:r>
              <w:rPr>
                <w:rFonts w:hint="eastAsia" w:ascii="宋体" w:hAnsi="宋体" w:cs="宋体"/>
                <w:b/>
                <w:bCs/>
                <w:color w:val="000000" w:themeColor="text1"/>
                <w:szCs w:val="24"/>
                <w:highlight w:val="none"/>
                <w:lang w:val="en-US" w:eastAsia="zh-CN"/>
                <w14:textFill>
                  <w14:solidFill>
                    <w14:schemeClr w14:val="tx1"/>
                  </w14:solidFill>
                </w14:textFill>
              </w:rPr>
              <w:t>10</w:t>
            </w:r>
            <w:r>
              <w:rPr>
                <w:rFonts w:hint="eastAsia" w:ascii="宋体" w:hAnsi="宋体" w:cs="宋体"/>
                <w:b/>
                <w:bCs/>
                <w:color w:val="000000" w:themeColor="text1"/>
                <w:szCs w:val="24"/>
                <w:highlight w:val="none"/>
                <w:lang w:eastAsia="zh-CN"/>
                <w14:textFill>
                  <w14:solidFill>
                    <w14:schemeClr w14:val="tx1"/>
                  </w14:solidFill>
                </w14:textFill>
              </w:rPr>
              <w:t>）</w:t>
            </w:r>
            <w:r>
              <w:rPr>
                <w:b/>
                <w:bCs/>
                <w:color w:val="000000" w:themeColor="text1"/>
                <w:szCs w:val="24"/>
                <w:highlight w:val="none"/>
                <w14:textFill>
                  <w14:solidFill>
                    <w14:schemeClr w14:val="tx1"/>
                  </w14:solidFill>
                </w14:textFill>
              </w:rPr>
              <w:t>检验</w:t>
            </w:r>
            <w:r>
              <w:rPr>
                <w:rFonts w:hint="eastAsia"/>
                <w:b/>
                <w:bCs/>
                <w:color w:val="000000" w:themeColor="text1"/>
                <w:szCs w:val="24"/>
                <w:highlight w:val="none"/>
                <w:lang w:val="en-US" w:eastAsia="zh-CN"/>
                <w14:textFill>
                  <w14:solidFill>
                    <w14:schemeClr w14:val="tx1"/>
                  </w14:solidFill>
                </w14:textFill>
              </w:rPr>
              <w:t>入库</w:t>
            </w:r>
            <w:r>
              <w:rPr>
                <w:b/>
                <w:bCs/>
                <w:color w:val="000000" w:themeColor="text1"/>
                <w:szCs w:val="24"/>
                <w:highlight w:val="none"/>
                <w14:textFill>
                  <w14:solidFill>
                    <w14:schemeClr w14:val="tx1"/>
                  </w14:solidFill>
                </w14:textFill>
              </w:rPr>
              <w:t>：</w:t>
            </w:r>
            <w:r>
              <w:rPr>
                <w:b w:val="0"/>
                <w:color w:val="000000" w:themeColor="text1"/>
                <w:szCs w:val="24"/>
                <w:highlight w:val="none"/>
                <w14:textFill>
                  <w14:solidFill>
                    <w14:schemeClr w14:val="tx1"/>
                  </w14:solidFill>
                </w14:textFill>
              </w:rPr>
              <w:t>对</w:t>
            </w:r>
            <w:r>
              <w:rPr>
                <w:rFonts w:hint="eastAsia"/>
                <w:b w:val="0"/>
                <w:color w:val="000000" w:themeColor="text1"/>
                <w:szCs w:val="24"/>
                <w:highlight w:val="none"/>
                <w:lang w:val="en-US" w:eastAsia="zh-CN"/>
                <w14:textFill>
                  <w14:solidFill>
                    <w14:schemeClr w14:val="tx1"/>
                  </w14:solidFill>
                </w14:textFill>
              </w:rPr>
              <w:t>产品</w:t>
            </w:r>
            <w:r>
              <w:rPr>
                <w:b w:val="0"/>
                <w:color w:val="000000" w:themeColor="text1"/>
                <w:szCs w:val="24"/>
                <w:highlight w:val="none"/>
                <w14:textFill>
                  <w14:solidFill>
                    <w14:schemeClr w14:val="tx1"/>
                  </w14:solidFill>
                </w14:textFill>
              </w:rPr>
              <w:t>的性能进行质检。需对照图纸测量产品尺寸是否达标，且用冲击仪检测产品抗冲击力是否达标。合格品包装成品入库暂存，对不合格的产品作残次品交物资部门回收处置。</w:t>
            </w:r>
          </w:p>
          <w:p w14:paraId="73ACF81B">
            <w:pPr>
              <w:spacing w:line="360" w:lineRule="auto"/>
              <w:ind w:firstLine="482" w:firstLineChars="200"/>
              <w:jc w:val="left"/>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b/>
                <w:bCs/>
                <w:color w:val="000000" w:themeColor="text1"/>
                <w:kern w:val="0"/>
                <w:sz w:val="24"/>
                <w14:textFill>
                  <w14:solidFill>
                    <w14:schemeClr w14:val="tx1"/>
                  </w14:solidFill>
                </w14:textFill>
              </w:rPr>
              <w:t>2、本项目生产过程中的主要产污环节如下：</w:t>
            </w:r>
          </w:p>
          <w:p w14:paraId="3A53C02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项目主要产污节点一览表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379"/>
              <w:gridCol w:w="2907"/>
              <w:gridCol w:w="2523"/>
            </w:tblGrid>
            <w:tr w14:paraId="0B04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noWrap w:val="0"/>
                  <w:vAlign w:val="center"/>
                </w:tcPr>
                <w:p w14:paraId="5968926E">
                  <w:pPr>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类型</w:t>
                  </w:r>
                </w:p>
              </w:tc>
              <w:tc>
                <w:tcPr>
                  <w:tcW w:w="1398" w:type="pct"/>
                  <w:noWrap w:val="0"/>
                  <w:vAlign w:val="center"/>
                </w:tcPr>
                <w:p w14:paraId="68519356">
                  <w:pPr>
                    <w:adjustRightInd w:val="0"/>
                    <w:snapToGrid w:val="0"/>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污染源</w:t>
                  </w:r>
                </w:p>
              </w:tc>
              <w:tc>
                <w:tcPr>
                  <w:tcW w:w="1708" w:type="pct"/>
                  <w:noWrap w:val="0"/>
                  <w:vAlign w:val="center"/>
                </w:tcPr>
                <w:p w14:paraId="2BB848EC">
                  <w:pPr>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主要污染物名称</w:t>
                  </w:r>
                </w:p>
              </w:tc>
              <w:tc>
                <w:tcPr>
                  <w:tcW w:w="1482" w:type="pct"/>
                  <w:noWrap w:val="0"/>
                  <w:vAlign w:val="center"/>
                </w:tcPr>
                <w:p w14:paraId="229B91EB">
                  <w:pPr>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处理情况及去向</w:t>
                  </w:r>
                </w:p>
              </w:tc>
            </w:tr>
            <w:tr w14:paraId="6B19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4B90A616">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废气</w:t>
                  </w:r>
                </w:p>
              </w:tc>
              <w:tc>
                <w:tcPr>
                  <w:tcW w:w="1398" w:type="pct"/>
                  <w:noWrap w:val="0"/>
                  <w:vAlign w:val="center"/>
                </w:tcPr>
                <w:p w14:paraId="6D813292">
                  <w:pPr>
                    <w:adjustRightInd w:val="0"/>
                    <w:snapToGrid w:val="0"/>
                    <w:spacing w:line="240" w:lineRule="auto"/>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切割粉尘</w:t>
                  </w:r>
                </w:p>
              </w:tc>
              <w:tc>
                <w:tcPr>
                  <w:tcW w:w="1708" w:type="pct"/>
                  <w:noWrap w:val="0"/>
                  <w:vAlign w:val="center"/>
                </w:tcPr>
                <w:p w14:paraId="2782224E">
                  <w:pPr>
                    <w:adjustRightInd w:val="0"/>
                    <w:snapToGrid w:val="0"/>
                    <w:spacing w:line="240" w:lineRule="auto"/>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颗粒物</w:t>
                  </w:r>
                </w:p>
              </w:tc>
              <w:tc>
                <w:tcPr>
                  <w:tcW w:w="1482" w:type="pct"/>
                  <w:vMerge w:val="restart"/>
                  <w:noWrap w:val="0"/>
                  <w:vAlign w:val="center"/>
                </w:tcPr>
                <w:p w14:paraId="08D35532">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经加强通风处理后于车间内无组织排放</w:t>
                  </w:r>
                </w:p>
              </w:tc>
            </w:tr>
            <w:tr w14:paraId="0BA7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C819F51">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1398" w:type="pct"/>
                  <w:shd w:val="clear" w:color="auto" w:fill="auto"/>
                  <w:noWrap w:val="0"/>
                  <w:vAlign w:val="center"/>
                </w:tcPr>
                <w:p w14:paraId="043E0FFF">
                  <w:pPr>
                    <w:adjustRightInd w:val="0"/>
                    <w:snapToGrid w:val="0"/>
                    <w:spacing w:line="240" w:lineRule="auto"/>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焊接</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烟尘</w:t>
                  </w:r>
                </w:p>
              </w:tc>
              <w:tc>
                <w:tcPr>
                  <w:tcW w:w="1708" w:type="pct"/>
                  <w:shd w:val="clear" w:color="auto" w:fill="auto"/>
                  <w:noWrap w:val="0"/>
                  <w:vAlign w:val="center"/>
                </w:tcPr>
                <w:p w14:paraId="616605C2">
                  <w:pPr>
                    <w:adjustRightInd w:val="0"/>
                    <w:snapToGrid w:val="0"/>
                    <w:spacing w:line="240" w:lineRule="auto"/>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颗粒物</w:t>
                  </w:r>
                </w:p>
              </w:tc>
              <w:tc>
                <w:tcPr>
                  <w:tcW w:w="1482" w:type="pct"/>
                  <w:vMerge w:val="continue"/>
                  <w:noWrap w:val="0"/>
                  <w:vAlign w:val="center"/>
                </w:tcPr>
                <w:p w14:paraId="0ADB248A">
                  <w:pPr>
                    <w:adjustRightInd w:val="0"/>
                    <w:snapToGrid w:val="0"/>
                    <w:spacing w:line="240" w:lineRule="auto"/>
                    <w:jc w:val="center"/>
                    <w:rPr>
                      <w:rFonts w:hint="eastAsia" w:ascii="Times New Roman" w:hAnsi="Times New Roman" w:cs="Times New Roman"/>
                      <w:color w:val="000000" w:themeColor="text1"/>
                      <w:sz w:val="21"/>
                      <w:szCs w:val="21"/>
                      <w:lang w:val="en-US" w:eastAsia="zh-CN"/>
                      <w14:textFill>
                        <w14:solidFill>
                          <w14:schemeClr w14:val="tx1"/>
                        </w14:solidFill>
                      </w14:textFill>
                    </w:rPr>
                  </w:pPr>
                </w:p>
              </w:tc>
            </w:tr>
            <w:tr w14:paraId="289B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A19F263">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1398" w:type="pct"/>
                  <w:noWrap w:val="0"/>
                  <w:vAlign w:val="center"/>
                </w:tcPr>
                <w:p w14:paraId="69EC533B">
                  <w:pPr>
                    <w:adjustRightInd w:val="0"/>
                    <w:snapToGrid w:val="0"/>
                    <w:spacing w:line="240" w:lineRule="auto"/>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脱脂废气</w:t>
                  </w:r>
                </w:p>
              </w:tc>
              <w:tc>
                <w:tcPr>
                  <w:tcW w:w="1708" w:type="pct"/>
                  <w:noWrap w:val="0"/>
                  <w:vAlign w:val="center"/>
                </w:tcPr>
                <w:p w14:paraId="0B5FAC04">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氟化物</w:t>
                  </w:r>
                </w:p>
              </w:tc>
              <w:tc>
                <w:tcPr>
                  <w:tcW w:w="1482" w:type="pct"/>
                  <w:vMerge w:val="continue"/>
                  <w:noWrap w:val="0"/>
                  <w:vAlign w:val="center"/>
                </w:tcPr>
                <w:p w14:paraId="65C85650">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045B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6E16B0DC">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1398" w:type="pct"/>
                  <w:noWrap w:val="0"/>
                  <w:vAlign w:val="center"/>
                </w:tcPr>
                <w:p w14:paraId="3DB54E5F">
                  <w:pPr>
                    <w:adjustRightInd w:val="0"/>
                    <w:snapToGrid w:val="0"/>
                    <w:spacing w:line="240" w:lineRule="auto"/>
                    <w:jc w:val="cente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抛光打磨</w:t>
                  </w:r>
                  <w:r>
                    <w:rPr>
                      <w:rFonts w:hint="default" w:ascii="Times New Roman" w:hAnsi="Times New Roman" w:cs="Times New Roman"/>
                      <w:color w:val="000000" w:themeColor="text1"/>
                      <w:kern w:val="2"/>
                      <w:sz w:val="21"/>
                      <w:szCs w:val="21"/>
                      <w:highlight w:val="none"/>
                      <w14:textFill>
                        <w14:solidFill>
                          <w14:schemeClr w14:val="tx1"/>
                        </w14:solidFill>
                      </w14:textFill>
                    </w:rPr>
                    <w:t>粉尘</w:t>
                  </w:r>
                </w:p>
              </w:tc>
              <w:tc>
                <w:tcPr>
                  <w:tcW w:w="1708" w:type="pct"/>
                  <w:noWrap w:val="0"/>
                  <w:vAlign w:val="center"/>
                </w:tcPr>
                <w:p w14:paraId="62EC0D22">
                  <w:pPr>
                    <w:adjustRightInd w:val="0"/>
                    <w:snapToGrid w:val="0"/>
                    <w:spacing w:line="240" w:lineRule="auto"/>
                    <w:jc w:val="center"/>
                    <w:rPr>
                      <w:rFonts w:hint="default"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颗粒物</w:t>
                  </w:r>
                </w:p>
              </w:tc>
              <w:tc>
                <w:tcPr>
                  <w:tcW w:w="1482" w:type="pct"/>
                  <w:noWrap w:val="0"/>
                  <w:vAlign w:val="center"/>
                </w:tcPr>
                <w:p w14:paraId="434E852F">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经</w:t>
                  </w:r>
                  <w:r>
                    <w:rPr>
                      <w:rFonts w:hint="eastAsia" w:cs="Times New Roman"/>
                      <w:color w:val="000000" w:themeColor="text1"/>
                      <w:kern w:val="0"/>
                      <w:sz w:val="21"/>
                      <w:szCs w:val="21"/>
                      <w:lang w:val="en-US" w:eastAsia="zh-CN" w:bidi="ar"/>
                      <w14:textFill>
                        <w14:solidFill>
                          <w14:schemeClr w14:val="tx1"/>
                        </w14:solidFill>
                      </w14:textFill>
                    </w:rPr>
                    <w:t>自然沉降后无组织排放于车间</w:t>
                  </w:r>
                </w:p>
              </w:tc>
            </w:tr>
            <w:tr w14:paraId="7B3A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33137643">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1398" w:type="pct"/>
                  <w:noWrap w:val="0"/>
                  <w:vAlign w:val="center"/>
                </w:tcPr>
                <w:p w14:paraId="400A120A">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喷粉粉尘</w:t>
                  </w:r>
                </w:p>
              </w:tc>
              <w:tc>
                <w:tcPr>
                  <w:tcW w:w="1708" w:type="pct"/>
                  <w:noWrap w:val="0"/>
                  <w:vAlign w:val="center"/>
                </w:tcPr>
                <w:p w14:paraId="24837366">
                  <w:pPr>
                    <w:adjustRightInd w:val="0"/>
                    <w:snapToGrid w:val="0"/>
                    <w:spacing w:line="240" w:lineRule="auto"/>
                    <w:jc w:val="center"/>
                    <w:rPr>
                      <w:rFonts w:hint="eastAsia"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颗粒物</w:t>
                  </w:r>
                </w:p>
              </w:tc>
              <w:tc>
                <w:tcPr>
                  <w:tcW w:w="1482" w:type="pct"/>
                  <w:noWrap w:val="0"/>
                  <w:vAlign w:val="center"/>
                </w:tcPr>
                <w:p w14:paraId="03795556">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密闭车间负压收集+大旋风+滤芯式二级回收系统”处理后呈无组织排放</w:t>
                  </w:r>
                </w:p>
              </w:tc>
            </w:tr>
            <w:tr w14:paraId="0FB9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46B12CA">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1398" w:type="pct"/>
                  <w:noWrap w:val="0"/>
                  <w:vAlign w:val="center"/>
                </w:tcPr>
                <w:p w14:paraId="27215382">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喷漆废气</w:t>
                  </w:r>
                </w:p>
              </w:tc>
              <w:tc>
                <w:tcPr>
                  <w:tcW w:w="1708" w:type="pct"/>
                  <w:noWrap w:val="0"/>
                  <w:vAlign w:val="center"/>
                </w:tcPr>
                <w:p w14:paraId="78DED8BA">
                  <w:pPr>
                    <w:adjustRightInd w:val="0"/>
                    <w:snapToGrid w:val="0"/>
                    <w:spacing w:line="240" w:lineRule="auto"/>
                    <w:jc w:val="center"/>
                    <w:rPr>
                      <w:rFonts w:hint="default"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颗粒物、非甲烷总烃、苯系物、臭气浓度</w:t>
                  </w:r>
                </w:p>
              </w:tc>
              <w:tc>
                <w:tcPr>
                  <w:tcW w:w="1482" w:type="pct"/>
                  <w:noWrap w:val="0"/>
                  <w:vAlign w:val="center"/>
                </w:tcPr>
                <w:p w14:paraId="74A5CCCE">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经水帘柜</w:t>
                  </w:r>
                  <w:r>
                    <w:rPr>
                      <w:rFonts w:hint="eastAsia" w:cs="Times New Roman"/>
                      <w:color w:val="000000" w:themeColor="text1"/>
                      <w:kern w:val="0"/>
                      <w:sz w:val="21"/>
                      <w:szCs w:val="21"/>
                      <w:lang w:val="en-US" w:eastAsia="zh-CN" w:bidi="ar"/>
                      <w14:textFill>
                        <w14:solidFill>
                          <w14:schemeClr w14:val="tx1"/>
                        </w14:solidFill>
                      </w14:textFill>
                    </w:rPr>
                    <w:t>喷淋</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+干式过滤+活性炭吸附脱附催化燃烧</w:t>
                  </w:r>
                  <w:r>
                    <w:rPr>
                      <w:rFonts w:hint="eastAsia" w:cs="Times New Roman"/>
                      <w:color w:val="000000" w:themeColor="text1"/>
                      <w:kern w:val="0"/>
                      <w:sz w:val="21"/>
                      <w:szCs w:val="21"/>
                      <w:lang w:val="en-US" w:eastAsia="zh-CN" w:bidi="ar"/>
                      <w14:textFill>
                        <w14:solidFill>
                          <w14:schemeClr w14:val="tx1"/>
                        </w14:solidFill>
                      </w14:textFill>
                    </w:rPr>
                    <w:t>+活性炭吸附</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处理后经15m高排气筒（</w:t>
                  </w:r>
                  <w:r>
                    <w:rPr>
                      <w:rFonts w:hint="eastAsia" w:cs="Times New Roman"/>
                      <w:color w:val="000000" w:themeColor="text1"/>
                      <w:kern w:val="0"/>
                      <w:sz w:val="21"/>
                      <w:szCs w:val="21"/>
                      <w:lang w:val="en-US" w:eastAsia="zh-CN" w:bidi="ar"/>
                      <w14:textFill>
                        <w14:solidFill>
                          <w14:schemeClr w14:val="tx1"/>
                        </w14:solidFill>
                      </w14:textFill>
                    </w:rPr>
                    <w:t>DA001</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）排放</w:t>
                  </w:r>
                </w:p>
              </w:tc>
            </w:tr>
            <w:tr w14:paraId="3138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3C1F1AE">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1398" w:type="pct"/>
                  <w:noWrap w:val="0"/>
                  <w:vAlign w:val="center"/>
                </w:tcPr>
                <w:p w14:paraId="6E49377B">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固化废气</w:t>
                  </w:r>
                </w:p>
              </w:tc>
              <w:tc>
                <w:tcPr>
                  <w:tcW w:w="1708" w:type="pct"/>
                  <w:noWrap w:val="0"/>
                  <w:vAlign w:val="center"/>
                </w:tcPr>
                <w:p w14:paraId="5ED34100">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颗粒物、非甲烷总烃、苯系物、臭气浓度</w:t>
                  </w:r>
                  <w:r>
                    <w:rPr>
                      <w:rFonts w:hint="eastAsia"/>
                      <w:color w:val="000000" w:themeColor="text1"/>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eastAsia="zh-CN"/>
                      <w14:textFill>
                        <w14:solidFill>
                          <w14:schemeClr w14:val="tx1"/>
                        </w14:solidFill>
                      </w14:textFill>
                    </w:rPr>
                    <w:t>氮氧化物、颗粒物、二氧化硫、</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烟气黑度</w:t>
                  </w:r>
                </w:p>
              </w:tc>
              <w:tc>
                <w:tcPr>
                  <w:tcW w:w="1482" w:type="pct"/>
                  <w:noWrap w:val="0"/>
                  <w:vAlign w:val="center"/>
                </w:tcPr>
                <w:p w14:paraId="59BF8171">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经喷淋+干式过滤</w:t>
                  </w:r>
                  <w:r>
                    <w:rPr>
                      <w:rFonts w:hint="eastAsia" w:cs="Times New Roman"/>
                      <w:color w:val="000000" w:themeColor="text1"/>
                      <w:kern w:val="0"/>
                      <w:sz w:val="21"/>
                      <w:szCs w:val="21"/>
                      <w:lang w:val="en-US" w:eastAsia="zh-CN" w:bidi="ar"/>
                      <w14:textFill>
                        <w14:solidFill>
                          <w14:schemeClr w14:val="tx1"/>
                        </w14:solidFill>
                      </w14:textFill>
                    </w:rPr>
                    <w:t>+二级活性炭吸附</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处理后经15m高排气筒（</w:t>
                  </w:r>
                  <w:r>
                    <w:rPr>
                      <w:rFonts w:hint="eastAsia" w:cs="Times New Roman"/>
                      <w:color w:val="000000" w:themeColor="text1"/>
                      <w:kern w:val="0"/>
                      <w:sz w:val="21"/>
                      <w:szCs w:val="21"/>
                      <w:lang w:val="en-US" w:eastAsia="zh-CN" w:bidi="ar"/>
                      <w14:textFill>
                        <w14:solidFill>
                          <w14:schemeClr w14:val="tx1"/>
                        </w14:solidFill>
                      </w14:textFill>
                    </w:rPr>
                    <w:t>DA002</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）排放</w:t>
                  </w:r>
                </w:p>
              </w:tc>
            </w:tr>
            <w:tr w14:paraId="6495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C38D1FA">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noWrap w:val="0"/>
                  <w:vAlign w:val="center"/>
                </w:tcPr>
                <w:p w14:paraId="10545211">
                  <w:pPr>
                    <w:adjustRightInd w:val="0"/>
                    <w:snapToGrid w:val="0"/>
                    <w:spacing w:line="240" w:lineRule="auto"/>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厨房油烟废气</w:t>
                  </w:r>
                </w:p>
              </w:tc>
              <w:tc>
                <w:tcPr>
                  <w:tcW w:w="1708" w:type="pct"/>
                  <w:noWrap w:val="0"/>
                  <w:vAlign w:val="center"/>
                </w:tcPr>
                <w:p w14:paraId="09D2ABDE">
                  <w:pPr>
                    <w:adjustRightInd w:val="0"/>
                    <w:snapToGrid w:val="0"/>
                    <w:spacing w:line="240" w:lineRule="auto"/>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t>油烟</w:t>
                  </w:r>
                </w:p>
              </w:tc>
              <w:tc>
                <w:tcPr>
                  <w:tcW w:w="1482" w:type="pct"/>
                  <w:noWrap w:val="0"/>
                  <w:vAlign w:val="center"/>
                </w:tcPr>
                <w:p w14:paraId="2882ABF3">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经</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专用排烟管</w:t>
                  </w:r>
                  <w:r>
                    <w:rPr>
                      <w:rFonts w:hint="eastAsia" w:cs="Times New Roman"/>
                      <w:color w:val="000000" w:themeColor="text1"/>
                      <w:kern w:val="0"/>
                      <w:sz w:val="21"/>
                      <w:szCs w:val="21"/>
                      <w:lang w:val="en-US" w:eastAsia="zh-CN" w:bidi="ar"/>
                      <w14:textFill>
                        <w14:solidFill>
                          <w14:schemeClr w14:val="tx1"/>
                        </w14:solidFill>
                      </w14:textFill>
                    </w:rPr>
                    <w:t>（DA003）</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高空排放</w:t>
                  </w:r>
                </w:p>
              </w:tc>
            </w:tr>
            <w:tr w14:paraId="7895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4B92D8A">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noWrap w:val="0"/>
                  <w:vAlign w:val="center"/>
                </w:tcPr>
                <w:p w14:paraId="674C93B4">
                  <w:pPr>
                    <w:adjustRightInd w:val="0"/>
                    <w:snapToGrid w:val="0"/>
                    <w:spacing w:line="240" w:lineRule="auto"/>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污水处理站</w:t>
                  </w:r>
                </w:p>
              </w:tc>
              <w:tc>
                <w:tcPr>
                  <w:tcW w:w="1708" w:type="pct"/>
                  <w:noWrap w:val="0"/>
                  <w:vAlign w:val="center"/>
                </w:tcPr>
                <w:p w14:paraId="1D29B2C0">
                  <w:pPr>
                    <w:adjustRightInd w:val="0"/>
                    <w:snapToGrid w:val="0"/>
                    <w:spacing w:line="240" w:lineRule="auto"/>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氨、硫化氢、臭气浓度</w:t>
                  </w:r>
                </w:p>
              </w:tc>
              <w:tc>
                <w:tcPr>
                  <w:tcW w:w="1482" w:type="pct"/>
                  <w:noWrap w:val="0"/>
                  <w:vAlign w:val="center"/>
                </w:tcPr>
                <w:p w14:paraId="5B65BDD7">
                  <w:pPr>
                    <w:adjustRightInd w:val="0"/>
                    <w:snapToGrid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加盖密闭、加强通风措施后无组织排放</w:t>
                  </w:r>
                </w:p>
              </w:tc>
            </w:tr>
            <w:tr w14:paraId="3DF6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67F235D7">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废水</w:t>
                  </w:r>
                </w:p>
              </w:tc>
              <w:tc>
                <w:tcPr>
                  <w:tcW w:w="1398" w:type="pct"/>
                  <w:noWrap w:val="0"/>
                  <w:vAlign w:val="center"/>
                </w:tcPr>
                <w:p w14:paraId="7EEEC4FC">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厂内员工生活污水</w:t>
                  </w:r>
                </w:p>
              </w:tc>
              <w:tc>
                <w:tcPr>
                  <w:tcW w:w="1708" w:type="pct"/>
                  <w:noWrap w:val="0"/>
                  <w:vAlign w:val="center"/>
                </w:tcPr>
                <w:p w14:paraId="4F6C13E0">
                  <w:pPr>
                    <w:adjustRightInd w:val="0"/>
                    <w:snapToGrid w:val="0"/>
                    <w:spacing w:line="240" w:lineRule="auto"/>
                    <w:jc w:val="center"/>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pH、COD</w:t>
                  </w:r>
                  <w:r>
                    <w:rPr>
                      <w:rFonts w:hint="default" w:ascii="Times New Roman" w:hAnsi="Times New Roman" w:eastAsia="宋体" w:cs="Times New Roman"/>
                      <w:bCs/>
                      <w:color w:val="000000" w:themeColor="text1"/>
                      <w:sz w:val="21"/>
                      <w:szCs w:val="21"/>
                      <w:vertAlign w:val="subscript"/>
                      <w14:textFill>
                        <w14:solidFill>
                          <w14:schemeClr w14:val="tx1"/>
                        </w14:solidFill>
                      </w14:textFill>
                    </w:rPr>
                    <w:t>Cr</w:t>
                  </w:r>
                  <w:r>
                    <w:rPr>
                      <w:rFonts w:hint="default" w:ascii="Times New Roman" w:hAnsi="Times New Roman" w:eastAsia="宋体" w:cs="Times New Roman"/>
                      <w:bCs/>
                      <w:color w:val="000000" w:themeColor="text1"/>
                      <w:sz w:val="21"/>
                      <w:szCs w:val="21"/>
                      <w14:textFill>
                        <w14:solidFill>
                          <w14:schemeClr w14:val="tx1"/>
                        </w14:solidFill>
                      </w14:textFill>
                    </w:rPr>
                    <w:t>、BOD</w:t>
                  </w:r>
                  <w:r>
                    <w:rPr>
                      <w:rFonts w:hint="default" w:ascii="Times New Roman" w:hAnsi="Times New Roman" w:eastAsia="宋体" w:cs="Times New Roman"/>
                      <w:bCs/>
                      <w:color w:val="000000" w:themeColor="text1"/>
                      <w:sz w:val="21"/>
                      <w:szCs w:val="21"/>
                      <w:vertAlign w:val="subscript"/>
                      <w14:textFill>
                        <w14:solidFill>
                          <w14:schemeClr w14:val="tx1"/>
                        </w14:solidFill>
                      </w14:textFill>
                    </w:rPr>
                    <w:t>5</w:t>
                  </w:r>
                  <w:r>
                    <w:rPr>
                      <w:rFonts w:hint="default" w:ascii="Times New Roman" w:hAnsi="Times New Roman" w:eastAsia="宋体" w:cs="Times New Roman"/>
                      <w:bCs/>
                      <w:color w:val="000000" w:themeColor="text1"/>
                      <w:sz w:val="21"/>
                      <w:szCs w:val="21"/>
                      <w14:textFill>
                        <w14:solidFill>
                          <w14:schemeClr w14:val="tx1"/>
                        </w14:solidFill>
                      </w14:textFill>
                    </w:rPr>
                    <w:t>、SS、氨氮、</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总磷、</w:t>
                  </w:r>
                  <w:r>
                    <w:rPr>
                      <w:rFonts w:hint="eastAsia" w:cs="Times New Roman"/>
                      <w:bCs/>
                      <w:color w:val="000000" w:themeColor="text1"/>
                      <w:sz w:val="21"/>
                      <w:szCs w:val="21"/>
                      <w:lang w:val="en-US" w:eastAsia="zh-CN"/>
                      <w14:textFill>
                        <w14:solidFill>
                          <w14:schemeClr w14:val="tx1"/>
                        </w14:solidFill>
                      </w14:textFill>
                    </w:rPr>
                    <w:t>动植物油</w:t>
                  </w:r>
                </w:p>
              </w:tc>
              <w:tc>
                <w:tcPr>
                  <w:tcW w:w="1482" w:type="pct"/>
                  <w:noWrap w:val="0"/>
                  <w:vAlign w:val="center"/>
                </w:tcPr>
                <w:p w14:paraId="0487BF6F">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经三级化粪池</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+隔油隔渣池</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处理后排入园区污水处理厂</w:t>
                  </w:r>
                </w:p>
              </w:tc>
            </w:tr>
            <w:tr w14:paraId="7E5A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0" w:type="pct"/>
                  <w:vMerge w:val="continue"/>
                  <w:noWrap w:val="0"/>
                  <w:vAlign w:val="center"/>
                </w:tcPr>
                <w:p w14:paraId="1CE32B62">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noWrap w:val="0"/>
                  <w:vAlign w:val="center"/>
                </w:tcPr>
                <w:p w14:paraId="710629B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生产废水</w:t>
                  </w:r>
                </w:p>
              </w:tc>
              <w:tc>
                <w:tcPr>
                  <w:tcW w:w="1708" w:type="pct"/>
                  <w:noWrap w:val="0"/>
                  <w:vAlign w:val="center"/>
                </w:tcPr>
                <w:p w14:paraId="41DFF39F">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pH、COD</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Cr</w:t>
                  </w:r>
                  <w:r>
                    <w:rPr>
                      <w:rFonts w:hint="default" w:ascii="Times New Roman" w:hAnsi="Times New Roman" w:cs="Times New Roman"/>
                      <w:color w:val="000000" w:themeColor="text1"/>
                      <w:kern w:val="2"/>
                      <w:sz w:val="21"/>
                      <w:szCs w:val="21"/>
                      <w:highlight w:val="none"/>
                      <w14:textFill>
                        <w14:solidFill>
                          <w14:schemeClr w14:val="tx1"/>
                        </w14:solidFill>
                      </w14:textFill>
                    </w:rPr>
                    <w:t>、</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BOD</w:t>
                  </w:r>
                  <w:r>
                    <w:rPr>
                      <w:rFonts w:hint="eastAsia" w:ascii="Times New Roman" w:hAnsi="Times New Roman" w:cs="Times New Roman"/>
                      <w:color w:val="000000" w:themeColor="text1"/>
                      <w:sz w:val="21"/>
                      <w:szCs w:val="21"/>
                      <w:highlight w:val="none"/>
                      <w:vertAlign w:val="subscript"/>
                      <w:lang w:val="en-US" w:eastAsia="zh-CN"/>
                      <w14:textFill>
                        <w14:solidFill>
                          <w14:schemeClr w14:val="tx1"/>
                        </w14:solidFill>
                      </w14:textFill>
                    </w:rPr>
                    <w:t>5</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、NH</w:t>
                  </w:r>
                  <w:r>
                    <w:rPr>
                      <w:rFonts w:hint="eastAsia" w:ascii="Times New Roman" w:hAnsi="Times New Roman" w:cs="Times New Roman"/>
                      <w:color w:val="000000" w:themeColor="text1"/>
                      <w:sz w:val="21"/>
                      <w:szCs w:val="21"/>
                      <w:highlight w:val="none"/>
                      <w:vertAlign w:val="subscript"/>
                      <w:lang w:val="en-US" w:eastAsia="zh-CN"/>
                      <w14:textFill>
                        <w14:solidFill>
                          <w14:schemeClr w14:val="tx1"/>
                        </w14:solidFill>
                      </w14:textFill>
                    </w:rPr>
                    <w:t>3</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-N、</w:t>
                  </w:r>
                  <w:r>
                    <w:rPr>
                      <w:rFonts w:hint="default" w:ascii="Times New Roman" w:hAnsi="Times New Roman" w:cs="Times New Roman"/>
                      <w:color w:val="000000" w:themeColor="text1"/>
                      <w:kern w:val="2"/>
                      <w:sz w:val="21"/>
                      <w:szCs w:val="21"/>
                      <w:highlight w:val="none"/>
                      <w14:textFill>
                        <w14:solidFill>
                          <w14:schemeClr w14:val="tx1"/>
                        </w14:solidFill>
                      </w14:textFill>
                    </w:rPr>
                    <w:t>SS、石油类、氟化物、LAS</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TN、TP、总铝</w:t>
                  </w:r>
                </w:p>
              </w:tc>
              <w:tc>
                <w:tcPr>
                  <w:tcW w:w="1482" w:type="pct"/>
                  <w:noWrap w:val="0"/>
                  <w:vAlign w:val="center"/>
                </w:tcPr>
                <w:p w14:paraId="0BE1F31A">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经自建污水处理站处理后</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排入</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园区污水处理厂</w:t>
                  </w:r>
                </w:p>
              </w:tc>
            </w:tr>
            <w:tr w14:paraId="4BC3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58C8AD9E">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固体废物</w:t>
                  </w:r>
                </w:p>
              </w:tc>
              <w:tc>
                <w:tcPr>
                  <w:tcW w:w="1398" w:type="pct"/>
                  <w:vMerge w:val="restart"/>
                  <w:noWrap w:val="0"/>
                  <w:vAlign w:val="center"/>
                </w:tcPr>
                <w:p w14:paraId="0D6FDFCE">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员工生活办公</w:t>
                  </w:r>
                </w:p>
              </w:tc>
              <w:tc>
                <w:tcPr>
                  <w:tcW w:w="1708" w:type="pct"/>
                  <w:noWrap w:val="0"/>
                  <w:vAlign w:val="center"/>
                </w:tcPr>
                <w:p w14:paraId="772B7D70">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生活垃圾</w:t>
                  </w:r>
                </w:p>
              </w:tc>
              <w:tc>
                <w:tcPr>
                  <w:tcW w:w="1482" w:type="pct"/>
                  <w:noWrap w:val="0"/>
                  <w:vAlign w:val="center"/>
                </w:tcPr>
                <w:p w14:paraId="23484A9D">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由环卫部门收集处理</w:t>
                  </w:r>
                </w:p>
              </w:tc>
            </w:tr>
            <w:tr w14:paraId="3D14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062E19A">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vMerge w:val="continue"/>
                  <w:noWrap w:val="0"/>
                  <w:vAlign w:val="center"/>
                </w:tcPr>
                <w:p w14:paraId="0BBB6768">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708" w:type="pct"/>
                  <w:noWrap w:val="0"/>
                  <w:vAlign w:val="center"/>
                </w:tcPr>
                <w:p w14:paraId="5BB65DF1">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废油脂</w:t>
                  </w:r>
                </w:p>
              </w:tc>
              <w:tc>
                <w:tcPr>
                  <w:tcW w:w="1482" w:type="pct"/>
                  <w:noWrap w:val="0"/>
                  <w:vAlign w:val="center"/>
                </w:tcPr>
                <w:p w14:paraId="5CE98E17">
                  <w:pPr>
                    <w:adjustRightInd w:val="0"/>
                    <w:snapToGri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交</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专业单位回收处置</w:t>
                  </w:r>
                </w:p>
              </w:tc>
            </w:tr>
            <w:tr w14:paraId="1859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1DC2316">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noWrap w:val="0"/>
                  <w:vAlign w:val="center"/>
                </w:tcPr>
                <w:p w14:paraId="5C1B9BE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自建污水处理站</w:t>
                  </w:r>
                </w:p>
              </w:tc>
              <w:tc>
                <w:tcPr>
                  <w:tcW w:w="1708" w:type="pct"/>
                  <w:noWrap w:val="0"/>
                  <w:vAlign w:val="center"/>
                </w:tcPr>
                <w:p w14:paraId="6A416A03">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废水处理站污泥、</w:t>
                  </w:r>
                  <w:r>
                    <w:rPr>
                      <w:rFonts w:hint="default" w:ascii="Times New Roman" w:hAnsi="Times New Roman" w:cs="Times New Roman"/>
                      <w:b w:val="0"/>
                      <w:bCs w:val="0"/>
                      <w:color w:val="000000" w:themeColor="text1"/>
                      <w:kern w:val="2"/>
                      <w:sz w:val="21"/>
                      <w:szCs w:val="21"/>
                      <w:highlight w:val="none"/>
                      <w:lang w:eastAsia="zh-CN"/>
                      <w14:textFill>
                        <w14:solidFill>
                          <w14:schemeClr w14:val="tx1"/>
                        </w14:solidFill>
                      </w14:textFill>
                    </w:rPr>
                    <w:t>废</w:t>
                  </w:r>
                  <w:r>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t>pH调整剂</w:t>
                  </w:r>
                  <w:r>
                    <w:rPr>
                      <w:rFonts w:hint="default" w:ascii="Times New Roman" w:hAnsi="Times New Roman" w:cs="Times New Roman"/>
                      <w:b w:val="0"/>
                      <w:bCs w:val="0"/>
                      <w:color w:val="000000" w:themeColor="text1"/>
                      <w:kern w:val="2"/>
                      <w:sz w:val="21"/>
                      <w:szCs w:val="21"/>
                      <w:highlight w:val="none"/>
                      <w:lang w:eastAsia="zh-CN"/>
                      <w14:textFill>
                        <w14:solidFill>
                          <w14:schemeClr w14:val="tx1"/>
                        </w14:solidFill>
                      </w14:textFill>
                    </w:rPr>
                    <w:t>包装桶</w:t>
                  </w:r>
                </w:p>
              </w:tc>
              <w:tc>
                <w:tcPr>
                  <w:tcW w:w="1482" w:type="pct"/>
                  <w:vMerge w:val="restart"/>
                  <w:noWrap w:val="0"/>
                  <w:vAlign w:val="center"/>
                </w:tcPr>
                <w:p w14:paraId="18F782F6">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经收集后</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暂存</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于</w:t>
                  </w:r>
                  <w:r>
                    <w:rPr>
                      <w:rFonts w:hint="eastAsia" w:cs="Times New Roman"/>
                      <w:bCs/>
                      <w:color w:val="000000" w:themeColor="text1"/>
                      <w:sz w:val="21"/>
                      <w:szCs w:val="21"/>
                      <w:lang w:val="en-US" w:eastAsia="zh-CN"/>
                      <w14:textFill>
                        <w14:solidFill>
                          <w14:schemeClr w14:val="tx1"/>
                        </w14:solidFill>
                      </w14:textFill>
                    </w:rPr>
                    <w:t>危险废物贮存间</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，交有危险废物处理资质单位处理</w:t>
                  </w:r>
                </w:p>
              </w:tc>
            </w:tr>
            <w:tr w14:paraId="4545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F0D996C">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tcBorders>
                    <w:bottom w:val="single" w:color="000000" w:sz="4" w:space="0"/>
                  </w:tcBorders>
                  <w:noWrap w:val="0"/>
                  <w:vAlign w:val="center"/>
                </w:tcPr>
                <w:p w14:paraId="1DF68BB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预脱脂池、脱脂池</w:t>
                  </w:r>
                </w:p>
              </w:tc>
              <w:tc>
                <w:tcPr>
                  <w:tcW w:w="1708" w:type="pct"/>
                  <w:tcBorders>
                    <w:bottom w:val="single" w:color="000000" w:sz="4" w:space="0"/>
                  </w:tcBorders>
                  <w:noWrap w:val="0"/>
                  <w:vAlign w:val="center"/>
                </w:tcPr>
                <w:p w14:paraId="3C42B82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000000" w:themeColor="text1"/>
                      <w:kern w:val="2"/>
                      <w:sz w:val="21"/>
                      <w:szCs w:val="21"/>
                      <w:highlight w:val="none"/>
                      <w:lang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废</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表面处理剂</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包装桶、</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预处理池泥渣及管道循环装置废物</w:t>
                  </w:r>
                </w:p>
              </w:tc>
              <w:tc>
                <w:tcPr>
                  <w:tcW w:w="1482" w:type="pct"/>
                  <w:vMerge w:val="continue"/>
                  <w:noWrap w:val="0"/>
                  <w:vAlign w:val="center"/>
                </w:tcPr>
                <w:p w14:paraId="190B2236">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r>
            <w:tr w14:paraId="3C4A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3DD1A02">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tcBorders>
                    <w:bottom w:val="single" w:color="000000" w:sz="4" w:space="0"/>
                  </w:tcBorders>
                  <w:noWrap w:val="0"/>
                  <w:vAlign w:val="center"/>
                </w:tcPr>
                <w:p w14:paraId="7FE962F4">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无铬钝化池</w:t>
                  </w:r>
                </w:p>
              </w:tc>
              <w:tc>
                <w:tcPr>
                  <w:tcW w:w="1708" w:type="pct"/>
                  <w:tcBorders>
                    <w:bottom w:val="single" w:color="000000" w:sz="4" w:space="0"/>
                  </w:tcBorders>
                  <w:noWrap w:val="0"/>
                  <w:vAlign w:val="center"/>
                </w:tcPr>
                <w:p w14:paraId="0E4E11C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废</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表面处理剂</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包装桶</w:t>
                  </w:r>
                  <w:r>
                    <w:rPr>
                      <w:rFonts w:hint="default" w:ascii="Times New Roman" w:hAnsi="Times New Roman" w:cs="Times New Roman"/>
                      <w:b w:val="0"/>
                      <w:bCs w:val="0"/>
                      <w:color w:val="000000" w:themeColor="text1"/>
                      <w:kern w:val="2"/>
                      <w:sz w:val="21"/>
                      <w:szCs w:val="21"/>
                      <w:highlight w:val="none"/>
                      <w:lang w:eastAsia="zh-CN"/>
                      <w14:textFill>
                        <w14:solidFill>
                          <w14:schemeClr w14:val="tx1"/>
                        </w14:solidFill>
                      </w14:textFill>
                    </w:rPr>
                    <w:t>、</w:t>
                  </w:r>
                  <w:r>
                    <w:rPr>
                      <w:rFonts w:hint="eastAsia" w:ascii="Times New Roman" w:hAnsi="Times New Roman" w:cs="Times New Roman"/>
                      <w:b w:val="0"/>
                      <w:bCs w:val="0"/>
                      <w:color w:val="000000" w:themeColor="text1"/>
                      <w:kern w:val="2"/>
                      <w:sz w:val="21"/>
                      <w:szCs w:val="21"/>
                      <w:highlight w:val="none"/>
                      <w:lang w:val="en-US" w:eastAsia="zh-CN"/>
                      <w14:textFill>
                        <w14:solidFill>
                          <w14:schemeClr w14:val="tx1"/>
                        </w14:solidFill>
                      </w14:textFill>
                    </w:rPr>
                    <w:t>无铬钝化池</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废槽液</w:t>
                  </w:r>
                </w:p>
              </w:tc>
              <w:tc>
                <w:tcPr>
                  <w:tcW w:w="1482" w:type="pct"/>
                  <w:vMerge w:val="continue"/>
                  <w:noWrap w:val="0"/>
                  <w:vAlign w:val="center"/>
                </w:tcPr>
                <w:p w14:paraId="6E74D96D">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r>
            <w:tr w14:paraId="623F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10" w:type="pct"/>
                  <w:vMerge w:val="continue"/>
                  <w:noWrap w:val="0"/>
                  <w:vAlign w:val="center"/>
                </w:tcPr>
                <w:p w14:paraId="08FA54A8">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tcBorders>
                    <w:bottom w:val="single" w:color="000000" w:sz="4" w:space="0"/>
                  </w:tcBorders>
                  <w:noWrap w:val="0"/>
                  <w:vAlign w:val="center"/>
                </w:tcPr>
                <w:p w14:paraId="722265BD">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设备维修保养</w:t>
                  </w:r>
                </w:p>
              </w:tc>
              <w:tc>
                <w:tcPr>
                  <w:tcW w:w="1708" w:type="pct"/>
                  <w:tcBorders>
                    <w:bottom w:val="single" w:color="000000" w:sz="4" w:space="0"/>
                  </w:tcBorders>
                  <w:noWrap w:val="0"/>
                  <w:vAlign w:val="center"/>
                </w:tcPr>
                <w:p w14:paraId="7F2304F9">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废机油桶、废机油</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废含油手套抹布</w:t>
                  </w:r>
                </w:p>
              </w:tc>
              <w:tc>
                <w:tcPr>
                  <w:tcW w:w="1482" w:type="pct"/>
                  <w:vMerge w:val="continue"/>
                  <w:noWrap w:val="0"/>
                  <w:vAlign w:val="center"/>
                </w:tcPr>
                <w:p w14:paraId="73BD03B1">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r>
            <w:tr w14:paraId="3482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BFA88B7">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tcBorders>
                    <w:bottom w:val="single" w:color="000000" w:sz="4" w:space="0"/>
                  </w:tcBorders>
                  <w:noWrap w:val="0"/>
                  <w:vAlign w:val="center"/>
                </w:tcPr>
                <w:p w14:paraId="0EC36E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钣金成型、喷</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涂</w:t>
                  </w:r>
                </w:p>
              </w:tc>
              <w:tc>
                <w:tcPr>
                  <w:tcW w:w="1708" w:type="pct"/>
                  <w:tcBorders>
                    <w:bottom w:val="single" w:color="000000" w:sz="4" w:space="0"/>
                  </w:tcBorders>
                  <w:noWrap w:val="0"/>
                  <w:vAlign w:val="center"/>
                </w:tcPr>
                <w:p w14:paraId="4FEF75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废液压油桶</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、废原料桶</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、废粉末涂料</w:t>
                  </w:r>
                </w:p>
              </w:tc>
              <w:tc>
                <w:tcPr>
                  <w:tcW w:w="1482" w:type="pct"/>
                  <w:vMerge w:val="continue"/>
                  <w:noWrap w:val="0"/>
                  <w:vAlign w:val="center"/>
                </w:tcPr>
                <w:p w14:paraId="28F41C9E">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r>
            <w:tr w14:paraId="6568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F1D499E">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tcBorders>
                    <w:top w:val="single" w:color="000000" w:sz="4" w:space="0"/>
                  </w:tcBorders>
                  <w:noWrap w:val="0"/>
                  <w:vAlign w:val="center"/>
                </w:tcPr>
                <w:p w14:paraId="1A54130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机加工</w:t>
                  </w:r>
                </w:p>
              </w:tc>
              <w:tc>
                <w:tcPr>
                  <w:tcW w:w="1708" w:type="pct"/>
                  <w:tcBorders>
                    <w:top w:val="single" w:color="000000" w:sz="4" w:space="0"/>
                  </w:tcBorders>
                  <w:noWrap w:val="0"/>
                  <w:vAlign w:val="center"/>
                </w:tcPr>
                <w:p w14:paraId="27378989">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包装废料</w:t>
                  </w:r>
                  <w:r>
                    <w:rPr>
                      <w:rFonts w:hint="default" w:ascii="Times New Roman" w:hAnsi="Times New Roman" w:cs="Times New Roman"/>
                      <w:color w:val="000000" w:themeColor="text1"/>
                      <w:kern w:val="2"/>
                      <w:sz w:val="21"/>
                      <w:szCs w:val="21"/>
                      <w:highlight w:val="none"/>
                      <w14:textFill>
                        <w14:solidFill>
                          <w14:schemeClr w14:val="tx1"/>
                        </w14:solidFill>
                      </w14:textFill>
                    </w:rPr>
                    <w:t>、机加工边角料</w:t>
                  </w:r>
                </w:p>
              </w:tc>
              <w:tc>
                <w:tcPr>
                  <w:tcW w:w="1482" w:type="pct"/>
                  <w:vMerge w:val="restart"/>
                  <w:noWrap w:val="0"/>
                  <w:vAlign w:val="center"/>
                </w:tcPr>
                <w:p w14:paraId="7FB77C80">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经收集后暂存</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于一般固废暂存</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间，交专业单位回收处理</w:t>
                  </w:r>
                </w:p>
              </w:tc>
            </w:tr>
            <w:tr w14:paraId="27F7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88C21B0">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vMerge w:val="restart"/>
                  <w:noWrap w:val="0"/>
                  <w:vAlign w:val="center"/>
                </w:tcPr>
                <w:p w14:paraId="29FD5C02">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14:textFill>
                        <w14:solidFill>
                          <w14:schemeClr w14:val="tx1"/>
                        </w14:solidFill>
                      </w14:textFill>
                    </w:rPr>
                    <w:t>废气处理设施</w:t>
                  </w:r>
                </w:p>
              </w:tc>
              <w:tc>
                <w:tcPr>
                  <w:tcW w:w="1708" w:type="pct"/>
                  <w:noWrap w:val="0"/>
                  <w:vAlign w:val="center"/>
                </w:tcPr>
                <w:p w14:paraId="69D1949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14:textFill>
                        <w14:solidFill>
                          <w14:schemeClr w14:val="tx1"/>
                        </w14:solidFill>
                      </w14:textFill>
                    </w:rPr>
                    <w:t>废金属粉尘、废滤芯</w:t>
                  </w:r>
                </w:p>
              </w:tc>
              <w:tc>
                <w:tcPr>
                  <w:tcW w:w="1482" w:type="pct"/>
                  <w:vMerge w:val="continue"/>
                  <w:noWrap w:val="0"/>
                  <w:vAlign w:val="center"/>
                </w:tcPr>
                <w:p w14:paraId="447733A5">
                  <w:pPr>
                    <w:adjustRightInd w:val="0"/>
                    <w:snapToGrid w:val="0"/>
                    <w:spacing w:line="240" w:lineRule="auto"/>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p>
              </w:tc>
            </w:tr>
            <w:tr w14:paraId="7008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0B1148C">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98" w:type="pct"/>
                  <w:vMerge w:val="continue"/>
                  <w:noWrap w:val="0"/>
                  <w:vAlign w:val="center"/>
                </w:tcPr>
                <w:p w14:paraId="5EB1EA67">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cs="Times New Roman"/>
                      <w:color w:val="000000" w:themeColor="text1"/>
                      <w:kern w:val="2"/>
                      <w:sz w:val="21"/>
                      <w:szCs w:val="21"/>
                      <w:highlight w:val="none"/>
                      <w:lang w:val="en-US" w:eastAsia="zh-CN"/>
                      <w14:textFill>
                        <w14:solidFill>
                          <w14:schemeClr w14:val="tx1"/>
                        </w14:solidFill>
                      </w14:textFill>
                    </w:rPr>
                  </w:pPr>
                </w:p>
              </w:tc>
              <w:tc>
                <w:tcPr>
                  <w:tcW w:w="1708" w:type="pct"/>
                  <w:noWrap w:val="0"/>
                  <w:vAlign w:val="center"/>
                </w:tcPr>
                <w:p w14:paraId="496A9037">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000000" w:themeColor="text1"/>
                      <w:kern w:val="2"/>
                      <w:sz w:val="21"/>
                      <w:szCs w:val="21"/>
                      <w:highlight w:val="none"/>
                      <w:lang w:val="en-US"/>
                      <w14:textFill>
                        <w14:solidFill>
                          <w14:schemeClr w14:val="tx1"/>
                        </w14:solidFill>
                      </w14:textFill>
                    </w:rPr>
                  </w:pPr>
                  <w:r>
                    <w:rPr>
                      <w:rFonts w:hint="eastAsia" w:cs="Times New Roman"/>
                      <w:color w:val="000000" w:themeColor="text1"/>
                      <w:kern w:val="2"/>
                      <w:sz w:val="21"/>
                      <w:szCs w:val="21"/>
                      <w:highlight w:val="none"/>
                      <w:lang w:val="en-US" w:eastAsia="zh-CN"/>
                      <w14:textFill>
                        <w14:solidFill>
                          <w14:schemeClr w14:val="tx1"/>
                        </w14:solidFill>
                      </w14:textFill>
                    </w:rPr>
                    <w:t>废过滤棉、废活性炭、喷淋废液及沉渣、喷枪清洗废液、废静电喷粉滤芯、废催化剂</w:t>
                  </w:r>
                </w:p>
              </w:tc>
              <w:tc>
                <w:tcPr>
                  <w:tcW w:w="1482" w:type="pct"/>
                  <w:noWrap w:val="0"/>
                  <w:vAlign w:val="center"/>
                </w:tcPr>
                <w:p w14:paraId="3A5A89A2">
                  <w:pPr>
                    <w:adjustRightInd w:val="0"/>
                    <w:snapToGrid w:val="0"/>
                    <w:spacing w:line="240" w:lineRule="auto"/>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经收集后</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暂存</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于</w:t>
                  </w:r>
                  <w:r>
                    <w:rPr>
                      <w:rFonts w:hint="eastAsia" w:cs="Times New Roman"/>
                      <w:bCs/>
                      <w:color w:val="000000" w:themeColor="text1"/>
                      <w:sz w:val="21"/>
                      <w:szCs w:val="21"/>
                      <w:lang w:val="en-US" w:eastAsia="zh-CN"/>
                      <w14:textFill>
                        <w14:solidFill>
                          <w14:schemeClr w14:val="tx1"/>
                        </w14:solidFill>
                      </w14:textFill>
                    </w:rPr>
                    <w:t>危险废物贮存间</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，交有危险废物处理资质单位处理</w:t>
                  </w:r>
                </w:p>
              </w:tc>
            </w:tr>
            <w:tr w14:paraId="7A7F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noWrap w:val="0"/>
                  <w:vAlign w:val="center"/>
                </w:tcPr>
                <w:p w14:paraId="3862FFDA">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噪声</w:t>
                  </w:r>
                </w:p>
              </w:tc>
              <w:tc>
                <w:tcPr>
                  <w:tcW w:w="1398" w:type="pct"/>
                  <w:noWrap w:val="0"/>
                  <w:vAlign w:val="center"/>
                </w:tcPr>
                <w:p w14:paraId="7E00A2A8">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各类生产设备、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污水泵、</w:t>
                  </w:r>
                  <w:r>
                    <w:rPr>
                      <w:rFonts w:hint="eastAsia" w:cs="Times New Roman"/>
                      <w:color w:val="000000" w:themeColor="text1"/>
                      <w:sz w:val="21"/>
                      <w:szCs w:val="21"/>
                      <w:lang w:val="en-US" w:eastAsia="zh-CN"/>
                      <w14:textFill>
                        <w14:solidFill>
                          <w14:schemeClr w14:val="tx1"/>
                        </w14:solidFill>
                      </w14:textFill>
                    </w:rPr>
                    <w:t>风机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等</w:t>
                  </w:r>
                  <w:r>
                    <w:rPr>
                      <w:rFonts w:hint="default" w:ascii="Times New Roman" w:hAnsi="Times New Roman" w:eastAsia="宋体" w:cs="Times New Roman"/>
                      <w:bCs/>
                      <w:color w:val="000000" w:themeColor="text1"/>
                      <w:sz w:val="21"/>
                      <w:szCs w:val="21"/>
                      <w14:textFill>
                        <w14:solidFill>
                          <w14:schemeClr w14:val="tx1"/>
                        </w14:solidFill>
                      </w14:textFill>
                    </w:rPr>
                    <w:t>设备运行</w:t>
                  </w:r>
                </w:p>
              </w:tc>
              <w:tc>
                <w:tcPr>
                  <w:tcW w:w="1708" w:type="pct"/>
                  <w:noWrap w:val="0"/>
                  <w:vAlign w:val="center"/>
                </w:tcPr>
                <w:p w14:paraId="2F8B7D91">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噪声</w:t>
                  </w:r>
                </w:p>
              </w:tc>
              <w:tc>
                <w:tcPr>
                  <w:tcW w:w="1482" w:type="pct"/>
                  <w:noWrap w:val="0"/>
                  <w:vAlign w:val="center"/>
                </w:tcPr>
                <w:p w14:paraId="28EB1A6B">
                  <w:pPr>
                    <w:adjustRightInd w:val="0"/>
                    <w:snapToGrid w:val="0"/>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基础减振、墙体隔声、距离衰减</w:t>
                  </w:r>
                </w:p>
              </w:tc>
            </w:tr>
          </w:tbl>
          <w:p w14:paraId="32CA5189">
            <w:pPr>
              <w:spacing w:line="360" w:lineRule="auto"/>
              <w:ind w:firstLine="720" w:firstLineChars="200"/>
              <w:rPr>
                <w:rFonts w:ascii="黑体" w:hAnsi="黑体" w:eastAsia="黑体"/>
                <w:snapToGrid w:val="0"/>
                <w:color w:val="000000" w:themeColor="text1"/>
                <w:sz w:val="36"/>
                <w:szCs w:val="36"/>
                <w:highlight w:val="none"/>
                <w:vertAlign w:val="baseline"/>
                <w14:textFill>
                  <w14:solidFill>
                    <w14:schemeClr w14:val="tx1"/>
                  </w14:solidFill>
                </w14:textFill>
              </w:rPr>
            </w:pPr>
          </w:p>
        </w:tc>
      </w:tr>
      <w:tr w14:paraId="6A99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0" w:hRule="atLeast"/>
        </w:trPr>
        <w:tc>
          <w:tcPr>
            <w:tcW w:w="575" w:type="dxa"/>
            <w:noWrap w:val="0"/>
            <w:vAlign w:val="center"/>
          </w:tcPr>
          <w:p w14:paraId="3F62E2E6">
            <w:pPr>
              <w:pStyle w:val="41"/>
              <w:adjustRightInd w:val="0"/>
              <w:snapToGrid w:val="0"/>
              <w:spacing w:before="0" w:beforeAutospacing="0" w:after="0" w:afterAutospacing="0"/>
              <w:rPr>
                <w:rFonts w:ascii="黑体" w:hAnsi="黑体" w:eastAsia="黑体"/>
                <w:snapToGrid w:val="0"/>
                <w:color w:val="000000" w:themeColor="text1"/>
                <w:sz w:val="36"/>
                <w:szCs w:val="36"/>
                <w:highlight w:val="none"/>
                <w:vertAlign w:val="baseline"/>
                <w14:textFill>
                  <w14:solidFill>
                    <w14:schemeClr w14:val="tx1"/>
                  </w14:solidFill>
                </w14:textFill>
              </w:rPr>
            </w:pPr>
            <w:r>
              <w:rPr>
                <w:rFonts w:hint="default" w:ascii="Times New Roman" w:hAnsi="Times New Roman" w:cs="Times New Roman"/>
                <w:bCs/>
                <w:color w:val="000000" w:themeColor="text1"/>
                <w:kern w:val="2"/>
                <w:szCs w:val="24"/>
                <w:highlight w:val="none"/>
                <w14:textFill>
                  <w14:solidFill>
                    <w14:schemeClr w14:val="tx1"/>
                  </w14:solidFill>
                </w14:textFill>
              </w:rPr>
              <w:t>与项目有关的原有环境污染问题</w:t>
            </w:r>
          </w:p>
        </w:tc>
        <w:tc>
          <w:tcPr>
            <w:tcW w:w="8485" w:type="dxa"/>
            <w:noWrap w:val="0"/>
            <w:vAlign w:val="center"/>
          </w:tcPr>
          <w:p w14:paraId="4FB402A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000000" w:themeColor="text1"/>
                <w:sz w:val="24"/>
                <w:szCs w:val="21"/>
                <w:highlight w:val="none"/>
                <w14:textFill>
                  <w14:solidFill>
                    <w14:schemeClr w14:val="tx1"/>
                  </w14:solidFill>
                </w14:textFill>
              </w:rPr>
            </w:pPr>
            <w:r>
              <w:rPr>
                <w:rFonts w:hint="default" w:ascii="Times New Roman" w:hAnsi="Times New Roman" w:eastAsia="宋体" w:cs="Times New Roman"/>
                <w:b/>
                <w:color w:val="000000" w:themeColor="text1"/>
                <w:sz w:val="24"/>
                <w:szCs w:val="21"/>
                <w:highlight w:val="none"/>
                <w14:textFill>
                  <w14:solidFill>
                    <w14:schemeClr w14:val="tx1"/>
                  </w14:solidFill>
                </w14:textFill>
              </w:rPr>
              <w:t>1.</w:t>
            </w:r>
            <w:r>
              <w:rPr>
                <w:rFonts w:hint="default" w:ascii="Times New Roman" w:hAnsi="Times New Roman" w:eastAsia="宋体" w:cs="Times New Roman"/>
                <w:b/>
                <w:color w:val="000000" w:themeColor="text1"/>
                <w:sz w:val="24"/>
                <w:highlight w:val="none"/>
                <w14:textFill>
                  <w14:solidFill>
                    <w14:schemeClr w14:val="tx1"/>
                  </w14:solidFill>
                </w14:textFill>
              </w:rPr>
              <w:t>与本项目有关的原有污染情况</w:t>
            </w:r>
          </w:p>
          <w:p w14:paraId="63EA804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1"/>
                <w:highlight w:val="none"/>
                <w14:textFill>
                  <w14:solidFill>
                    <w14:schemeClr w14:val="tx1"/>
                  </w14:solidFill>
                </w14:textFill>
              </w:rPr>
              <w:t>本项目属新建项目，无与本项目有关的原有污染情况。</w:t>
            </w:r>
          </w:p>
          <w:p w14:paraId="1F4E134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000000" w:themeColor="text1"/>
                <w:sz w:val="24"/>
                <w:szCs w:val="21"/>
                <w:highlight w:val="none"/>
                <w14:textFill>
                  <w14:solidFill>
                    <w14:schemeClr w14:val="tx1"/>
                  </w14:solidFill>
                </w14:textFill>
              </w:rPr>
            </w:pPr>
            <w:r>
              <w:rPr>
                <w:rFonts w:hint="default" w:ascii="Times New Roman" w:hAnsi="Times New Roman" w:eastAsia="宋体" w:cs="Times New Roman"/>
                <w:b/>
                <w:color w:val="000000" w:themeColor="text1"/>
                <w:sz w:val="24"/>
                <w:szCs w:val="21"/>
                <w:highlight w:val="none"/>
                <w14:textFill>
                  <w14:solidFill>
                    <w14:schemeClr w14:val="tx1"/>
                  </w14:solidFill>
                </w14:textFill>
              </w:rPr>
              <w:t>2.园区现状污染源情况</w:t>
            </w:r>
          </w:p>
          <w:p w14:paraId="51B30B4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截至202</w:t>
            </w:r>
            <w:r>
              <w:rPr>
                <w:rFonts w:hint="eastAsia"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月，乐昌产业转移工业园范围内产业现状基本以工业产业为主，共涉及</w:t>
            </w:r>
            <w:r>
              <w:rPr>
                <w:rFonts w:hint="eastAsia" w:cs="Times New Roman"/>
                <w:color w:val="000000" w:themeColor="text1"/>
                <w:kern w:val="2"/>
                <w:sz w:val="24"/>
                <w:szCs w:val="24"/>
                <w:highlight w:val="none"/>
                <w:lang w:val="en-US" w:eastAsia="zh-CN" w:bidi="ar-SA"/>
                <w14:textFill>
                  <w14:solidFill>
                    <w14:schemeClr w14:val="tx1"/>
                  </w14:solidFill>
                </w14:textFill>
              </w:rPr>
              <w:t>114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家企业，其中</w:t>
            </w:r>
            <w:r>
              <w:rPr>
                <w:rFonts w:hint="eastAsia" w:cs="Times New Roman"/>
                <w:color w:val="000000" w:themeColor="text1"/>
                <w:kern w:val="2"/>
                <w:sz w:val="24"/>
                <w:szCs w:val="24"/>
                <w:highlight w:val="none"/>
                <w:lang w:val="en-US" w:eastAsia="zh-CN" w:bidi="ar-SA"/>
                <w14:textFill>
                  <w14:solidFill>
                    <w14:schemeClr w14:val="tx1"/>
                  </w14:solidFill>
                </w14:textFill>
              </w:rPr>
              <w:t>6家企业</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已经停产。本评价根据环评情况和建设生产情况，将企业分为已建、在建、停产三大类：已建企业为已经投产运行或正在试运行的企业；在建企业为已通过环评，正在建设的企业；停产企业为已经建成，但停产的企业。产业园内企业情况详见下表。</w:t>
            </w:r>
          </w:p>
          <w:p w14:paraId="4334A0F3">
            <w:pPr>
              <w:pStyle w:val="17"/>
              <w:pageBreakBefore w:val="0"/>
              <w:numPr>
                <w:ilvl w:val="0"/>
                <w:numId w:val="10"/>
              </w:numPr>
              <w:tabs>
                <w:tab w:val="clear" w:pos="3240"/>
                <w:tab w:val="clear" w:pos="6120"/>
              </w:tabs>
              <w:kinsoku/>
              <w:overflowPunct/>
              <w:topLinePunct w:val="0"/>
              <w:bidi w:val="0"/>
              <w:snapToGrid/>
              <w:spacing w:line="240" w:lineRule="auto"/>
              <w:ind w:left="0" w:leftChars="0" w:firstLine="40" w:firstLineChars="0"/>
              <w:jc w:val="center"/>
              <w:outlineLvl w:val="9"/>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园区通过环评审批企业情况统计</w:t>
            </w:r>
          </w:p>
          <w:tbl>
            <w:tblPr>
              <w:tblStyle w:val="132"/>
              <w:tblW w:w="83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30"/>
              <w:gridCol w:w="1301"/>
              <w:gridCol w:w="372"/>
              <w:gridCol w:w="1015"/>
              <w:gridCol w:w="904"/>
              <w:gridCol w:w="2499"/>
              <w:gridCol w:w="1897"/>
            </w:tblGrid>
            <w:tr w14:paraId="79843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30" w:type="dxa"/>
                  <w:vAlign w:val="center"/>
                </w:tcPr>
                <w:p w14:paraId="7278E2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bookmarkStart w:id="12" w:name="_Ref11703236"/>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序号</w:t>
                  </w:r>
                </w:p>
              </w:tc>
              <w:tc>
                <w:tcPr>
                  <w:tcW w:w="1301" w:type="dxa"/>
                  <w:vAlign w:val="center"/>
                </w:tcPr>
                <w:p w14:paraId="7579DF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企业名称</w:t>
                  </w:r>
                </w:p>
              </w:tc>
              <w:tc>
                <w:tcPr>
                  <w:tcW w:w="372" w:type="dxa"/>
                  <w:vAlign w:val="center"/>
                </w:tcPr>
                <w:p w14:paraId="472CC3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建设情况</w:t>
                  </w:r>
                </w:p>
              </w:tc>
              <w:tc>
                <w:tcPr>
                  <w:tcW w:w="1015" w:type="dxa"/>
                  <w:vAlign w:val="center"/>
                </w:tcPr>
                <w:p w14:paraId="7EFB6D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产业类型</w:t>
                  </w:r>
                </w:p>
              </w:tc>
              <w:tc>
                <w:tcPr>
                  <w:tcW w:w="904" w:type="dxa"/>
                  <w:vAlign w:val="center"/>
                </w:tcPr>
                <w:p w14:paraId="3DC509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占地面积（平方米）</w:t>
                  </w:r>
                </w:p>
              </w:tc>
              <w:tc>
                <w:tcPr>
                  <w:tcW w:w="2499" w:type="dxa"/>
                  <w:vAlign w:val="center"/>
                </w:tcPr>
                <w:p w14:paraId="7E6CA0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主要产品及规模</w:t>
                  </w:r>
                </w:p>
              </w:tc>
              <w:tc>
                <w:tcPr>
                  <w:tcW w:w="1897" w:type="dxa"/>
                  <w:vAlign w:val="center"/>
                </w:tcPr>
                <w:p w14:paraId="30E0DE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14:textFill>
                        <w14:solidFill>
                          <w14:schemeClr w14:val="tx1"/>
                        </w14:solidFill>
                      </w14:textFill>
                    </w:rPr>
                    <w:t>环评批复</w:t>
                  </w:r>
                </w:p>
              </w:tc>
            </w:tr>
            <w:tr w14:paraId="1D907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800C9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w:t>
                  </w:r>
                </w:p>
              </w:tc>
              <w:tc>
                <w:tcPr>
                  <w:tcW w:w="1301" w:type="dxa"/>
                  <w:vAlign w:val="center"/>
                </w:tcPr>
                <w:p w14:paraId="123DAC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乐昌市金丰机械有限公司</w:t>
                  </w:r>
                </w:p>
              </w:tc>
              <w:tc>
                <w:tcPr>
                  <w:tcW w:w="372" w:type="dxa"/>
                  <w:vAlign w:val="center"/>
                </w:tcPr>
                <w:p w14:paraId="190463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55C28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金属制品业、通用设备制造业</w:t>
                  </w:r>
                </w:p>
              </w:tc>
              <w:tc>
                <w:tcPr>
                  <w:tcW w:w="904" w:type="dxa"/>
                  <w:vAlign w:val="center"/>
                </w:tcPr>
                <w:p w14:paraId="6F65E8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38528.3</w:t>
                  </w:r>
                </w:p>
              </w:tc>
              <w:tc>
                <w:tcPr>
                  <w:tcW w:w="2499" w:type="dxa"/>
                  <w:vAlign w:val="center"/>
                </w:tcPr>
                <w:p w14:paraId="7F17CC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2.4 万吨金属铸件，年加工 1800 吨机械零部件</w:t>
                  </w:r>
                </w:p>
              </w:tc>
              <w:tc>
                <w:tcPr>
                  <w:tcW w:w="1897" w:type="dxa"/>
                  <w:vAlign w:val="center"/>
                </w:tcPr>
                <w:p w14:paraId="40B6F8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 号、韶环乐审〔2022〕01 号</w:t>
                  </w:r>
                </w:p>
              </w:tc>
            </w:tr>
            <w:tr w14:paraId="324D0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78C1B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w:t>
                  </w:r>
                </w:p>
              </w:tc>
              <w:tc>
                <w:tcPr>
                  <w:tcW w:w="1301" w:type="dxa"/>
                  <w:vAlign w:val="center"/>
                </w:tcPr>
                <w:p w14:paraId="7AE100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乐昌市捷凯家具有限公司</w:t>
                  </w:r>
                </w:p>
              </w:tc>
              <w:tc>
                <w:tcPr>
                  <w:tcW w:w="372" w:type="dxa"/>
                  <w:vAlign w:val="center"/>
                </w:tcPr>
                <w:p w14:paraId="2EC4DA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442E6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3D3ADA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19980</w:t>
                  </w:r>
                </w:p>
              </w:tc>
              <w:tc>
                <w:tcPr>
                  <w:tcW w:w="2499" w:type="dxa"/>
                  <w:vAlign w:val="center"/>
                </w:tcPr>
                <w:p w14:paraId="1CACBA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年产家具铸铁件 1.2 万件</w:t>
                  </w:r>
                </w:p>
              </w:tc>
              <w:tc>
                <w:tcPr>
                  <w:tcW w:w="1897" w:type="dxa"/>
                  <w:vAlign w:val="center"/>
                </w:tcPr>
                <w:p w14:paraId="201B41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 号</w:t>
                  </w:r>
                </w:p>
              </w:tc>
            </w:tr>
            <w:tr w14:paraId="5DE6C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E4109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w:t>
                  </w:r>
                </w:p>
              </w:tc>
              <w:tc>
                <w:tcPr>
                  <w:tcW w:w="1301" w:type="dxa"/>
                  <w:vAlign w:val="center"/>
                </w:tcPr>
                <w:p w14:paraId="0E774D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乐昌市瑞创精工制造有限公</w:t>
                  </w:r>
                </w:p>
                <w:p w14:paraId="4367EE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33E526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79BA9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479DA1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19600</w:t>
                  </w:r>
                </w:p>
              </w:tc>
              <w:tc>
                <w:tcPr>
                  <w:tcW w:w="2499" w:type="dxa"/>
                  <w:vAlign w:val="center"/>
                </w:tcPr>
                <w:p w14:paraId="59D6DE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年产铸铁电饭煲内胆 10 万件、水泵铸件20 万件、铸铁烤网100 万件、铸铁发热板 220 万件、搪瓷炉架 100 万件</w:t>
                  </w:r>
                </w:p>
              </w:tc>
              <w:tc>
                <w:tcPr>
                  <w:tcW w:w="1897" w:type="dxa"/>
                  <w:vAlign w:val="center"/>
                </w:tcPr>
                <w:p w14:paraId="4A5FA9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]48 号</w:t>
                  </w:r>
                </w:p>
              </w:tc>
            </w:tr>
            <w:tr w14:paraId="39B78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48779E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w:t>
                  </w:r>
                </w:p>
              </w:tc>
              <w:tc>
                <w:tcPr>
                  <w:tcW w:w="1301" w:type="dxa"/>
                  <w:vAlign w:val="center"/>
                </w:tcPr>
                <w:p w14:paraId="6A75A6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乐昌市瑛龙高精铸造有限公</w:t>
                  </w:r>
                </w:p>
                <w:p w14:paraId="31E679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26A088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A654C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0E0BD5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10702.96</w:t>
                  </w:r>
                </w:p>
              </w:tc>
              <w:tc>
                <w:tcPr>
                  <w:tcW w:w="2499" w:type="dxa"/>
                  <w:vAlign w:val="center"/>
                </w:tcPr>
                <w:p w14:paraId="04F0F7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年产机械设备类的机械设备 1.1 万吨</w:t>
                  </w:r>
                </w:p>
              </w:tc>
              <w:tc>
                <w:tcPr>
                  <w:tcW w:w="1897" w:type="dxa"/>
                  <w:vAlign w:val="center"/>
                </w:tcPr>
                <w:p w14:paraId="7EF591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 号</w:t>
                  </w:r>
                </w:p>
              </w:tc>
            </w:tr>
            <w:tr w14:paraId="549F7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76290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w:t>
                  </w:r>
                </w:p>
              </w:tc>
              <w:tc>
                <w:tcPr>
                  <w:tcW w:w="1301" w:type="dxa"/>
                  <w:vAlign w:val="center"/>
                </w:tcPr>
                <w:p w14:paraId="5740FE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乐昌市湘源金属制品有限公</w:t>
                  </w:r>
                </w:p>
                <w:p w14:paraId="1FD16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73FCE3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84708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60CC6D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13339.8</w:t>
                  </w:r>
                </w:p>
              </w:tc>
              <w:tc>
                <w:tcPr>
                  <w:tcW w:w="2499" w:type="dxa"/>
                  <w:vAlign w:val="center"/>
                </w:tcPr>
                <w:p w14:paraId="3B185F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年产铸件 11500 吨</w:t>
                  </w:r>
                </w:p>
              </w:tc>
              <w:tc>
                <w:tcPr>
                  <w:tcW w:w="1897" w:type="dxa"/>
                  <w:vAlign w:val="center"/>
                </w:tcPr>
                <w:p w14:paraId="03E410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 号、韶环乐审〔2022〕13 号</w:t>
                  </w:r>
                </w:p>
              </w:tc>
            </w:tr>
            <w:tr w14:paraId="1E10C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234423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4B4F95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w:t>
                  </w:r>
                </w:p>
              </w:tc>
              <w:tc>
                <w:tcPr>
                  <w:tcW w:w="1301" w:type="dxa"/>
                  <w:vAlign w:val="center"/>
                </w:tcPr>
                <w:p w14:paraId="06C2EA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乐昌市钜宝科技制造有限公</w:t>
                  </w:r>
                </w:p>
                <w:p w14:paraId="7134C3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4BC374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6B3431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47768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金属制品业、通用设备制造业</w:t>
                  </w:r>
                </w:p>
              </w:tc>
              <w:tc>
                <w:tcPr>
                  <w:tcW w:w="904" w:type="dxa"/>
                  <w:vAlign w:val="center"/>
                </w:tcPr>
                <w:p w14:paraId="0DC084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5C9CDE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23539.9</w:t>
                  </w:r>
                </w:p>
              </w:tc>
              <w:tc>
                <w:tcPr>
                  <w:tcW w:w="2499" w:type="dxa"/>
                  <w:vAlign w:val="center"/>
                </w:tcPr>
                <w:p w14:paraId="7B9B20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年产户外家具 49.8 万件、水泵铸件 6.52 万件、铸铁烤网 51</w:t>
                  </w:r>
                </w:p>
                <w:p w14:paraId="4131B7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万件、铸铁发热板 161 万件、机加工铸铁件 4000 吨、喷粉铸</w:t>
                  </w:r>
                </w:p>
                <w:p w14:paraId="077B15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铁件 1000 吨、搪瓷铸铁件 1000 吨</w:t>
                  </w:r>
                </w:p>
              </w:tc>
              <w:tc>
                <w:tcPr>
                  <w:tcW w:w="1897" w:type="dxa"/>
                  <w:vAlign w:val="center"/>
                </w:tcPr>
                <w:p w14:paraId="0997CF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 号、韶环乐审</w:t>
                  </w:r>
                </w:p>
                <w:p w14:paraId="1E7A78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]30 号</w:t>
                  </w:r>
                </w:p>
              </w:tc>
            </w:tr>
            <w:tr w14:paraId="4B88D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7BB9A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w:t>
                  </w:r>
                </w:p>
              </w:tc>
              <w:tc>
                <w:tcPr>
                  <w:tcW w:w="1301" w:type="dxa"/>
                  <w:vAlign w:val="center"/>
                </w:tcPr>
                <w:p w14:paraId="4BF241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乐昌胜旗精工科技有限公司</w:t>
                  </w:r>
                </w:p>
              </w:tc>
              <w:tc>
                <w:tcPr>
                  <w:tcW w:w="372" w:type="dxa"/>
                  <w:vAlign w:val="center"/>
                </w:tcPr>
                <w:p w14:paraId="534328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A3903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648F73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13322</w:t>
                  </w:r>
                </w:p>
              </w:tc>
              <w:tc>
                <w:tcPr>
                  <w:tcW w:w="2499" w:type="dxa"/>
                  <w:vAlign w:val="center"/>
                </w:tcPr>
                <w:p w14:paraId="0CB69B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年产炉架 10 万件、炉排、炉头、家具件、机械件、减速机波</w:t>
                  </w:r>
                </w:p>
                <w:p w14:paraId="67DFF3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箱各 5 万件、发热盘 3 万件</w:t>
                  </w:r>
                </w:p>
              </w:tc>
              <w:tc>
                <w:tcPr>
                  <w:tcW w:w="1897" w:type="dxa"/>
                  <w:vAlign w:val="center"/>
                </w:tcPr>
                <w:p w14:paraId="14E007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"bookmark209"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 号</w:t>
                  </w:r>
                </w:p>
              </w:tc>
            </w:tr>
            <w:tr w14:paraId="17EB6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E2918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w:t>
                  </w:r>
                </w:p>
              </w:tc>
              <w:tc>
                <w:tcPr>
                  <w:tcW w:w="1301" w:type="dxa"/>
                  <w:vAlign w:val="center"/>
                </w:tcPr>
                <w:p w14:paraId="2FB25D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乐昌市钜烽机械制造有限公</w:t>
                  </w:r>
                </w:p>
                <w:p w14:paraId="09F1A8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12BB2F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558D5F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348962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499" w:type="dxa"/>
                  <w:vAlign w:val="center"/>
                </w:tcPr>
                <w:p w14:paraId="4E2A58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年产机械铸件 1 万吨</w:t>
                  </w:r>
                </w:p>
              </w:tc>
              <w:tc>
                <w:tcPr>
                  <w:tcW w:w="1897" w:type="dxa"/>
                  <w:vAlign w:val="center"/>
                </w:tcPr>
                <w:p w14:paraId="312AD4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 号</w:t>
                  </w:r>
                </w:p>
              </w:tc>
            </w:tr>
            <w:tr w14:paraId="3BF5A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04BCD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w:t>
                  </w:r>
                </w:p>
              </w:tc>
              <w:tc>
                <w:tcPr>
                  <w:tcW w:w="1301" w:type="dxa"/>
                  <w:vAlign w:val="center"/>
                </w:tcPr>
                <w:p w14:paraId="5D4440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乐昌市金利华机械制造有限</w:t>
                  </w:r>
                </w:p>
                <w:p w14:paraId="7A21F4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63BE54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D39D8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27890B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499" w:type="dxa"/>
                  <w:vAlign w:val="center"/>
                </w:tcPr>
                <w:p w14:paraId="4FAD13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年产食品机械铸件 1 万件</w:t>
                  </w:r>
                </w:p>
              </w:tc>
              <w:tc>
                <w:tcPr>
                  <w:tcW w:w="1897" w:type="dxa"/>
                  <w:vAlign w:val="center"/>
                </w:tcPr>
                <w:p w14:paraId="299D0C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]42 号</w:t>
                  </w:r>
                </w:p>
              </w:tc>
            </w:tr>
            <w:tr w14:paraId="5F036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DCBD6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w:t>
                  </w:r>
                </w:p>
              </w:tc>
              <w:tc>
                <w:tcPr>
                  <w:tcW w:w="1301" w:type="dxa"/>
                  <w:vAlign w:val="center"/>
                </w:tcPr>
                <w:p w14:paraId="66A9A1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乐昌市宏信精工制造有限公</w:t>
                  </w:r>
                </w:p>
                <w:p w14:paraId="2ACC59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11EF1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C344B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004405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499" w:type="dxa"/>
                  <w:vAlign w:val="center"/>
                </w:tcPr>
                <w:p w14:paraId="7E0338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年产球墨模具、零件 4000 吨、灰口模具、零件 6000 吨</w:t>
                  </w:r>
                </w:p>
              </w:tc>
              <w:tc>
                <w:tcPr>
                  <w:tcW w:w="1897" w:type="dxa"/>
                  <w:vAlign w:val="center"/>
                </w:tcPr>
                <w:p w14:paraId="644276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 号、韶环乐审</w:t>
                  </w:r>
                </w:p>
                <w:p w14:paraId="368802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 号</w:t>
                  </w:r>
                </w:p>
              </w:tc>
            </w:tr>
            <w:tr w14:paraId="20794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B802E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w:t>
                  </w:r>
                </w:p>
              </w:tc>
              <w:tc>
                <w:tcPr>
                  <w:tcW w:w="1301" w:type="dxa"/>
                  <w:vAlign w:val="center"/>
                </w:tcPr>
                <w:p w14:paraId="12E4B5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乐昌市金来得实业有限公司</w:t>
                  </w:r>
                </w:p>
              </w:tc>
              <w:tc>
                <w:tcPr>
                  <w:tcW w:w="372" w:type="dxa"/>
                  <w:vAlign w:val="center"/>
                </w:tcPr>
                <w:p w14:paraId="170B44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5042A0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橡胶和塑料制品业、家具制造业</w:t>
                  </w:r>
                </w:p>
              </w:tc>
              <w:tc>
                <w:tcPr>
                  <w:tcW w:w="904" w:type="dxa"/>
                  <w:vAlign w:val="center"/>
                </w:tcPr>
                <w:p w14:paraId="17ADFB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23018.4</w:t>
                  </w:r>
                </w:p>
              </w:tc>
              <w:tc>
                <w:tcPr>
                  <w:tcW w:w="2499" w:type="dxa"/>
                  <w:vAlign w:val="center"/>
                </w:tcPr>
                <w:p w14:paraId="4F7B2F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年产卫浴、衣柜 1.6 万套；聚乙烯高分子材料 4.8 万立方米</w:t>
                  </w:r>
                </w:p>
              </w:tc>
              <w:tc>
                <w:tcPr>
                  <w:tcW w:w="1897" w:type="dxa"/>
                  <w:vAlign w:val="center"/>
                </w:tcPr>
                <w:p w14:paraId="51C473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]03 号、乐环审〔2020〕</w:t>
                  </w:r>
                </w:p>
                <w:p w14:paraId="2852D3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 号</w:t>
                  </w:r>
                </w:p>
              </w:tc>
            </w:tr>
            <w:tr w14:paraId="65D4D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330" w:type="dxa"/>
                  <w:vAlign w:val="center"/>
                </w:tcPr>
                <w:p w14:paraId="64A450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0B52D3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w:t>
                  </w:r>
                </w:p>
              </w:tc>
              <w:tc>
                <w:tcPr>
                  <w:tcW w:w="1301" w:type="dxa"/>
                  <w:vAlign w:val="center"/>
                </w:tcPr>
                <w:p w14:paraId="60C47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广东沃府实业有限公司</w:t>
                  </w:r>
                </w:p>
              </w:tc>
              <w:tc>
                <w:tcPr>
                  <w:tcW w:w="372" w:type="dxa"/>
                  <w:vAlign w:val="center"/>
                </w:tcPr>
                <w:p w14:paraId="130E4D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FEE59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2FCA6D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业、废弃资源综合</w:t>
                  </w:r>
                </w:p>
                <w:p w14:paraId="12EEA1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利用业</w:t>
                  </w:r>
                </w:p>
              </w:tc>
              <w:tc>
                <w:tcPr>
                  <w:tcW w:w="904" w:type="dxa"/>
                  <w:vAlign w:val="center"/>
                </w:tcPr>
                <w:p w14:paraId="64A4AB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73337</w:t>
                  </w:r>
                </w:p>
              </w:tc>
              <w:tc>
                <w:tcPr>
                  <w:tcW w:w="2499" w:type="dxa"/>
                  <w:vAlign w:val="center"/>
                </w:tcPr>
                <w:p w14:paraId="4EB2D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年产改性塑料 10 万吨、家电塑料配件2000 吨</w:t>
                  </w:r>
                </w:p>
              </w:tc>
              <w:tc>
                <w:tcPr>
                  <w:tcW w:w="1897" w:type="dxa"/>
                  <w:vAlign w:val="center"/>
                </w:tcPr>
                <w:p w14:paraId="081BE4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177 号、乐环审</w:t>
                  </w:r>
                </w:p>
                <w:p w14:paraId="7386D2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〔2021〕05 号、韶环乐审〔2025〕</w:t>
                  </w:r>
                </w:p>
                <w:p w14:paraId="304558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 号</w:t>
                  </w:r>
                </w:p>
              </w:tc>
            </w:tr>
            <w:tr w14:paraId="0A49F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5280EA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163C10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w:t>
                  </w:r>
                </w:p>
              </w:tc>
              <w:tc>
                <w:tcPr>
                  <w:tcW w:w="1301" w:type="dxa"/>
                  <w:vAlign w:val="center"/>
                </w:tcPr>
                <w:p w14:paraId="4980BF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韶关乐淇包装材料有限公司</w:t>
                  </w:r>
                </w:p>
              </w:tc>
              <w:tc>
                <w:tcPr>
                  <w:tcW w:w="372" w:type="dxa"/>
                  <w:vAlign w:val="center"/>
                </w:tcPr>
                <w:p w14:paraId="6028D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9880B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4A2FC9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业、废弃资源综合</w:t>
                  </w:r>
                </w:p>
                <w:p w14:paraId="021182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利用业</w:t>
                  </w:r>
                </w:p>
              </w:tc>
              <w:tc>
                <w:tcPr>
                  <w:tcW w:w="904" w:type="dxa"/>
                  <w:vAlign w:val="center"/>
                </w:tcPr>
                <w:p w14:paraId="170049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50991.9</w:t>
                  </w:r>
                </w:p>
              </w:tc>
              <w:tc>
                <w:tcPr>
                  <w:tcW w:w="2499" w:type="dxa"/>
                  <w:vAlign w:val="center"/>
                </w:tcPr>
                <w:p w14:paraId="707019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年产塑料新材料 7.22 万吨</w:t>
                  </w:r>
                </w:p>
              </w:tc>
              <w:tc>
                <w:tcPr>
                  <w:tcW w:w="1897" w:type="dxa"/>
                  <w:vAlign w:val="center"/>
                </w:tcPr>
                <w:p w14:paraId="4C4D3E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]04 号</w:t>
                  </w:r>
                </w:p>
              </w:tc>
            </w:tr>
            <w:tr w14:paraId="266FA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B75DE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w:t>
                  </w:r>
                </w:p>
              </w:tc>
              <w:tc>
                <w:tcPr>
                  <w:tcW w:w="1301" w:type="dxa"/>
                  <w:vAlign w:val="center"/>
                </w:tcPr>
                <w:p w14:paraId="4B4CE8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乐昌市华国艺术装饰建材有</w:t>
                  </w:r>
                </w:p>
                <w:p w14:paraId="410ED5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72" w:type="dxa"/>
                  <w:vAlign w:val="center"/>
                </w:tcPr>
                <w:p w14:paraId="3DDC7D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5D403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203CF7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27375.05</w:t>
                  </w:r>
                </w:p>
              </w:tc>
              <w:tc>
                <w:tcPr>
                  <w:tcW w:w="2499" w:type="dxa"/>
                  <w:vAlign w:val="center"/>
                </w:tcPr>
                <w:p w14:paraId="5C4990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1500 吨、聚氨酯装饰制品 250 吨</w:t>
                  </w:r>
                </w:p>
              </w:tc>
              <w:tc>
                <w:tcPr>
                  <w:tcW w:w="1897" w:type="dxa"/>
                  <w:vAlign w:val="center"/>
                </w:tcPr>
                <w:p w14:paraId="04A125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 号</w:t>
                  </w:r>
                </w:p>
              </w:tc>
            </w:tr>
            <w:tr w14:paraId="6FB93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55D5C7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w:t>
                  </w:r>
                </w:p>
              </w:tc>
              <w:tc>
                <w:tcPr>
                  <w:tcW w:w="1301" w:type="dxa"/>
                  <w:vAlign w:val="center"/>
                </w:tcPr>
                <w:p w14:paraId="6E76B1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汇隽新材料科技（乐昌）有限</w:t>
                  </w:r>
                </w:p>
                <w:p w14:paraId="0A0C74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759672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30268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1D408D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7349.3</w:t>
                  </w:r>
                </w:p>
              </w:tc>
              <w:tc>
                <w:tcPr>
                  <w:tcW w:w="2499" w:type="dxa"/>
                  <w:vAlign w:val="center"/>
                </w:tcPr>
                <w:p w14:paraId="6DF50D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750 吨、聚氨酯装饰制品 250 吨</w:t>
                  </w:r>
                </w:p>
              </w:tc>
              <w:tc>
                <w:tcPr>
                  <w:tcW w:w="1897" w:type="dxa"/>
                  <w:vAlign w:val="center"/>
                </w:tcPr>
                <w:p w14:paraId="0CF68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13 号</w:t>
                  </w:r>
                </w:p>
              </w:tc>
            </w:tr>
            <w:tr w14:paraId="304C8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0" w:type="dxa"/>
                  <w:vAlign w:val="center"/>
                </w:tcPr>
                <w:p w14:paraId="35CA8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w:t>
                  </w:r>
                </w:p>
              </w:tc>
              <w:tc>
                <w:tcPr>
                  <w:tcW w:w="1301" w:type="dxa"/>
                  <w:vAlign w:val="center"/>
                </w:tcPr>
                <w:p w14:paraId="10DD44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广东宝创环保新材料制品有</w:t>
                  </w:r>
                </w:p>
                <w:p w14:paraId="132EB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72" w:type="dxa"/>
                  <w:vAlign w:val="center"/>
                </w:tcPr>
                <w:p w14:paraId="56AFB7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1AC1D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904" w:type="dxa"/>
                  <w:vAlign w:val="center"/>
                </w:tcPr>
                <w:p w14:paraId="145DB8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32671.2</w:t>
                  </w:r>
                </w:p>
              </w:tc>
              <w:tc>
                <w:tcPr>
                  <w:tcW w:w="2499" w:type="dxa"/>
                  <w:vAlign w:val="center"/>
                </w:tcPr>
                <w:p w14:paraId="515ECB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年产热轧无纺布 2800 吨、口罩 30000 万片、纺粘熔喷无纺布</w:t>
                  </w:r>
                </w:p>
                <w:p w14:paraId="21B3A8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7440 吨、衬布 5720 万米、热风无纺布 860 吨、复合芯体 1430</w:t>
                  </w:r>
                </w:p>
                <w:p w14:paraId="0B490F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吨、湿巾 360 万包、熔喷无纺布 1500 吨、网膜无纺布 825</w:t>
                  </w:r>
                </w:p>
                <w:p w14:paraId="37F503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万米、无纺布抽取式干巾 57 万盒、无纺布床单 570 万张、口</w:t>
                  </w:r>
                </w:p>
                <w:p w14:paraId="5F0240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罩衬布 2000 万米、其他衬布 7000 万米</w:t>
                  </w:r>
                </w:p>
              </w:tc>
              <w:tc>
                <w:tcPr>
                  <w:tcW w:w="1897" w:type="dxa"/>
                  <w:vAlign w:val="center"/>
                </w:tcPr>
                <w:p w14:paraId="7CD2D6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"bookmark219"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 号、乐环审〔2020〕 23 号、韶环乐审〔2021〕26 号</w:t>
                  </w:r>
                </w:p>
              </w:tc>
            </w:tr>
            <w:tr w14:paraId="48033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D0656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w:t>
                  </w:r>
                </w:p>
              </w:tc>
              <w:tc>
                <w:tcPr>
                  <w:tcW w:w="1301" w:type="dxa"/>
                  <w:vAlign w:val="center"/>
                </w:tcPr>
                <w:p w14:paraId="7FB6DE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广东泰邦耐磨金属科技有限</w:t>
                  </w:r>
                </w:p>
                <w:p w14:paraId="4D012D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06369C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45771E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40C8D4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33583</w:t>
                  </w:r>
                </w:p>
              </w:tc>
              <w:tc>
                <w:tcPr>
                  <w:tcW w:w="2499" w:type="dxa"/>
                  <w:vAlign w:val="center"/>
                </w:tcPr>
                <w:p w14:paraId="2A6BC8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 1 万吨</w:t>
                  </w:r>
                </w:p>
              </w:tc>
              <w:tc>
                <w:tcPr>
                  <w:tcW w:w="1897" w:type="dxa"/>
                  <w:vAlign w:val="center"/>
                </w:tcPr>
                <w:p w14:paraId="0D75DD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17 号</w:t>
                  </w:r>
                </w:p>
              </w:tc>
            </w:tr>
            <w:tr w14:paraId="1FE7F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0" w:type="dxa"/>
                  <w:vAlign w:val="center"/>
                </w:tcPr>
                <w:p w14:paraId="39E849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w:t>
                  </w:r>
                </w:p>
              </w:tc>
              <w:tc>
                <w:tcPr>
                  <w:tcW w:w="1301" w:type="dxa"/>
                  <w:vAlign w:val="center"/>
                </w:tcPr>
                <w:p w14:paraId="5A14EC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乐昌市明俊铸造有限公司</w:t>
                  </w:r>
                </w:p>
              </w:tc>
              <w:tc>
                <w:tcPr>
                  <w:tcW w:w="372" w:type="dxa"/>
                  <w:vAlign w:val="center"/>
                </w:tcPr>
                <w:p w14:paraId="2CA856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4E6D3C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66A0EA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12666</w:t>
                  </w:r>
                </w:p>
              </w:tc>
              <w:tc>
                <w:tcPr>
                  <w:tcW w:w="2499" w:type="dxa"/>
                  <w:vAlign w:val="center"/>
                </w:tcPr>
                <w:p w14:paraId="44AF62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年产水泵类铸件、油泵 6000 吨</w:t>
                  </w:r>
                </w:p>
              </w:tc>
              <w:tc>
                <w:tcPr>
                  <w:tcW w:w="1897" w:type="dxa"/>
                  <w:vAlign w:val="center"/>
                </w:tcPr>
                <w:p w14:paraId="70A5AF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12 号、乐环审</w:t>
                  </w:r>
                </w:p>
                <w:p w14:paraId="68DC53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 号、韶环乐审〔2022〕14</w:t>
                  </w:r>
                </w:p>
                <w:p w14:paraId="6ACB83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号</w:t>
                  </w:r>
                </w:p>
              </w:tc>
            </w:tr>
            <w:tr w14:paraId="54392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56F28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19</w:t>
                  </w:r>
                </w:p>
              </w:tc>
              <w:tc>
                <w:tcPr>
                  <w:tcW w:w="1301" w:type="dxa"/>
                  <w:vAlign w:val="center"/>
                </w:tcPr>
                <w:p w14:paraId="1CCF4A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乐昌市翔辉皮革有限公司</w:t>
                  </w:r>
                </w:p>
              </w:tc>
              <w:tc>
                <w:tcPr>
                  <w:tcW w:w="372" w:type="dxa"/>
                  <w:vAlign w:val="center"/>
                </w:tcPr>
                <w:p w14:paraId="386C64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89198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皮革、毛皮、羽毛及其制品和制鞋业</w:t>
                  </w:r>
                </w:p>
              </w:tc>
              <w:tc>
                <w:tcPr>
                  <w:tcW w:w="904" w:type="dxa"/>
                  <w:vAlign w:val="center"/>
                </w:tcPr>
                <w:p w14:paraId="62B616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14014.6</w:t>
                  </w:r>
                </w:p>
              </w:tc>
              <w:tc>
                <w:tcPr>
                  <w:tcW w:w="2499" w:type="dxa"/>
                  <w:vAlign w:val="center"/>
                </w:tcPr>
                <w:p w14:paraId="5A31D8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年产二层贴膜榔皮 200 万呎、3 贴膜 PU0 万码</w:t>
                  </w:r>
                </w:p>
              </w:tc>
              <w:tc>
                <w:tcPr>
                  <w:tcW w:w="1897" w:type="dxa"/>
                  <w:vAlign w:val="center"/>
                </w:tcPr>
                <w:p w14:paraId="7F96D7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]07 号</w:t>
                  </w:r>
                </w:p>
              </w:tc>
            </w:tr>
            <w:tr w14:paraId="1A44F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090D6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w:t>
                  </w:r>
                </w:p>
              </w:tc>
              <w:tc>
                <w:tcPr>
                  <w:tcW w:w="1301" w:type="dxa"/>
                  <w:vAlign w:val="center"/>
                </w:tcPr>
                <w:p w14:paraId="1052D0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广东欧匹特智能装备有限公</w:t>
                  </w:r>
                </w:p>
                <w:p w14:paraId="5DB9F4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144C0C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E5252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904" w:type="dxa"/>
                  <w:vAlign w:val="center"/>
                </w:tcPr>
                <w:p w14:paraId="1602D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26032</w:t>
                  </w:r>
                </w:p>
              </w:tc>
              <w:tc>
                <w:tcPr>
                  <w:tcW w:w="2499" w:type="dxa"/>
                  <w:vAlign w:val="center"/>
                </w:tcPr>
                <w:p w14:paraId="779D6B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年产数控机床 450 台</w:t>
                  </w:r>
                </w:p>
              </w:tc>
              <w:tc>
                <w:tcPr>
                  <w:tcW w:w="1897" w:type="dxa"/>
                  <w:vAlign w:val="center"/>
                </w:tcPr>
                <w:p w14:paraId="35CFEE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乐环审〔2020〕16 号</w:t>
                  </w:r>
                </w:p>
              </w:tc>
            </w:tr>
            <w:tr w14:paraId="2DA55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291B7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w:t>
                  </w:r>
                </w:p>
              </w:tc>
              <w:tc>
                <w:tcPr>
                  <w:tcW w:w="1301" w:type="dxa"/>
                  <w:vAlign w:val="center"/>
                </w:tcPr>
                <w:p w14:paraId="05743D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乐昌市泰瑞菲实业有限公司</w:t>
                  </w:r>
                </w:p>
              </w:tc>
              <w:tc>
                <w:tcPr>
                  <w:tcW w:w="372" w:type="dxa"/>
                  <w:vAlign w:val="center"/>
                </w:tcPr>
                <w:p w14:paraId="0D157F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4A99E5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20C01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15266</w:t>
                  </w:r>
                </w:p>
              </w:tc>
              <w:tc>
                <w:tcPr>
                  <w:tcW w:w="2499" w:type="dxa"/>
                  <w:vAlign w:val="center"/>
                </w:tcPr>
                <w:p w14:paraId="4A2867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年产新型塑料装饰材料 1 万吨</w:t>
                  </w:r>
                </w:p>
              </w:tc>
              <w:tc>
                <w:tcPr>
                  <w:tcW w:w="1897" w:type="dxa"/>
                  <w:vAlign w:val="center"/>
                </w:tcPr>
                <w:p w14:paraId="0A074E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]55 号</w:t>
                  </w:r>
                </w:p>
              </w:tc>
            </w:tr>
            <w:tr w14:paraId="5F9D8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8A20F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22</w:t>
                  </w:r>
                </w:p>
              </w:tc>
              <w:tc>
                <w:tcPr>
                  <w:tcW w:w="1301" w:type="dxa"/>
                  <w:vAlign w:val="center"/>
                </w:tcPr>
                <w:p w14:paraId="6396B5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韶关韶瑞铸钢有限公司</w:t>
                  </w:r>
                </w:p>
              </w:tc>
              <w:tc>
                <w:tcPr>
                  <w:tcW w:w="372" w:type="dxa"/>
                  <w:vAlign w:val="center"/>
                </w:tcPr>
                <w:p w14:paraId="6703DB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16D08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22ACFD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75085</w:t>
                  </w:r>
                </w:p>
              </w:tc>
              <w:tc>
                <w:tcPr>
                  <w:tcW w:w="2499" w:type="dxa"/>
                  <w:vAlign w:val="center"/>
                </w:tcPr>
                <w:p w14:paraId="4EF6E3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年产铸钢件、铸铁件 4.1 万吨</w:t>
                  </w:r>
                </w:p>
              </w:tc>
              <w:tc>
                <w:tcPr>
                  <w:tcW w:w="1897" w:type="dxa"/>
                  <w:vAlign w:val="center"/>
                </w:tcPr>
                <w:p w14:paraId="49D0F33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163 号、乐环审 [</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]01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19 号</w:t>
                  </w:r>
                </w:p>
              </w:tc>
            </w:tr>
            <w:tr w14:paraId="2E442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D0B2A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w:t>
                  </w:r>
                </w:p>
              </w:tc>
              <w:tc>
                <w:tcPr>
                  <w:tcW w:w="1301" w:type="dxa"/>
                  <w:vAlign w:val="center"/>
                </w:tcPr>
                <w:p w14:paraId="5622F1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精信（乐昌）机械有限公司</w:t>
                  </w:r>
                </w:p>
              </w:tc>
              <w:tc>
                <w:tcPr>
                  <w:tcW w:w="372" w:type="dxa"/>
                  <w:vAlign w:val="center"/>
                </w:tcPr>
                <w:p w14:paraId="3D5F56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90EC3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215E3E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16950.3</w:t>
                  </w:r>
                </w:p>
              </w:tc>
              <w:tc>
                <w:tcPr>
                  <w:tcW w:w="2499" w:type="dxa"/>
                  <w:vAlign w:val="center"/>
                </w:tcPr>
                <w:p w14:paraId="459AF8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年产人防门配件 11250 套</w:t>
                  </w:r>
                </w:p>
              </w:tc>
              <w:tc>
                <w:tcPr>
                  <w:tcW w:w="1897" w:type="dxa"/>
                  <w:vAlign w:val="center"/>
                </w:tcPr>
                <w:p w14:paraId="57A205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韶环乐审〔2021〕25 号</w:t>
                  </w:r>
                </w:p>
              </w:tc>
            </w:tr>
            <w:tr w14:paraId="3DC58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524F86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w:t>
                  </w:r>
                </w:p>
              </w:tc>
              <w:tc>
                <w:tcPr>
                  <w:tcW w:w="1301" w:type="dxa"/>
                  <w:vAlign w:val="center"/>
                </w:tcPr>
                <w:p w14:paraId="75D600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韶关高尔德防雷科技有限公</w:t>
                  </w:r>
                </w:p>
                <w:p w14:paraId="75F6F2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2E709D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61168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904" w:type="dxa"/>
                  <w:vAlign w:val="center"/>
                </w:tcPr>
                <w:p w14:paraId="0F46F3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15561.5</w:t>
                  </w:r>
                </w:p>
              </w:tc>
              <w:tc>
                <w:tcPr>
                  <w:tcW w:w="2499" w:type="dxa"/>
                  <w:vAlign w:val="center"/>
                </w:tcPr>
                <w:p w14:paraId="7C2EB9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年产防雷电子器件 10 万套、3 万台移动通信基站电源、 480</w:t>
                  </w:r>
                </w:p>
                <w:p w14:paraId="0EB876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 AH 铁锂电池</w:t>
                  </w:r>
                </w:p>
              </w:tc>
              <w:tc>
                <w:tcPr>
                  <w:tcW w:w="1897" w:type="dxa"/>
                  <w:vAlign w:val="center"/>
                </w:tcPr>
                <w:p w14:paraId="7162FE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"bookmark229"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2015</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]240 号、乐环审〔2020〕12 号</w:t>
                  </w:r>
                </w:p>
              </w:tc>
            </w:tr>
            <w:tr w14:paraId="2B5E9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CA849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w:t>
                  </w:r>
                </w:p>
              </w:tc>
              <w:tc>
                <w:tcPr>
                  <w:tcW w:w="1301" w:type="dxa"/>
                  <w:vAlign w:val="center"/>
                </w:tcPr>
                <w:p w14:paraId="6D243B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韶关博尔兹阀门工业有限公</w:t>
                  </w:r>
                </w:p>
                <w:p w14:paraId="0FA3BA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5FFCB1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09619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75B940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20198.7</w:t>
                  </w:r>
                </w:p>
              </w:tc>
              <w:tc>
                <w:tcPr>
                  <w:tcW w:w="2499" w:type="dxa"/>
                  <w:vAlign w:val="center"/>
                </w:tcPr>
                <w:p w14:paraId="2DEAA6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年产阀门 5000 件、铸钢件 1.2 万件、铸铁件2.3 万件、机械</w:t>
                  </w:r>
                </w:p>
                <w:p w14:paraId="3425F6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配件 1 万件</w:t>
                  </w:r>
                </w:p>
              </w:tc>
              <w:tc>
                <w:tcPr>
                  <w:tcW w:w="1897" w:type="dxa"/>
                  <w:vAlign w:val="center"/>
                </w:tcPr>
                <w:p w14:paraId="741A7E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]94 号、乐环审〔2018〕</w:t>
                  </w:r>
                </w:p>
                <w:p w14:paraId="4428D1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65 号</w:t>
                  </w:r>
                </w:p>
              </w:tc>
            </w:tr>
            <w:tr w14:paraId="27243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86F90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w:t>
                  </w:r>
                </w:p>
              </w:tc>
              <w:tc>
                <w:tcPr>
                  <w:tcW w:w="1301" w:type="dxa"/>
                  <w:vAlign w:val="center"/>
                </w:tcPr>
                <w:p w14:paraId="01BDAB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广东科拓电子元件有限公司</w:t>
                  </w:r>
                </w:p>
              </w:tc>
              <w:tc>
                <w:tcPr>
                  <w:tcW w:w="372" w:type="dxa"/>
                  <w:vAlign w:val="center"/>
                </w:tcPr>
                <w:p w14:paraId="57103F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25965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904" w:type="dxa"/>
                  <w:vAlign w:val="center"/>
                </w:tcPr>
                <w:p w14:paraId="683F49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1720.83</w:t>
                  </w:r>
                </w:p>
              </w:tc>
              <w:tc>
                <w:tcPr>
                  <w:tcW w:w="2499" w:type="dxa"/>
                  <w:vAlign w:val="center"/>
                </w:tcPr>
                <w:p w14:paraId="2BFCDB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年产电容、电阻器 8 亿只</w:t>
                  </w:r>
                </w:p>
              </w:tc>
              <w:tc>
                <w:tcPr>
                  <w:tcW w:w="1897" w:type="dxa"/>
                  <w:vAlign w:val="center"/>
                </w:tcPr>
                <w:p w14:paraId="3E6E2F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韶环乐审〔2021〕13 号</w:t>
                  </w:r>
                </w:p>
              </w:tc>
            </w:tr>
            <w:tr w14:paraId="7BCF5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20A70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w:t>
                  </w:r>
                </w:p>
              </w:tc>
              <w:tc>
                <w:tcPr>
                  <w:tcW w:w="1301" w:type="dxa"/>
                  <w:vAlign w:val="center"/>
                </w:tcPr>
                <w:p w14:paraId="2AC19F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宇创箱包制品（韶关市乐昌）</w:t>
                  </w:r>
                </w:p>
                <w:p w14:paraId="3ACF9B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有限公司</w:t>
                  </w:r>
                </w:p>
              </w:tc>
              <w:tc>
                <w:tcPr>
                  <w:tcW w:w="372" w:type="dxa"/>
                  <w:vAlign w:val="center"/>
                </w:tcPr>
                <w:p w14:paraId="291AA4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375FA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皮革、毛皮、羽毛及其制品和制鞋业</w:t>
                  </w:r>
                </w:p>
              </w:tc>
              <w:tc>
                <w:tcPr>
                  <w:tcW w:w="904" w:type="dxa"/>
                  <w:vAlign w:val="center"/>
                </w:tcPr>
                <w:p w14:paraId="4DF98E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1200</w:t>
                  </w:r>
                </w:p>
              </w:tc>
              <w:tc>
                <w:tcPr>
                  <w:tcW w:w="2499" w:type="dxa"/>
                  <w:vAlign w:val="center"/>
                </w:tcPr>
                <w:p w14:paraId="3DF097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年产钱包 30 万个，手袋 50 万个</w:t>
                  </w:r>
                </w:p>
              </w:tc>
              <w:tc>
                <w:tcPr>
                  <w:tcW w:w="1897" w:type="dxa"/>
                  <w:vAlign w:val="center"/>
                </w:tcPr>
                <w:p w14:paraId="2D79BF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乐环审〔2020〕09 号</w:t>
                  </w:r>
                </w:p>
              </w:tc>
            </w:tr>
            <w:tr w14:paraId="57D74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99783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28</w:t>
                  </w:r>
                </w:p>
              </w:tc>
              <w:tc>
                <w:tcPr>
                  <w:tcW w:w="1301" w:type="dxa"/>
                  <w:vAlign w:val="center"/>
                </w:tcPr>
                <w:p w14:paraId="194E9D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广东启轮金属制品有限公司</w:t>
                  </w:r>
                </w:p>
              </w:tc>
              <w:tc>
                <w:tcPr>
                  <w:tcW w:w="372" w:type="dxa"/>
                  <w:vAlign w:val="center"/>
                </w:tcPr>
                <w:p w14:paraId="7EA540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29517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72D071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10679.3</w:t>
                  </w:r>
                </w:p>
              </w:tc>
              <w:tc>
                <w:tcPr>
                  <w:tcW w:w="2499" w:type="dxa"/>
                  <w:vAlign w:val="center"/>
                </w:tcPr>
                <w:p w14:paraId="4A9F83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年产脚轮 100 万个</w:t>
                  </w:r>
                </w:p>
              </w:tc>
              <w:tc>
                <w:tcPr>
                  <w:tcW w:w="1897" w:type="dxa"/>
                  <w:vAlign w:val="center"/>
                </w:tcPr>
                <w:p w14:paraId="3BE82D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韶环乐审〔2021〕22 号、韶环乐审〔2025〕09 号</w:t>
                  </w:r>
                </w:p>
              </w:tc>
            </w:tr>
            <w:tr w14:paraId="1B84B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0" w:type="dxa"/>
                  <w:vAlign w:val="center"/>
                </w:tcPr>
                <w:p w14:paraId="76A1E5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w:t>
                  </w:r>
                </w:p>
              </w:tc>
              <w:tc>
                <w:tcPr>
                  <w:tcW w:w="1301" w:type="dxa"/>
                  <w:vAlign w:val="center"/>
                </w:tcPr>
                <w:p w14:paraId="3F43FF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深圳艾尔康电子元器件有限公司乐昌分公司</w:t>
                  </w:r>
                </w:p>
              </w:tc>
              <w:tc>
                <w:tcPr>
                  <w:tcW w:w="372" w:type="dxa"/>
                  <w:vAlign w:val="center"/>
                </w:tcPr>
                <w:p w14:paraId="1F79FE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5C706B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904" w:type="dxa"/>
                  <w:vAlign w:val="center"/>
                </w:tcPr>
                <w:p w14:paraId="34081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20006.9</w:t>
                  </w:r>
                </w:p>
              </w:tc>
              <w:tc>
                <w:tcPr>
                  <w:tcW w:w="2499" w:type="dxa"/>
                  <w:vAlign w:val="center"/>
                </w:tcPr>
                <w:p w14:paraId="13A80E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年产探针 422 万、接线端子及其零部件 36000 万、感应器及其零部件 200 万、接插件及其零部件 2500 万、模具 50 套、五金产品 30000 万、塑胶配件 30000 万、自动化装备 50 台</w:t>
                  </w:r>
                </w:p>
              </w:tc>
              <w:tc>
                <w:tcPr>
                  <w:tcW w:w="1897" w:type="dxa"/>
                  <w:vAlign w:val="center"/>
                </w:tcPr>
                <w:p w14:paraId="1AD71F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 号</w:t>
                  </w:r>
                </w:p>
              </w:tc>
            </w:tr>
            <w:tr w14:paraId="1DA5D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D465E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30</w:t>
                  </w:r>
                </w:p>
              </w:tc>
              <w:tc>
                <w:tcPr>
                  <w:tcW w:w="1301" w:type="dxa"/>
                  <w:vAlign w:val="center"/>
                </w:tcPr>
                <w:p w14:paraId="791320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乐昌市缔恒科技有限公司</w:t>
                  </w:r>
                </w:p>
              </w:tc>
              <w:tc>
                <w:tcPr>
                  <w:tcW w:w="372" w:type="dxa"/>
                  <w:vAlign w:val="center"/>
                </w:tcPr>
                <w:p w14:paraId="4E6A5A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68FAC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904" w:type="dxa"/>
                  <w:vAlign w:val="center"/>
                </w:tcPr>
                <w:p w14:paraId="7AF82B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5000</w:t>
                  </w:r>
                </w:p>
              </w:tc>
              <w:tc>
                <w:tcPr>
                  <w:tcW w:w="2499" w:type="dxa"/>
                  <w:vAlign w:val="center"/>
                </w:tcPr>
                <w:p w14:paraId="3BC562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年产金刚石复合片 50 万片</w:t>
                  </w:r>
                </w:p>
              </w:tc>
              <w:tc>
                <w:tcPr>
                  <w:tcW w:w="1897" w:type="dxa"/>
                  <w:vAlign w:val="center"/>
                </w:tcPr>
                <w:p w14:paraId="269487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 号</w:t>
                  </w:r>
                </w:p>
              </w:tc>
            </w:tr>
            <w:tr w14:paraId="2DAF9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67F3E8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31</w:t>
                  </w:r>
                </w:p>
              </w:tc>
              <w:tc>
                <w:tcPr>
                  <w:tcW w:w="1301" w:type="dxa"/>
                  <w:vAlign w:val="center"/>
                </w:tcPr>
                <w:p w14:paraId="057011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乐昌市盛昌钢构有限公司</w:t>
                  </w:r>
                </w:p>
              </w:tc>
              <w:tc>
                <w:tcPr>
                  <w:tcW w:w="372" w:type="dxa"/>
                  <w:vAlign w:val="center"/>
                </w:tcPr>
                <w:p w14:paraId="3A6901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4E9E2A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6B04CF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9000</w:t>
                  </w:r>
                </w:p>
              </w:tc>
              <w:tc>
                <w:tcPr>
                  <w:tcW w:w="2499" w:type="dxa"/>
                  <w:vAlign w:val="center"/>
                </w:tcPr>
                <w:p w14:paraId="6AC139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 500 吨钢结构</w:t>
                  </w:r>
                </w:p>
              </w:tc>
              <w:tc>
                <w:tcPr>
                  <w:tcW w:w="1897" w:type="dxa"/>
                  <w:vAlign w:val="center"/>
                </w:tcPr>
                <w:p w14:paraId="6E4104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 号</w:t>
                  </w:r>
                </w:p>
              </w:tc>
            </w:tr>
            <w:tr w14:paraId="2142B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29F84D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w:t>
                  </w:r>
                </w:p>
              </w:tc>
              <w:tc>
                <w:tcPr>
                  <w:tcW w:w="1301" w:type="dxa"/>
                  <w:vAlign w:val="center"/>
                </w:tcPr>
                <w:p w14:paraId="44A70F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乐昌市安莉琪服饰有限公司</w:t>
                  </w:r>
                </w:p>
              </w:tc>
              <w:tc>
                <w:tcPr>
                  <w:tcW w:w="372" w:type="dxa"/>
                  <w:vAlign w:val="center"/>
                </w:tcPr>
                <w:p w14:paraId="32502B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57378F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纺织服装、服饰业</w:t>
                  </w:r>
                </w:p>
              </w:tc>
              <w:tc>
                <w:tcPr>
                  <w:tcW w:w="904" w:type="dxa"/>
                  <w:vAlign w:val="center"/>
                </w:tcPr>
                <w:p w14:paraId="0221CC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13164.82</w:t>
                  </w:r>
                </w:p>
              </w:tc>
              <w:tc>
                <w:tcPr>
                  <w:tcW w:w="2499" w:type="dxa"/>
                  <w:vAlign w:val="center"/>
                </w:tcPr>
                <w:p w14:paraId="5C5237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600 万件服装</w:t>
                  </w:r>
                </w:p>
              </w:tc>
              <w:tc>
                <w:tcPr>
                  <w:tcW w:w="1897" w:type="dxa"/>
                  <w:vAlign w:val="center"/>
                </w:tcPr>
                <w:p w14:paraId="4D89E2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]61 号</w:t>
                  </w:r>
                </w:p>
              </w:tc>
            </w:tr>
            <w:tr w14:paraId="78881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740CD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w:t>
                  </w:r>
                </w:p>
              </w:tc>
              <w:tc>
                <w:tcPr>
                  <w:tcW w:w="1301" w:type="dxa"/>
                  <w:vAlign w:val="center"/>
                </w:tcPr>
                <w:p w14:paraId="379724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乐昌市宏泰机械制造有限公</w:t>
                  </w:r>
                </w:p>
                <w:p w14:paraId="715B44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4BE658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20289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4BF7E6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17320</w:t>
                  </w:r>
                </w:p>
              </w:tc>
              <w:tc>
                <w:tcPr>
                  <w:tcW w:w="2499" w:type="dxa"/>
                  <w:vAlign w:val="center"/>
                </w:tcPr>
                <w:p w14:paraId="441F24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年产铸钢件 1.5 万吨、铸铁件 5000 吨</w:t>
                  </w:r>
                </w:p>
              </w:tc>
              <w:tc>
                <w:tcPr>
                  <w:tcW w:w="1897" w:type="dxa"/>
                  <w:vAlign w:val="center"/>
                </w:tcPr>
                <w:p w14:paraId="6DA65E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 号、乐环审〔2019〕</w:t>
                  </w:r>
                </w:p>
                <w:p w14:paraId="26D208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 号</w:t>
                  </w:r>
                </w:p>
              </w:tc>
            </w:tr>
            <w:tr w14:paraId="7950F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jc w:val="center"/>
              </w:trPr>
              <w:tc>
                <w:tcPr>
                  <w:tcW w:w="330" w:type="dxa"/>
                  <w:vAlign w:val="center"/>
                </w:tcPr>
                <w:p w14:paraId="749346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34</w:t>
                  </w:r>
                </w:p>
              </w:tc>
              <w:tc>
                <w:tcPr>
                  <w:tcW w:w="1301" w:type="dxa"/>
                  <w:vAlign w:val="center"/>
                </w:tcPr>
                <w:p w14:paraId="567CA7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乐昌市特安消防器材有限公</w:t>
                  </w:r>
                </w:p>
                <w:p w14:paraId="5ABABC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28BFD5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3B073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904" w:type="dxa"/>
                  <w:vAlign w:val="center"/>
                </w:tcPr>
                <w:p w14:paraId="0E15FA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1283.1</w:t>
                  </w:r>
                </w:p>
              </w:tc>
              <w:tc>
                <w:tcPr>
                  <w:tcW w:w="2499" w:type="dxa"/>
                  <w:vAlign w:val="center"/>
                </w:tcPr>
                <w:p w14:paraId="6F2F81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60 万件（含霍加拉特剂生产 600</w:t>
                  </w:r>
                </w:p>
                <w:p w14:paraId="512FDE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吨），逃生缓降器 3000 套，急逃生绳 3000 条，消防防护服2</w:t>
                  </w:r>
                </w:p>
                <w:p w14:paraId="5B21B2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万套，家庭应急供氧组合装备 1500 台，灭火毯 3000 张，箔</w:t>
                  </w:r>
                </w:p>
                <w:p w14:paraId="7094A0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隔热服 3000 套，以及应急包、应急箱 6000 套等</w:t>
                  </w:r>
                </w:p>
              </w:tc>
              <w:tc>
                <w:tcPr>
                  <w:tcW w:w="1897" w:type="dxa"/>
                  <w:vAlign w:val="center"/>
                </w:tcPr>
                <w:p w14:paraId="5496C7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 号</w:t>
                  </w:r>
                </w:p>
              </w:tc>
            </w:tr>
            <w:tr w14:paraId="472F0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5D69B9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w:t>
                  </w:r>
                </w:p>
              </w:tc>
              <w:tc>
                <w:tcPr>
                  <w:tcW w:w="1301" w:type="dxa"/>
                  <w:vAlign w:val="center"/>
                </w:tcPr>
                <w:p w14:paraId="512211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乐昌市同路单采血浆有限公</w:t>
                  </w:r>
                </w:p>
                <w:p w14:paraId="530C3C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100FFD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2889D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卫生</w:t>
                  </w:r>
                </w:p>
              </w:tc>
              <w:tc>
                <w:tcPr>
                  <w:tcW w:w="904" w:type="dxa"/>
                  <w:vAlign w:val="center"/>
                </w:tcPr>
                <w:p w14:paraId="5C6974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9379</w:t>
                  </w:r>
                </w:p>
              </w:tc>
              <w:tc>
                <w:tcPr>
                  <w:tcW w:w="2499" w:type="dxa"/>
                  <w:vAlign w:val="center"/>
                </w:tcPr>
                <w:p w14:paraId="10A6F4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采浆量为 40t/a</w:t>
                  </w:r>
                </w:p>
              </w:tc>
              <w:tc>
                <w:tcPr>
                  <w:tcW w:w="1897" w:type="dxa"/>
                  <w:vAlign w:val="center"/>
                </w:tcPr>
                <w:p w14:paraId="47A23F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2016</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 号</w:t>
                  </w:r>
                </w:p>
              </w:tc>
            </w:tr>
            <w:tr w14:paraId="49274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39BA9B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w:t>
                  </w:r>
                </w:p>
              </w:tc>
              <w:tc>
                <w:tcPr>
                  <w:tcW w:w="1301" w:type="dxa"/>
                  <w:vAlign w:val="center"/>
                </w:tcPr>
                <w:p w14:paraId="401924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韶关鑫瑞智能装备有限公司</w:t>
                  </w:r>
                </w:p>
              </w:tc>
              <w:tc>
                <w:tcPr>
                  <w:tcW w:w="372" w:type="dxa"/>
                  <w:vAlign w:val="center"/>
                </w:tcPr>
                <w:p w14:paraId="043EC0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FD4E3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904" w:type="dxa"/>
                  <w:vAlign w:val="center"/>
                </w:tcPr>
                <w:p w14:paraId="72365D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17693</w:t>
                  </w:r>
                </w:p>
              </w:tc>
              <w:tc>
                <w:tcPr>
                  <w:tcW w:w="2499" w:type="dxa"/>
                  <w:vAlign w:val="center"/>
                </w:tcPr>
                <w:p w14:paraId="4F94CC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年产破碎、筛分单机设备，移动式破碎筛分装备和模块化装</w:t>
                  </w:r>
                </w:p>
                <w:p w14:paraId="1E0688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备 803 台</w:t>
                  </w:r>
                </w:p>
              </w:tc>
              <w:tc>
                <w:tcPr>
                  <w:tcW w:w="1897" w:type="dxa"/>
                  <w:vAlign w:val="center"/>
                </w:tcPr>
                <w:p w14:paraId="141E9A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乐环审〔2019〕25 号</w:t>
                  </w:r>
                </w:p>
              </w:tc>
            </w:tr>
            <w:tr w14:paraId="7BA25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8070A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37</w:t>
                  </w:r>
                </w:p>
              </w:tc>
              <w:tc>
                <w:tcPr>
                  <w:tcW w:w="1301" w:type="dxa"/>
                  <w:vAlign w:val="center"/>
                </w:tcPr>
                <w:p w14:paraId="1538E6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韶关龙督装饰材料有限公司</w:t>
                  </w:r>
                </w:p>
              </w:tc>
              <w:tc>
                <w:tcPr>
                  <w:tcW w:w="372" w:type="dxa"/>
                  <w:vAlign w:val="center"/>
                </w:tcPr>
                <w:p w14:paraId="48A9EF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B80B6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18E4B5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33812.1</w:t>
                  </w:r>
                </w:p>
              </w:tc>
              <w:tc>
                <w:tcPr>
                  <w:tcW w:w="2499" w:type="dxa"/>
                  <w:vAlign w:val="center"/>
                </w:tcPr>
                <w:p w14:paraId="0267B5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年产彩涂铝卷 400 万平方米，铝幕墙板、铝天花板 100 万平</w:t>
                  </w:r>
                </w:p>
                <w:p w14:paraId="10651A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方米</w:t>
                  </w:r>
                </w:p>
              </w:tc>
              <w:tc>
                <w:tcPr>
                  <w:tcW w:w="1897" w:type="dxa"/>
                  <w:vAlign w:val="center"/>
                </w:tcPr>
                <w:p w14:paraId="1DCC19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 号</w:t>
                  </w:r>
                </w:p>
              </w:tc>
            </w:tr>
            <w:tr w14:paraId="3B247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4213A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38</w:t>
                  </w:r>
                </w:p>
              </w:tc>
              <w:tc>
                <w:tcPr>
                  <w:tcW w:w="1301" w:type="dxa"/>
                  <w:vAlign w:val="center"/>
                </w:tcPr>
                <w:p w14:paraId="1BEF72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乐昌市胜兴新材料有限公司</w:t>
                  </w:r>
                </w:p>
              </w:tc>
              <w:tc>
                <w:tcPr>
                  <w:tcW w:w="372" w:type="dxa"/>
                  <w:vAlign w:val="center"/>
                </w:tcPr>
                <w:p w14:paraId="52ADE4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8952C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904" w:type="dxa"/>
                  <w:vAlign w:val="center"/>
                </w:tcPr>
                <w:p w14:paraId="1989A9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5760</w:t>
                  </w:r>
                </w:p>
              </w:tc>
              <w:tc>
                <w:tcPr>
                  <w:tcW w:w="2499" w:type="dxa"/>
                  <w:vAlign w:val="center"/>
                </w:tcPr>
                <w:p w14:paraId="2F12D1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年产衬布 6000 万米</w:t>
                  </w:r>
                </w:p>
              </w:tc>
              <w:tc>
                <w:tcPr>
                  <w:tcW w:w="1897" w:type="dxa"/>
                  <w:vAlign w:val="center"/>
                </w:tcPr>
                <w:p w14:paraId="76F04F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"bookmark239"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2023</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18 号</w:t>
                  </w:r>
                </w:p>
              </w:tc>
            </w:tr>
            <w:tr w14:paraId="132B6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3A278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w:t>
                  </w:r>
                </w:p>
              </w:tc>
              <w:tc>
                <w:tcPr>
                  <w:tcW w:w="1301" w:type="dxa"/>
                  <w:vAlign w:val="center"/>
                </w:tcPr>
                <w:p w14:paraId="38450A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乐昌市鸿鑫机械设备有限公</w:t>
                  </w:r>
                </w:p>
                <w:p w14:paraId="7F947D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3175C6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26B68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904" w:type="dxa"/>
                  <w:vAlign w:val="center"/>
                </w:tcPr>
                <w:p w14:paraId="5E9B63D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700</w:t>
                  </w:r>
                </w:p>
              </w:tc>
              <w:tc>
                <w:tcPr>
                  <w:tcW w:w="2499" w:type="dxa"/>
                  <w:vAlign w:val="center"/>
                </w:tcPr>
                <w:p w14:paraId="6FAAC6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年产液压元件 1000 套</w:t>
                  </w:r>
                </w:p>
              </w:tc>
              <w:tc>
                <w:tcPr>
                  <w:tcW w:w="1897" w:type="dxa"/>
                  <w:vAlign w:val="center"/>
                </w:tcPr>
                <w:p w14:paraId="111C59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乐环审〔2019〕38 号</w:t>
                  </w:r>
                </w:p>
              </w:tc>
            </w:tr>
            <w:tr w14:paraId="4A638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60BB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w:t>
                  </w:r>
                </w:p>
              </w:tc>
              <w:tc>
                <w:tcPr>
                  <w:tcW w:w="1301" w:type="dxa"/>
                  <w:vAlign w:val="center"/>
                </w:tcPr>
                <w:p w14:paraId="7AF39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广东柏创智能装备有限公司</w:t>
                  </w:r>
                </w:p>
              </w:tc>
              <w:tc>
                <w:tcPr>
                  <w:tcW w:w="372" w:type="dxa"/>
                  <w:vAlign w:val="center"/>
                </w:tcPr>
                <w:p w14:paraId="5E3D4A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44A0DA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904" w:type="dxa"/>
                  <w:vAlign w:val="center"/>
                </w:tcPr>
                <w:p w14:paraId="67902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23334.5</w:t>
                  </w:r>
                </w:p>
              </w:tc>
              <w:tc>
                <w:tcPr>
                  <w:tcW w:w="2499" w:type="dxa"/>
                  <w:vAlign w:val="center"/>
                </w:tcPr>
                <w:p w14:paraId="576938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年产单晶炉热交换器 1.2 万套、腔体部件 200 套、晶棒相关</w:t>
                  </w:r>
                </w:p>
                <w:p w14:paraId="1AF956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自动化设备 200 套</w:t>
                  </w:r>
                </w:p>
              </w:tc>
              <w:tc>
                <w:tcPr>
                  <w:tcW w:w="1897" w:type="dxa"/>
                  <w:vAlign w:val="center"/>
                </w:tcPr>
                <w:p w14:paraId="119B54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韶环乐审〔2023〕33 号</w:t>
                  </w:r>
                </w:p>
              </w:tc>
            </w:tr>
            <w:tr w14:paraId="4BAA0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1C373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w:t>
                  </w:r>
                </w:p>
              </w:tc>
              <w:tc>
                <w:tcPr>
                  <w:tcW w:w="1301" w:type="dxa"/>
                  <w:vAlign w:val="center"/>
                </w:tcPr>
                <w:p w14:paraId="7FB62F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广东中衡能源设备有限公司</w:t>
                  </w:r>
                </w:p>
              </w:tc>
              <w:tc>
                <w:tcPr>
                  <w:tcW w:w="372" w:type="dxa"/>
                  <w:vAlign w:val="center"/>
                </w:tcPr>
                <w:p w14:paraId="59DB84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F8B71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354C55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13940.57</w:t>
                  </w:r>
                </w:p>
              </w:tc>
              <w:tc>
                <w:tcPr>
                  <w:tcW w:w="2499" w:type="dxa"/>
                  <w:vAlign w:val="center"/>
                </w:tcPr>
                <w:p w14:paraId="0D477A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年产移动通信基站设备 3 万套、移动通信机柜 2 万套</w:t>
                  </w:r>
                </w:p>
              </w:tc>
              <w:tc>
                <w:tcPr>
                  <w:tcW w:w="1897" w:type="dxa"/>
                  <w:vAlign w:val="center"/>
                </w:tcPr>
                <w:p w14:paraId="5EB734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韶环乐审〔2022〕12 号</w:t>
                  </w:r>
                </w:p>
              </w:tc>
            </w:tr>
            <w:tr w14:paraId="5A384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0" w:type="dxa"/>
                  <w:vAlign w:val="center"/>
                </w:tcPr>
                <w:p w14:paraId="01E570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42</w:t>
                  </w:r>
                </w:p>
              </w:tc>
              <w:tc>
                <w:tcPr>
                  <w:tcW w:w="1301" w:type="dxa"/>
                  <w:vAlign w:val="center"/>
                </w:tcPr>
                <w:p w14:paraId="697E88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韶关欧亚特电子制品有限公</w:t>
                  </w:r>
                </w:p>
                <w:p w14:paraId="7D6F95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42E790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139AB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w:t>
                  </w:r>
                </w:p>
                <w:p w14:paraId="0ED820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他电子设备制造</w:t>
                  </w:r>
                </w:p>
                <w:p w14:paraId="2F3EEC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业、电气机械和器</w:t>
                  </w:r>
                </w:p>
                <w:p w14:paraId="599D4A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材制造业、橡胶和</w:t>
                  </w:r>
                </w:p>
                <w:p w14:paraId="78BD87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塑料制品业</w:t>
                  </w:r>
                </w:p>
              </w:tc>
              <w:tc>
                <w:tcPr>
                  <w:tcW w:w="904" w:type="dxa"/>
                  <w:vAlign w:val="center"/>
                </w:tcPr>
                <w:p w14:paraId="7B3BAE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18664</w:t>
                  </w:r>
                </w:p>
              </w:tc>
              <w:tc>
                <w:tcPr>
                  <w:tcW w:w="2499" w:type="dxa"/>
                  <w:vAlign w:val="center"/>
                </w:tcPr>
                <w:p w14:paraId="35B12B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1000 万支热熔胶枪及 1000 万根插头线、3000 万条热熔</w:t>
                  </w:r>
                </w:p>
                <w:p w14:paraId="56E3AA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胶条</w:t>
                  </w:r>
                </w:p>
              </w:tc>
              <w:tc>
                <w:tcPr>
                  <w:tcW w:w="1897" w:type="dxa"/>
                  <w:vAlign w:val="center"/>
                </w:tcPr>
                <w:p w14:paraId="4CE9CE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 号、乐环审</w:t>
                  </w:r>
                </w:p>
                <w:p w14:paraId="7A83F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]09 号、乐环审[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 号、</w:t>
                  </w:r>
                </w:p>
                <w:p w14:paraId="72F7E5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乐环审〔2020〕05 号</w:t>
                  </w:r>
                </w:p>
              </w:tc>
            </w:tr>
            <w:tr w14:paraId="1FA90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09D5F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w:t>
                  </w:r>
                </w:p>
              </w:tc>
              <w:tc>
                <w:tcPr>
                  <w:tcW w:w="1301" w:type="dxa"/>
                  <w:vAlign w:val="center"/>
                </w:tcPr>
                <w:p w14:paraId="6FE3EF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德尔安科技（广东）有限公司</w:t>
                  </w:r>
                </w:p>
              </w:tc>
              <w:tc>
                <w:tcPr>
                  <w:tcW w:w="372" w:type="dxa"/>
                  <w:vAlign w:val="center"/>
                </w:tcPr>
                <w:p w14:paraId="7D0740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48EBC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904" w:type="dxa"/>
                  <w:vAlign w:val="center"/>
                </w:tcPr>
                <w:p w14:paraId="4E7D9C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27672.2</w:t>
                  </w:r>
                </w:p>
              </w:tc>
              <w:tc>
                <w:tcPr>
                  <w:tcW w:w="2499" w:type="dxa"/>
                  <w:vAlign w:val="center"/>
                </w:tcPr>
                <w:p w14:paraId="411527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400 万具，水基型灭火器 100 万具，催化剂 600 吨和水系灭火剂2400 吨等</w:t>
                  </w:r>
                </w:p>
              </w:tc>
              <w:tc>
                <w:tcPr>
                  <w:tcW w:w="1897" w:type="dxa"/>
                  <w:vAlign w:val="center"/>
                </w:tcPr>
                <w:p w14:paraId="0DCE8D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韶环乐审〔2021〕23 号</w:t>
                  </w:r>
                </w:p>
              </w:tc>
            </w:tr>
            <w:tr w14:paraId="56011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1B6F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w:t>
                  </w:r>
                </w:p>
              </w:tc>
              <w:tc>
                <w:tcPr>
                  <w:tcW w:w="1301" w:type="dxa"/>
                  <w:vAlign w:val="center"/>
                </w:tcPr>
                <w:p w14:paraId="5BD1B5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广东东田实业有限公司</w:t>
                  </w:r>
                </w:p>
              </w:tc>
              <w:tc>
                <w:tcPr>
                  <w:tcW w:w="372" w:type="dxa"/>
                  <w:vAlign w:val="center"/>
                </w:tcPr>
                <w:p w14:paraId="2810D3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4B19B3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904" w:type="dxa"/>
                  <w:vAlign w:val="center"/>
                </w:tcPr>
                <w:p w14:paraId="4A2EEE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1557.48</w:t>
                  </w:r>
                </w:p>
              </w:tc>
              <w:tc>
                <w:tcPr>
                  <w:tcW w:w="2499" w:type="dxa"/>
                  <w:vAlign w:val="center"/>
                </w:tcPr>
                <w:p w14:paraId="45A6A5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年产移动通信基站电源钣金件 5 万套</w:t>
                  </w:r>
                </w:p>
              </w:tc>
              <w:tc>
                <w:tcPr>
                  <w:tcW w:w="1897" w:type="dxa"/>
                  <w:vAlign w:val="center"/>
                </w:tcPr>
                <w:p w14:paraId="6E5A0E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乐环审〔2020〕27 号</w:t>
                  </w:r>
                </w:p>
              </w:tc>
            </w:tr>
            <w:tr w14:paraId="344C1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525BE6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45</w:t>
                  </w:r>
                </w:p>
              </w:tc>
              <w:tc>
                <w:tcPr>
                  <w:tcW w:w="1301" w:type="dxa"/>
                  <w:vAlign w:val="center"/>
                </w:tcPr>
                <w:p w14:paraId="672EBE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广东弘德宝厨具有限公司</w:t>
                  </w:r>
                </w:p>
              </w:tc>
              <w:tc>
                <w:tcPr>
                  <w:tcW w:w="372" w:type="dxa"/>
                  <w:vAlign w:val="center"/>
                </w:tcPr>
                <w:p w14:paraId="08F3E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548E3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5634C5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26640</w:t>
                  </w:r>
                </w:p>
              </w:tc>
              <w:tc>
                <w:tcPr>
                  <w:tcW w:w="2499" w:type="dxa"/>
                  <w:vAlign w:val="center"/>
                </w:tcPr>
                <w:p w14:paraId="260CBE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年产铸铁厨房用具 2.5 万吨</w:t>
                  </w:r>
                </w:p>
              </w:tc>
              <w:tc>
                <w:tcPr>
                  <w:tcW w:w="1897" w:type="dxa"/>
                  <w:vAlign w:val="center"/>
                </w:tcPr>
                <w:p w14:paraId="503B1E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韶环乐审〔2022〕18 号</w:t>
                  </w:r>
                </w:p>
              </w:tc>
            </w:tr>
            <w:tr w14:paraId="6AE51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41DD6C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46</w:t>
                  </w:r>
                </w:p>
              </w:tc>
              <w:tc>
                <w:tcPr>
                  <w:tcW w:w="1301" w:type="dxa"/>
                  <w:vAlign w:val="center"/>
                </w:tcPr>
                <w:p w14:paraId="0C49A7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冠荣科技（韶关）有限公司</w:t>
                  </w:r>
                </w:p>
              </w:tc>
              <w:tc>
                <w:tcPr>
                  <w:tcW w:w="372" w:type="dxa"/>
                  <w:vAlign w:val="center"/>
                </w:tcPr>
                <w:p w14:paraId="6248F8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7856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0E0D85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业、印刷和记录媒</w:t>
                  </w:r>
                </w:p>
                <w:p w14:paraId="6B66FE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介复制业</w:t>
                  </w:r>
                </w:p>
              </w:tc>
              <w:tc>
                <w:tcPr>
                  <w:tcW w:w="904" w:type="dxa"/>
                  <w:vAlign w:val="center"/>
                </w:tcPr>
                <w:p w14:paraId="212C6F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23334.5</w:t>
                  </w:r>
                </w:p>
              </w:tc>
              <w:tc>
                <w:tcPr>
                  <w:tcW w:w="2499" w:type="dxa"/>
                  <w:vAlign w:val="center"/>
                </w:tcPr>
                <w:p w14:paraId="3251F0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年产商标 18000 万个、TPU 材料和硅胶材料 50 万平方米</w:t>
                  </w:r>
                </w:p>
              </w:tc>
              <w:tc>
                <w:tcPr>
                  <w:tcW w:w="1897" w:type="dxa"/>
                  <w:vAlign w:val="center"/>
                </w:tcPr>
                <w:p w14:paraId="6023DC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韶环乐审〔2023〕07 号</w:t>
                  </w:r>
                </w:p>
              </w:tc>
            </w:tr>
            <w:tr w14:paraId="68054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54CCAD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w:t>
                  </w:r>
                </w:p>
              </w:tc>
              <w:tc>
                <w:tcPr>
                  <w:tcW w:w="1301" w:type="dxa"/>
                  <w:vAlign w:val="center"/>
                </w:tcPr>
                <w:p w14:paraId="683890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添亿包装（广东）有限公司</w:t>
                  </w:r>
                </w:p>
              </w:tc>
              <w:tc>
                <w:tcPr>
                  <w:tcW w:w="372" w:type="dxa"/>
                  <w:vAlign w:val="center"/>
                </w:tcPr>
                <w:p w14:paraId="7F41E9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C178E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纸制品制造</w:t>
                  </w:r>
                </w:p>
              </w:tc>
              <w:tc>
                <w:tcPr>
                  <w:tcW w:w="904" w:type="dxa"/>
                  <w:vAlign w:val="center"/>
                </w:tcPr>
                <w:p w14:paraId="4E85A4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16564.72</w:t>
                  </w:r>
                </w:p>
              </w:tc>
              <w:tc>
                <w:tcPr>
                  <w:tcW w:w="2499" w:type="dxa"/>
                  <w:vAlign w:val="center"/>
                </w:tcPr>
                <w:p w14:paraId="3428EF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年产彩盒 10 亿套</w:t>
                  </w:r>
                </w:p>
              </w:tc>
              <w:tc>
                <w:tcPr>
                  <w:tcW w:w="1897" w:type="dxa"/>
                  <w:vAlign w:val="center"/>
                </w:tcPr>
                <w:p w14:paraId="1EE186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韶环乐审〔2021〕24 号</w:t>
                  </w:r>
                </w:p>
              </w:tc>
            </w:tr>
            <w:tr w14:paraId="4E414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E5D2D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48</w:t>
                  </w:r>
                </w:p>
              </w:tc>
              <w:tc>
                <w:tcPr>
                  <w:tcW w:w="1301" w:type="dxa"/>
                  <w:vAlign w:val="center"/>
                </w:tcPr>
                <w:p w14:paraId="458A8F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广东光宝微电子有限公司</w:t>
                  </w:r>
                </w:p>
              </w:tc>
              <w:tc>
                <w:tcPr>
                  <w:tcW w:w="372" w:type="dxa"/>
                  <w:vAlign w:val="center"/>
                </w:tcPr>
                <w:p w14:paraId="65B750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8C7A8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904" w:type="dxa"/>
                  <w:vAlign w:val="center"/>
                </w:tcPr>
                <w:p w14:paraId="75E9A0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3600</w:t>
                  </w:r>
                </w:p>
              </w:tc>
              <w:tc>
                <w:tcPr>
                  <w:tcW w:w="2499" w:type="dxa"/>
                  <w:vAlign w:val="center"/>
                </w:tcPr>
                <w:p w14:paraId="1C0123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年产发光二极管 1.2 亿个、光电耦合器件 1500 万个</w:t>
                  </w:r>
                </w:p>
              </w:tc>
              <w:tc>
                <w:tcPr>
                  <w:tcW w:w="1897" w:type="dxa"/>
                  <w:vAlign w:val="center"/>
                </w:tcPr>
                <w:p w14:paraId="4A58F4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韶环乐审〔2024〕21 号</w:t>
                  </w:r>
                </w:p>
              </w:tc>
            </w:tr>
            <w:tr w14:paraId="6825B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63872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49</w:t>
                  </w:r>
                </w:p>
              </w:tc>
              <w:tc>
                <w:tcPr>
                  <w:tcW w:w="1301" w:type="dxa"/>
                  <w:vAlign w:val="center"/>
                </w:tcPr>
                <w:p w14:paraId="5709B1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韶关博鑫工程服务有限公司</w:t>
                  </w:r>
                </w:p>
              </w:tc>
              <w:tc>
                <w:tcPr>
                  <w:tcW w:w="372" w:type="dxa"/>
                  <w:vAlign w:val="center"/>
                </w:tcPr>
                <w:p w14:paraId="4D9953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95D44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27F2F8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51544.6</w:t>
                  </w:r>
                </w:p>
              </w:tc>
              <w:tc>
                <w:tcPr>
                  <w:tcW w:w="2499" w:type="dxa"/>
                  <w:vAlign w:val="center"/>
                </w:tcPr>
                <w:p w14:paraId="397DF6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年产铝合金模板 20 万立方米、翻新铝合金模板20 万立方米、</w:t>
                  </w:r>
                </w:p>
                <w:p w14:paraId="6C6931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翻新背楞 2000 吨、其他配套产品 3000 吨</w:t>
                  </w:r>
                </w:p>
              </w:tc>
              <w:tc>
                <w:tcPr>
                  <w:tcW w:w="1897" w:type="dxa"/>
                  <w:vAlign w:val="center"/>
                </w:tcPr>
                <w:p w14:paraId="79412E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韶环乐审〔2024〕34 号</w:t>
                  </w:r>
                </w:p>
              </w:tc>
            </w:tr>
            <w:tr w14:paraId="17C26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19D82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50</w:t>
                  </w:r>
                </w:p>
              </w:tc>
              <w:tc>
                <w:tcPr>
                  <w:tcW w:w="1301" w:type="dxa"/>
                  <w:vAlign w:val="center"/>
                </w:tcPr>
                <w:p w14:paraId="26D97D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乐昌市安顺达管道天然气有</w:t>
                  </w:r>
                </w:p>
                <w:p w14:paraId="5721CB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72" w:type="dxa"/>
                  <w:vAlign w:val="center"/>
                </w:tcPr>
                <w:p w14:paraId="38EBA4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9F0E7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燃气生产和供应业</w:t>
                  </w:r>
                </w:p>
              </w:tc>
              <w:tc>
                <w:tcPr>
                  <w:tcW w:w="904" w:type="dxa"/>
                  <w:vAlign w:val="center"/>
                </w:tcPr>
                <w:p w14:paraId="660C62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20080</w:t>
                  </w:r>
                </w:p>
              </w:tc>
              <w:tc>
                <w:tcPr>
                  <w:tcW w:w="2499" w:type="dxa"/>
                  <w:vAlign w:val="center"/>
                </w:tcPr>
                <w:p w14:paraId="74EB80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日供气量约 15 万立方</w:t>
                  </w:r>
                </w:p>
              </w:tc>
              <w:tc>
                <w:tcPr>
                  <w:tcW w:w="1897" w:type="dxa"/>
                  <w:vAlign w:val="center"/>
                </w:tcPr>
                <w:p w14:paraId="3BE06D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]53 号</w:t>
                  </w:r>
                </w:p>
              </w:tc>
            </w:tr>
            <w:tr w14:paraId="5776E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27BE5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51</w:t>
                  </w:r>
                </w:p>
              </w:tc>
              <w:tc>
                <w:tcPr>
                  <w:tcW w:w="1301" w:type="dxa"/>
                  <w:vAlign w:val="center"/>
                </w:tcPr>
                <w:p w14:paraId="06CEAC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广东利生源生物饲料有限公</w:t>
                  </w:r>
                </w:p>
                <w:p w14:paraId="0A5907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0D59BC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546FE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农副食品加工业</w:t>
                  </w:r>
                </w:p>
              </w:tc>
              <w:tc>
                <w:tcPr>
                  <w:tcW w:w="904" w:type="dxa"/>
                  <w:vAlign w:val="center"/>
                </w:tcPr>
                <w:p w14:paraId="1EE531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10770</w:t>
                  </w:r>
                </w:p>
              </w:tc>
              <w:tc>
                <w:tcPr>
                  <w:tcW w:w="2499" w:type="dxa"/>
                  <w:vAlign w:val="center"/>
                </w:tcPr>
                <w:p w14:paraId="60A681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年产优能乳 10800 吨、利生宝 3000 吨</w:t>
                  </w:r>
                </w:p>
              </w:tc>
              <w:tc>
                <w:tcPr>
                  <w:tcW w:w="1897" w:type="dxa"/>
                  <w:vAlign w:val="center"/>
                </w:tcPr>
                <w:p w14:paraId="388700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103 号</w:t>
                  </w:r>
                </w:p>
              </w:tc>
            </w:tr>
            <w:tr w14:paraId="6FBAC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5D5FF7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w:t>
                  </w:r>
                </w:p>
              </w:tc>
              <w:tc>
                <w:tcPr>
                  <w:tcW w:w="1301" w:type="dxa"/>
                  <w:vAlign w:val="center"/>
                </w:tcPr>
                <w:p w14:paraId="50257E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乐昌市自来水有限公司</w:t>
                  </w:r>
                </w:p>
              </w:tc>
              <w:tc>
                <w:tcPr>
                  <w:tcW w:w="372" w:type="dxa"/>
                  <w:vAlign w:val="center"/>
                </w:tcPr>
                <w:p w14:paraId="05422F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965C6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自来水生产和供应业</w:t>
                  </w:r>
                </w:p>
              </w:tc>
              <w:tc>
                <w:tcPr>
                  <w:tcW w:w="904" w:type="dxa"/>
                  <w:vAlign w:val="center"/>
                </w:tcPr>
                <w:p w14:paraId="5EF1B6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9303.8</w:t>
                  </w:r>
                </w:p>
              </w:tc>
              <w:tc>
                <w:tcPr>
                  <w:tcW w:w="2499" w:type="dxa"/>
                  <w:vAlign w:val="center"/>
                </w:tcPr>
                <w:p w14:paraId="0EC153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加压泵站建设，供应水量 5000 立方</w:t>
                  </w:r>
                </w:p>
              </w:tc>
              <w:tc>
                <w:tcPr>
                  <w:tcW w:w="1897" w:type="dxa"/>
                  <w:vAlign w:val="center"/>
                </w:tcPr>
                <w:p w14:paraId="5B0922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103 号</w:t>
                  </w:r>
                </w:p>
              </w:tc>
            </w:tr>
            <w:tr w14:paraId="1F5C6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2B881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53</w:t>
                  </w:r>
                </w:p>
              </w:tc>
              <w:tc>
                <w:tcPr>
                  <w:tcW w:w="1301" w:type="dxa"/>
                  <w:vAlign w:val="center"/>
                </w:tcPr>
                <w:p w14:paraId="70A31F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东莞东坑（乐昌）产业转移园</w:t>
                  </w:r>
                </w:p>
                <w:p w14:paraId="1808A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污水处理厂</w:t>
                  </w:r>
                </w:p>
              </w:tc>
              <w:tc>
                <w:tcPr>
                  <w:tcW w:w="372" w:type="dxa"/>
                  <w:vAlign w:val="center"/>
                </w:tcPr>
                <w:p w14:paraId="17F985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89D2B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污水处理及其再生利用业</w:t>
                  </w:r>
                </w:p>
              </w:tc>
              <w:tc>
                <w:tcPr>
                  <w:tcW w:w="904" w:type="dxa"/>
                  <w:vAlign w:val="center"/>
                </w:tcPr>
                <w:p w14:paraId="0997F5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15400</w:t>
                  </w:r>
                </w:p>
              </w:tc>
              <w:tc>
                <w:tcPr>
                  <w:tcW w:w="2499" w:type="dxa"/>
                  <w:vAlign w:val="center"/>
                </w:tcPr>
                <w:p w14:paraId="287ACA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处理水量 10000 立方米/d</w:t>
                  </w:r>
                </w:p>
              </w:tc>
              <w:tc>
                <w:tcPr>
                  <w:tcW w:w="1897" w:type="dxa"/>
                  <w:vAlign w:val="center"/>
                </w:tcPr>
                <w:p w14:paraId="5DB9C9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乐环函[</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2010</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107 号</w:t>
                  </w:r>
                </w:p>
              </w:tc>
            </w:tr>
            <w:tr w14:paraId="6A1FA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345075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w:t>
                  </w:r>
                </w:p>
              </w:tc>
              <w:tc>
                <w:tcPr>
                  <w:tcW w:w="1301" w:type="dxa"/>
                  <w:vAlign w:val="center"/>
                </w:tcPr>
                <w:p w14:paraId="2B877B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乐昌市玉煌科技有限公司</w:t>
                  </w:r>
                </w:p>
              </w:tc>
              <w:tc>
                <w:tcPr>
                  <w:tcW w:w="372" w:type="dxa"/>
                  <w:vAlign w:val="center"/>
                </w:tcPr>
                <w:p w14:paraId="43B2CA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09A23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29C34D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15291.1</w:t>
                  </w:r>
                </w:p>
              </w:tc>
              <w:tc>
                <w:tcPr>
                  <w:tcW w:w="2499" w:type="dxa"/>
                  <w:vAlign w:val="center"/>
                </w:tcPr>
                <w:p w14:paraId="36FAC7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年产螺丝紧固件 2000 吨</w:t>
                  </w:r>
                </w:p>
              </w:tc>
              <w:tc>
                <w:tcPr>
                  <w:tcW w:w="1897" w:type="dxa"/>
                  <w:vAlign w:val="center"/>
                </w:tcPr>
                <w:p w14:paraId="77F9CF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 号</w:t>
                  </w:r>
                </w:p>
              </w:tc>
            </w:tr>
            <w:tr w14:paraId="34B5B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2B396B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55</w:t>
                  </w:r>
                </w:p>
              </w:tc>
              <w:tc>
                <w:tcPr>
                  <w:tcW w:w="1301" w:type="dxa"/>
                  <w:vAlign w:val="center"/>
                </w:tcPr>
                <w:p w14:paraId="354204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广东科优精密机械制造有限</w:t>
                  </w:r>
                </w:p>
                <w:p w14:paraId="393B53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2671A4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17DD7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904" w:type="dxa"/>
                  <w:vAlign w:val="center"/>
                </w:tcPr>
                <w:p w14:paraId="2CF25A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12528.8</w:t>
                  </w:r>
                </w:p>
              </w:tc>
              <w:tc>
                <w:tcPr>
                  <w:tcW w:w="2499" w:type="dxa"/>
                  <w:vAlign w:val="center"/>
                </w:tcPr>
                <w:p w14:paraId="2FCE6B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年产电磁阀用汇流板 5000 吨、精抽加工铝制品 400 吨，表面</w:t>
                  </w:r>
                </w:p>
                <w:p w14:paraId="281421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处理汇流板产品 1800 吨</w:t>
                  </w:r>
                </w:p>
              </w:tc>
              <w:tc>
                <w:tcPr>
                  <w:tcW w:w="1897" w:type="dxa"/>
                  <w:vAlign w:val="center"/>
                </w:tcPr>
                <w:p w14:paraId="61F8CB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]03 号、乐环审</w:t>
                  </w:r>
                </w:p>
                <w:p w14:paraId="06C812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 号、韶环乐审〔2024〕04</w:t>
                  </w:r>
                </w:p>
                <w:p w14:paraId="67E132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号</w:t>
                  </w:r>
                </w:p>
              </w:tc>
            </w:tr>
            <w:tr w14:paraId="2FA03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9B461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56</w:t>
                  </w:r>
                </w:p>
              </w:tc>
              <w:tc>
                <w:tcPr>
                  <w:tcW w:w="1301" w:type="dxa"/>
                  <w:vAlign w:val="center"/>
                </w:tcPr>
                <w:p w14:paraId="59DF81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广东中博交通环保设备有限</w:t>
                  </w:r>
                </w:p>
                <w:p w14:paraId="724A3E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192C6A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56CE8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904" w:type="dxa"/>
                  <w:vAlign w:val="center"/>
                </w:tcPr>
                <w:p w14:paraId="1F9FEC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20059.4</w:t>
                  </w:r>
                </w:p>
              </w:tc>
              <w:tc>
                <w:tcPr>
                  <w:tcW w:w="2499" w:type="dxa"/>
                  <w:vAlign w:val="center"/>
                </w:tcPr>
                <w:p w14:paraId="1CB241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年加工生产交通环保材料 50 万件</w:t>
                  </w:r>
                </w:p>
              </w:tc>
              <w:tc>
                <w:tcPr>
                  <w:tcW w:w="1897" w:type="dxa"/>
                  <w:vAlign w:val="center"/>
                </w:tcPr>
                <w:p w14:paraId="1DD5EB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"bookmark249"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]59 号</w:t>
                  </w:r>
                </w:p>
              </w:tc>
            </w:tr>
            <w:tr w14:paraId="419C5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DEF1D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57</w:t>
                  </w:r>
                </w:p>
              </w:tc>
              <w:tc>
                <w:tcPr>
                  <w:tcW w:w="1301" w:type="dxa"/>
                  <w:vAlign w:val="center"/>
                </w:tcPr>
                <w:p w14:paraId="2DDB1F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乐昌欧典高分子装饰材料有</w:t>
                  </w:r>
                </w:p>
                <w:p w14:paraId="0FDB7B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72" w:type="dxa"/>
                  <w:vAlign w:val="center"/>
                </w:tcPr>
                <w:p w14:paraId="291F38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A4437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4F9AB1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8631.1</w:t>
                  </w:r>
                </w:p>
              </w:tc>
              <w:tc>
                <w:tcPr>
                  <w:tcW w:w="2499" w:type="dxa"/>
                  <w:vAlign w:val="center"/>
                </w:tcPr>
                <w:p w14:paraId="754598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墙板 300 万平方、PVC 墙板配套线条约 200 万米</w:t>
                  </w:r>
                </w:p>
              </w:tc>
              <w:tc>
                <w:tcPr>
                  <w:tcW w:w="1897" w:type="dxa"/>
                  <w:vAlign w:val="center"/>
                </w:tcPr>
                <w:p w14:paraId="4F805D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]68 号</w:t>
                  </w:r>
                </w:p>
              </w:tc>
            </w:tr>
            <w:tr w14:paraId="057B9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6E7939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7BE701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58</w:t>
                  </w:r>
                </w:p>
              </w:tc>
              <w:tc>
                <w:tcPr>
                  <w:tcW w:w="1301" w:type="dxa"/>
                  <w:vAlign w:val="center"/>
                </w:tcPr>
                <w:p w14:paraId="43E0EF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韶关豪立再生资源利用有限</w:t>
                  </w:r>
                </w:p>
                <w:p w14:paraId="1B7CE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0F4DA2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66A56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904" w:type="dxa"/>
                  <w:vAlign w:val="center"/>
                </w:tcPr>
                <w:p w14:paraId="6E8007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17646</w:t>
                  </w:r>
                </w:p>
              </w:tc>
              <w:tc>
                <w:tcPr>
                  <w:tcW w:w="2499" w:type="dxa"/>
                  <w:vAlign w:val="center"/>
                </w:tcPr>
                <w:p w14:paraId="7CD3BC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年处理废金属 79760 吨、废纸 5982 吨、拆解设备 2000 台，</w:t>
                  </w:r>
                </w:p>
                <w:p w14:paraId="2D50D4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年产再生玻璃 11.4 万吨、玻璃纤维 3 万吨、玻璃纤维增强塑</w:t>
                  </w:r>
                </w:p>
                <w:p w14:paraId="0023F3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料制品 7200 吨</w:t>
                  </w:r>
                </w:p>
              </w:tc>
              <w:tc>
                <w:tcPr>
                  <w:tcW w:w="1897" w:type="dxa"/>
                  <w:vAlign w:val="center"/>
                </w:tcPr>
                <w:p w14:paraId="7E040C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]69 号、韶环乐审</w:t>
                  </w:r>
                </w:p>
                <w:p w14:paraId="0F780B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〔2021〕06 号、韶环乐审〔2023〕</w:t>
                  </w:r>
                </w:p>
                <w:p w14:paraId="6BAE03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23 号</w:t>
                  </w:r>
                </w:p>
              </w:tc>
            </w:tr>
            <w:tr w14:paraId="5FE3F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E1863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59</w:t>
                  </w:r>
                </w:p>
              </w:tc>
              <w:tc>
                <w:tcPr>
                  <w:tcW w:w="1301" w:type="dxa"/>
                  <w:vAlign w:val="center"/>
                </w:tcPr>
                <w:p w14:paraId="32F84A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乐昌市优泰德电器有限公司</w:t>
                  </w:r>
                </w:p>
                <w:p w14:paraId="047409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（创业就业基地）</w:t>
                  </w:r>
                </w:p>
              </w:tc>
              <w:tc>
                <w:tcPr>
                  <w:tcW w:w="372" w:type="dxa"/>
                  <w:vAlign w:val="center"/>
                </w:tcPr>
                <w:p w14:paraId="344956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36CED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5071AB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3504</w:t>
                  </w:r>
                </w:p>
              </w:tc>
              <w:tc>
                <w:tcPr>
                  <w:tcW w:w="2499" w:type="dxa"/>
                  <w:vAlign w:val="center"/>
                </w:tcPr>
                <w:p w14:paraId="0490D9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年产塑料及五金制品 280 万件</w:t>
                  </w:r>
                </w:p>
              </w:tc>
              <w:tc>
                <w:tcPr>
                  <w:tcW w:w="1897" w:type="dxa"/>
                  <w:vAlign w:val="center"/>
                </w:tcPr>
                <w:p w14:paraId="49E32A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乐环审〔2019〕28 号</w:t>
                  </w:r>
                </w:p>
              </w:tc>
            </w:tr>
            <w:tr w14:paraId="1C449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C248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w:t>
                  </w:r>
                </w:p>
              </w:tc>
              <w:tc>
                <w:tcPr>
                  <w:tcW w:w="1301" w:type="dxa"/>
                  <w:vAlign w:val="center"/>
                </w:tcPr>
                <w:p w14:paraId="510BDA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乐昌市优泰德电器有限公司</w:t>
                  </w:r>
                </w:p>
                <w:p w14:paraId="11A086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(金玲三路）</w:t>
                  </w:r>
                </w:p>
              </w:tc>
              <w:tc>
                <w:tcPr>
                  <w:tcW w:w="372" w:type="dxa"/>
                  <w:vAlign w:val="center"/>
                </w:tcPr>
                <w:p w14:paraId="588AF4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9608B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904" w:type="dxa"/>
                  <w:vAlign w:val="center"/>
                </w:tcPr>
                <w:p w14:paraId="29DB47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15173</w:t>
                  </w:r>
                </w:p>
              </w:tc>
              <w:tc>
                <w:tcPr>
                  <w:tcW w:w="2499" w:type="dxa"/>
                  <w:vAlign w:val="center"/>
                </w:tcPr>
                <w:p w14:paraId="6DB014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年产家用小电器（电吹风、直发器、卷发器等）250 万台</w:t>
                  </w:r>
                </w:p>
              </w:tc>
              <w:tc>
                <w:tcPr>
                  <w:tcW w:w="1897" w:type="dxa"/>
                  <w:vAlign w:val="center"/>
                </w:tcPr>
                <w:p w14:paraId="368C2D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乐环审〔2019〕40 号</w:t>
                  </w:r>
                </w:p>
              </w:tc>
            </w:tr>
            <w:tr w14:paraId="10CE1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07B54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61</w:t>
                  </w:r>
                </w:p>
              </w:tc>
              <w:tc>
                <w:tcPr>
                  <w:tcW w:w="1301" w:type="dxa"/>
                  <w:vAlign w:val="center"/>
                </w:tcPr>
                <w:p w14:paraId="713907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广东昊奕智能科技有限公司</w:t>
                  </w:r>
                </w:p>
              </w:tc>
              <w:tc>
                <w:tcPr>
                  <w:tcW w:w="372" w:type="dxa"/>
                  <w:vAlign w:val="center"/>
                </w:tcPr>
                <w:p w14:paraId="5F681A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63E26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1F7F7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9533.38</w:t>
                  </w:r>
                </w:p>
              </w:tc>
              <w:tc>
                <w:tcPr>
                  <w:tcW w:w="2499" w:type="dxa"/>
                  <w:vAlign w:val="center"/>
                </w:tcPr>
                <w:p w14:paraId="1379D8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年产不锈钢线材 5000 吨</w:t>
                  </w:r>
                </w:p>
              </w:tc>
              <w:tc>
                <w:tcPr>
                  <w:tcW w:w="1897" w:type="dxa"/>
                  <w:vAlign w:val="center"/>
                </w:tcPr>
                <w:p w14:paraId="429A79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韶环乐审〔2023〕01 号</w:t>
                  </w:r>
                </w:p>
              </w:tc>
            </w:tr>
            <w:tr w14:paraId="5145E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A95B4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62</w:t>
                  </w:r>
                </w:p>
              </w:tc>
              <w:tc>
                <w:tcPr>
                  <w:tcW w:w="1301" w:type="dxa"/>
                  <w:vAlign w:val="center"/>
                </w:tcPr>
                <w:p w14:paraId="4B9E50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三创复合材料(乐昌)有限公司</w:t>
                  </w:r>
                </w:p>
              </w:tc>
              <w:tc>
                <w:tcPr>
                  <w:tcW w:w="372" w:type="dxa"/>
                  <w:vAlign w:val="center"/>
                </w:tcPr>
                <w:p w14:paraId="1EFB84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A0F03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904" w:type="dxa"/>
                  <w:vAlign w:val="center"/>
                </w:tcPr>
                <w:p w14:paraId="4005FE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25577.13</w:t>
                  </w:r>
                </w:p>
              </w:tc>
              <w:tc>
                <w:tcPr>
                  <w:tcW w:w="2499" w:type="dxa"/>
                  <w:vAlign w:val="center"/>
                </w:tcPr>
                <w:p w14:paraId="315C07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年产玻璃纤维和碳素纤维复合材料制品 6365 吨</w:t>
                  </w:r>
                </w:p>
              </w:tc>
              <w:tc>
                <w:tcPr>
                  <w:tcW w:w="1897" w:type="dxa"/>
                  <w:vAlign w:val="center"/>
                </w:tcPr>
                <w:p w14:paraId="366311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韶环乐审〔2021〕09 号</w:t>
                  </w:r>
                </w:p>
              </w:tc>
            </w:tr>
            <w:tr w14:paraId="63350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4B493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63</w:t>
                  </w:r>
                </w:p>
              </w:tc>
              <w:tc>
                <w:tcPr>
                  <w:tcW w:w="1301" w:type="dxa"/>
                  <w:vAlign w:val="center"/>
                </w:tcPr>
                <w:p w14:paraId="6CA4E1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广东联丰科技有限公司</w:t>
                  </w:r>
                </w:p>
              </w:tc>
              <w:tc>
                <w:tcPr>
                  <w:tcW w:w="372" w:type="dxa"/>
                  <w:vAlign w:val="center"/>
                </w:tcPr>
                <w:p w14:paraId="4199FB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FDF77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06FBBE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11862.25</w:t>
                  </w:r>
                </w:p>
              </w:tc>
              <w:tc>
                <w:tcPr>
                  <w:tcW w:w="2499" w:type="dxa"/>
                  <w:vAlign w:val="center"/>
                </w:tcPr>
                <w:p w14:paraId="734E18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年产HDPE 双壁波纹管 2800 吨、HDPE 缠绕管 2350 吨、HDPE</w:t>
                  </w:r>
                </w:p>
                <w:p w14:paraId="37C2E0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供水管 2580 吨、PVC 管 2270 吨</w:t>
                  </w:r>
                </w:p>
              </w:tc>
              <w:tc>
                <w:tcPr>
                  <w:tcW w:w="1897" w:type="dxa"/>
                  <w:vAlign w:val="center"/>
                </w:tcPr>
                <w:p w14:paraId="624409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韶环乐审〔2025〕03 号</w:t>
                  </w:r>
                </w:p>
              </w:tc>
            </w:tr>
            <w:tr w14:paraId="07168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62D4DC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64</w:t>
                  </w:r>
                </w:p>
              </w:tc>
              <w:tc>
                <w:tcPr>
                  <w:tcW w:w="1301" w:type="dxa"/>
                  <w:vAlign w:val="center"/>
                </w:tcPr>
                <w:p w14:paraId="203BE7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材通(乐昌)管业科技有限公司</w:t>
                  </w:r>
                </w:p>
              </w:tc>
              <w:tc>
                <w:tcPr>
                  <w:tcW w:w="372" w:type="dxa"/>
                  <w:vAlign w:val="center"/>
                </w:tcPr>
                <w:p w14:paraId="4CB2D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A0A24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10C933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47574.68</w:t>
                  </w:r>
                </w:p>
              </w:tc>
              <w:tc>
                <w:tcPr>
                  <w:tcW w:w="2499" w:type="dxa"/>
                  <w:vAlign w:val="center"/>
                </w:tcPr>
                <w:p w14:paraId="7ED5DB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管材 16820 吨</w:t>
                  </w:r>
                </w:p>
              </w:tc>
              <w:tc>
                <w:tcPr>
                  <w:tcW w:w="1897" w:type="dxa"/>
                  <w:vAlign w:val="center"/>
                </w:tcPr>
                <w:p w14:paraId="328FF1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乐环审〔2020〕08 号</w:t>
                  </w:r>
                </w:p>
              </w:tc>
            </w:tr>
            <w:tr w14:paraId="32A22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6713FB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65</w:t>
                  </w:r>
                </w:p>
              </w:tc>
              <w:tc>
                <w:tcPr>
                  <w:tcW w:w="1301" w:type="dxa"/>
                  <w:vAlign w:val="center"/>
                </w:tcPr>
                <w:p w14:paraId="76D9C4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乐昌市鑫东穗汽车用品有限</w:t>
                  </w:r>
                </w:p>
                <w:p w14:paraId="519136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0ACDD5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53DE8F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汽车零部件及配件制造</w:t>
                  </w:r>
                </w:p>
              </w:tc>
              <w:tc>
                <w:tcPr>
                  <w:tcW w:w="904" w:type="dxa"/>
                  <w:vAlign w:val="center"/>
                </w:tcPr>
                <w:p w14:paraId="3328F2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17932.7</w:t>
                  </w:r>
                </w:p>
              </w:tc>
              <w:tc>
                <w:tcPr>
                  <w:tcW w:w="2499" w:type="dxa"/>
                  <w:vAlign w:val="center"/>
                </w:tcPr>
                <w:p w14:paraId="52F8ED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年产汽车零配件 30 万套</w:t>
                  </w:r>
                </w:p>
              </w:tc>
              <w:tc>
                <w:tcPr>
                  <w:tcW w:w="1897" w:type="dxa"/>
                  <w:vAlign w:val="center"/>
                </w:tcPr>
                <w:p w14:paraId="741305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乐环审〔2021〕02 号、韶环乐审</w:t>
                  </w:r>
                </w:p>
                <w:p w14:paraId="1F00B0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〔2024〕23 号</w:t>
                  </w:r>
                </w:p>
              </w:tc>
            </w:tr>
            <w:tr w14:paraId="20207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7D07A3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66</w:t>
                  </w:r>
                </w:p>
              </w:tc>
              <w:tc>
                <w:tcPr>
                  <w:tcW w:w="1301" w:type="dxa"/>
                  <w:vAlign w:val="center"/>
                </w:tcPr>
                <w:p w14:paraId="6FCA6A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杨氏婴童用品(广东)有限公司</w:t>
                  </w:r>
                </w:p>
              </w:tc>
              <w:tc>
                <w:tcPr>
                  <w:tcW w:w="372" w:type="dxa"/>
                  <w:vAlign w:val="center"/>
                </w:tcPr>
                <w:p w14:paraId="1C024B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49596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3B5B51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20215.42</w:t>
                  </w:r>
                </w:p>
              </w:tc>
              <w:tc>
                <w:tcPr>
                  <w:tcW w:w="2499" w:type="dxa"/>
                  <w:vAlign w:val="center"/>
                </w:tcPr>
                <w:p w14:paraId="7DEF06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年产奶瓶、水杯 600 万件</w:t>
                  </w:r>
                </w:p>
              </w:tc>
              <w:tc>
                <w:tcPr>
                  <w:tcW w:w="1897" w:type="dxa"/>
                  <w:vAlign w:val="center"/>
                </w:tcPr>
                <w:p w14:paraId="35A531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韶环乐审〔2023〕06 号</w:t>
                  </w:r>
                </w:p>
              </w:tc>
            </w:tr>
            <w:tr w14:paraId="79759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16847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67</w:t>
                  </w:r>
                </w:p>
              </w:tc>
              <w:tc>
                <w:tcPr>
                  <w:tcW w:w="1301" w:type="dxa"/>
                  <w:vAlign w:val="center"/>
                </w:tcPr>
                <w:p w14:paraId="000C01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广东邦嘉硅胶科技有限公司</w:t>
                  </w:r>
                </w:p>
              </w:tc>
              <w:tc>
                <w:tcPr>
                  <w:tcW w:w="372" w:type="dxa"/>
                  <w:vAlign w:val="center"/>
                </w:tcPr>
                <w:p w14:paraId="1263E1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63D0CA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3BBFDC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36000</w:t>
                  </w:r>
                </w:p>
              </w:tc>
              <w:tc>
                <w:tcPr>
                  <w:tcW w:w="2499" w:type="dxa"/>
                  <w:vAlign w:val="center"/>
                </w:tcPr>
                <w:p w14:paraId="1B531C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年产固体硅胶 300 吨、注塑件 300 万件、硅胶件（奶嘴）100万个、玻璃奶瓶 100 万个、硅胶护层产品 100 万件</w:t>
                  </w:r>
                </w:p>
              </w:tc>
              <w:tc>
                <w:tcPr>
                  <w:tcW w:w="1897" w:type="dxa"/>
                  <w:vAlign w:val="center"/>
                </w:tcPr>
                <w:p w14:paraId="43943E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韶关乐审〔2023〕03 号</w:t>
                  </w:r>
                </w:p>
              </w:tc>
            </w:tr>
            <w:tr w14:paraId="477A3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ED332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68</w:t>
                  </w:r>
                </w:p>
              </w:tc>
              <w:tc>
                <w:tcPr>
                  <w:tcW w:w="1301" w:type="dxa"/>
                  <w:vAlign w:val="center"/>
                </w:tcPr>
                <w:p w14:paraId="62F8A3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广东奕宸汽车科技有限公司</w:t>
                  </w:r>
                </w:p>
              </w:tc>
              <w:tc>
                <w:tcPr>
                  <w:tcW w:w="372" w:type="dxa"/>
                  <w:vAlign w:val="center"/>
                </w:tcPr>
                <w:p w14:paraId="737E3B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557D7A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汽车零部件及配件制造</w:t>
                  </w:r>
                </w:p>
              </w:tc>
              <w:tc>
                <w:tcPr>
                  <w:tcW w:w="904" w:type="dxa"/>
                  <w:vAlign w:val="center"/>
                </w:tcPr>
                <w:p w14:paraId="528FB5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33915.52</w:t>
                  </w:r>
                </w:p>
              </w:tc>
              <w:tc>
                <w:tcPr>
                  <w:tcW w:w="2499" w:type="dxa"/>
                  <w:vAlign w:val="center"/>
                </w:tcPr>
                <w:p w14:paraId="0C293E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年产汽车散热器 50 万件</w:t>
                  </w:r>
                </w:p>
              </w:tc>
              <w:tc>
                <w:tcPr>
                  <w:tcW w:w="1897" w:type="dxa"/>
                  <w:vAlign w:val="center"/>
                </w:tcPr>
                <w:p w14:paraId="111BF7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韶环乐审〔2022〕28 号</w:t>
                  </w:r>
                </w:p>
              </w:tc>
            </w:tr>
            <w:tr w14:paraId="71E35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FBB5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69</w:t>
                  </w:r>
                </w:p>
              </w:tc>
              <w:tc>
                <w:tcPr>
                  <w:tcW w:w="1301" w:type="dxa"/>
                  <w:vAlign w:val="center"/>
                </w:tcPr>
                <w:p w14:paraId="51A22A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广东熙诚环保科技有限公司</w:t>
                  </w:r>
                </w:p>
              </w:tc>
              <w:tc>
                <w:tcPr>
                  <w:tcW w:w="372" w:type="dxa"/>
                  <w:vAlign w:val="center"/>
                </w:tcPr>
                <w:p w14:paraId="5A85AF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BB8EF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904" w:type="dxa"/>
                  <w:vAlign w:val="center"/>
                </w:tcPr>
                <w:p w14:paraId="38ECF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13335</w:t>
                  </w:r>
                </w:p>
              </w:tc>
              <w:tc>
                <w:tcPr>
                  <w:tcW w:w="2499" w:type="dxa"/>
                  <w:vAlign w:val="center"/>
                </w:tcPr>
                <w:p w14:paraId="733402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PP 喷淋塔 500 台、PP 活性炭吸附箱 500 台</w:t>
                  </w:r>
                </w:p>
              </w:tc>
              <w:tc>
                <w:tcPr>
                  <w:tcW w:w="1897" w:type="dxa"/>
                  <w:vAlign w:val="center"/>
                </w:tcPr>
                <w:p w14:paraId="0F7DF3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韶环乐审〔2021〕09 号</w:t>
                  </w:r>
                </w:p>
              </w:tc>
            </w:tr>
            <w:tr w14:paraId="24C39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3C079E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70</w:t>
                  </w:r>
                </w:p>
              </w:tc>
              <w:tc>
                <w:tcPr>
                  <w:tcW w:w="1301" w:type="dxa"/>
                  <w:vAlign w:val="center"/>
                </w:tcPr>
                <w:p w14:paraId="5E20C6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韶关市盛源优贝橡塑制品有</w:t>
                  </w:r>
                </w:p>
                <w:p w14:paraId="3DD866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限公司</w:t>
                  </w:r>
                </w:p>
              </w:tc>
              <w:tc>
                <w:tcPr>
                  <w:tcW w:w="372" w:type="dxa"/>
                  <w:vAlign w:val="center"/>
                </w:tcPr>
                <w:p w14:paraId="06146F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F998E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3E94C4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6664</w:t>
                  </w:r>
                </w:p>
              </w:tc>
              <w:tc>
                <w:tcPr>
                  <w:tcW w:w="2499" w:type="dxa"/>
                  <w:vAlign w:val="center"/>
                </w:tcPr>
                <w:p w14:paraId="042178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年产硅胶件 330 万个、注塑件 200 万个、吹瓶件 602 万个</w:t>
                  </w:r>
                </w:p>
              </w:tc>
              <w:tc>
                <w:tcPr>
                  <w:tcW w:w="1897" w:type="dxa"/>
                  <w:vAlign w:val="center"/>
                </w:tcPr>
                <w:p w14:paraId="2D3986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韶关乐审〔2022〕33 号</w:t>
                  </w:r>
                </w:p>
              </w:tc>
            </w:tr>
            <w:tr w14:paraId="34118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64CD3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71</w:t>
                  </w:r>
                </w:p>
              </w:tc>
              <w:tc>
                <w:tcPr>
                  <w:tcW w:w="1301" w:type="dxa"/>
                  <w:vAlign w:val="center"/>
                </w:tcPr>
                <w:p w14:paraId="6731BF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韶关市南源铜材有限公司</w:t>
                  </w:r>
                </w:p>
              </w:tc>
              <w:tc>
                <w:tcPr>
                  <w:tcW w:w="372" w:type="dxa"/>
                  <w:vAlign w:val="center"/>
                </w:tcPr>
                <w:p w14:paraId="7932DB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5E47B8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0EA4CF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44981.3</w:t>
                  </w:r>
                </w:p>
              </w:tc>
              <w:tc>
                <w:tcPr>
                  <w:tcW w:w="2499" w:type="dxa"/>
                  <w:vAlign w:val="center"/>
                </w:tcPr>
                <w:p w14:paraId="38267B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年产含铅黄铜棒 18000 吨、无铅黄铜棒 12000 吨</w:t>
                  </w:r>
                </w:p>
              </w:tc>
              <w:tc>
                <w:tcPr>
                  <w:tcW w:w="1897" w:type="dxa"/>
                  <w:vAlign w:val="center"/>
                </w:tcPr>
                <w:p w14:paraId="3B2270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韶环乐审〔2021〕21 号</w:t>
                  </w:r>
                </w:p>
              </w:tc>
            </w:tr>
            <w:tr w14:paraId="34BD3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9EBA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72</w:t>
                  </w:r>
                </w:p>
              </w:tc>
              <w:tc>
                <w:tcPr>
                  <w:tcW w:w="1301" w:type="dxa"/>
                  <w:vAlign w:val="center"/>
                </w:tcPr>
                <w:p w14:paraId="1C970B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碧宏自动化（广东）有限责任</w:t>
                  </w:r>
                </w:p>
                <w:p w14:paraId="473B4E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6BB529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6650A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通用设备制造业、专用设备制造业</w:t>
                  </w:r>
                </w:p>
              </w:tc>
              <w:tc>
                <w:tcPr>
                  <w:tcW w:w="904" w:type="dxa"/>
                  <w:vAlign w:val="center"/>
                </w:tcPr>
                <w:p w14:paraId="764857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31172.2</w:t>
                  </w:r>
                </w:p>
              </w:tc>
              <w:tc>
                <w:tcPr>
                  <w:tcW w:w="2499" w:type="dxa"/>
                  <w:vAlign w:val="center"/>
                </w:tcPr>
                <w:p w14:paraId="0258CA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年产椭圆印花机 500 台、数码印花机 100 台、拉网机 100 台、</w:t>
                  </w:r>
                </w:p>
                <w:p w14:paraId="51C081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激光切割机 300 台</w:t>
                  </w:r>
                </w:p>
              </w:tc>
              <w:tc>
                <w:tcPr>
                  <w:tcW w:w="1897" w:type="dxa"/>
                  <w:vAlign w:val="center"/>
                </w:tcPr>
                <w:p w14:paraId="35E1D7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韶环乐审〔2023〕10 号</w:t>
                  </w:r>
                </w:p>
              </w:tc>
            </w:tr>
            <w:tr w14:paraId="2CB55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BFA45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73</w:t>
                  </w:r>
                </w:p>
              </w:tc>
              <w:tc>
                <w:tcPr>
                  <w:tcW w:w="1301" w:type="dxa"/>
                  <w:vAlign w:val="center"/>
                </w:tcPr>
                <w:p w14:paraId="427050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广东冠益灯饰有限公司</w:t>
                  </w:r>
                </w:p>
              </w:tc>
              <w:tc>
                <w:tcPr>
                  <w:tcW w:w="372" w:type="dxa"/>
                  <w:vAlign w:val="center"/>
                </w:tcPr>
                <w:p w14:paraId="6AD1E1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8E217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904" w:type="dxa"/>
                  <w:vAlign w:val="center"/>
                </w:tcPr>
                <w:p w14:paraId="618078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13333.4</w:t>
                  </w:r>
                </w:p>
              </w:tc>
              <w:tc>
                <w:tcPr>
                  <w:tcW w:w="2499" w:type="dxa"/>
                  <w:vAlign w:val="center"/>
                </w:tcPr>
                <w:p w14:paraId="4EB5E1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年产灯串 200 万套</w:t>
                  </w:r>
                </w:p>
              </w:tc>
              <w:tc>
                <w:tcPr>
                  <w:tcW w:w="1897" w:type="dxa"/>
                  <w:vAlign w:val="center"/>
                </w:tcPr>
                <w:p w14:paraId="15931F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韶环乐审〔2024〕06 号</w:t>
                  </w:r>
                </w:p>
              </w:tc>
            </w:tr>
            <w:tr w14:paraId="27E1D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7A7AF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74</w:t>
                  </w:r>
                </w:p>
              </w:tc>
              <w:tc>
                <w:tcPr>
                  <w:tcW w:w="1301" w:type="dxa"/>
                  <w:vAlign w:val="center"/>
                </w:tcPr>
                <w:p w14:paraId="46BC2E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韶关三和磁材电子有限公司</w:t>
                  </w:r>
                </w:p>
              </w:tc>
              <w:tc>
                <w:tcPr>
                  <w:tcW w:w="372" w:type="dxa"/>
                  <w:vAlign w:val="center"/>
                </w:tcPr>
                <w:p w14:paraId="708861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FEDD4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904" w:type="dxa"/>
                  <w:vAlign w:val="center"/>
                </w:tcPr>
                <w:p w14:paraId="66DA2B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27014.09</w:t>
                  </w:r>
                </w:p>
              </w:tc>
              <w:tc>
                <w:tcPr>
                  <w:tcW w:w="2499" w:type="dxa"/>
                  <w:vAlign w:val="center"/>
                </w:tcPr>
                <w:p w14:paraId="418831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年产干法铁氧体磁铁 10 亿个</w:t>
                  </w:r>
                </w:p>
              </w:tc>
              <w:tc>
                <w:tcPr>
                  <w:tcW w:w="1897" w:type="dxa"/>
                  <w:vAlign w:val="center"/>
                </w:tcPr>
                <w:p w14:paraId="005899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韶环乐审〔2025〕06 号</w:t>
                  </w:r>
                </w:p>
              </w:tc>
            </w:tr>
            <w:tr w14:paraId="31F76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FC96A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75</w:t>
                  </w:r>
                </w:p>
              </w:tc>
              <w:tc>
                <w:tcPr>
                  <w:tcW w:w="1301" w:type="dxa"/>
                  <w:vAlign w:val="center"/>
                </w:tcPr>
                <w:p w14:paraId="542422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广东立恒新材料科技有限公</w:t>
                  </w:r>
                </w:p>
                <w:p w14:paraId="0FC936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57BC1C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66D02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2FB090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9333</w:t>
                  </w:r>
                </w:p>
              </w:tc>
              <w:tc>
                <w:tcPr>
                  <w:tcW w:w="2499" w:type="dxa"/>
                  <w:vAlign w:val="center"/>
                </w:tcPr>
                <w:p w14:paraId="7834C3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年产改性塑料 8000 吨</w:t>
                  </w:r>
                </w:p>
              </w:tc>
              <w:tc>
                <w:tcPr>
                  <w:tcW w:w="1897" w:type="dxa"/>
                  <w:vAlign w:val="center"/>
                </w:tcPr>
                <w:p w14:paraId="2EAE54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"bookmark252"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 号</w:t>
                  </w:r>
                </w:p>
              </w:tc>
            </w:tr>
            <w:tr w14:paraId="5AA98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FE8FC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76</w:t>
                  </w:r>
                </w:p>
              </w:tc>
              <w:tc>
                <w:tcPr>
                  <w:tcW w:w="1301" w:type="dxa"/>
                  <w:vAlign w:val="center"/>
                </w:tcPr>
                <w:p w14:paraId="222EA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乐昌市赫尔龙体育用品有限</w:t>
                  </w:r>
                </w:p>
                <w:p w14:paraId="797BF5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20D544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26DB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904" w:type="dxa"/>
                  <w:vAlign w:val="center"/>
                </w:tcPr>
                <w:p w14:paraId="6245EA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14604.85</w:t>
                  </w:r>
                </w:p>
              </w:tc>
              <w:tc>
                <w:tcPr>
                  <w:tcW w:w="2499" w:type="dxa"/>
                  <w:vAlign w:val="center"/>
                </w:tcPr>
                <w:p w14:paraId="337230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年产运动服等运动产品 100 万件</w:t>
                  </w:r>
                </w:p>
              </w:tc>
              <w:tc>
                <w:tcPr>
                  <w:tcW w:w="1897" w:type="dxa"/>
                  <w:vAlign w:val="center"/>
                </w:tcPr>
                <w:p w14:paraId="239B40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乐环审〔2019〕21 号</w:t>
                  </w:r>
                </w:p>
              </w:tc>
            </w:tr>
            <w:tr w14:paraId="4F098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jc w:val="center"/>
              </w:trPr>
              <w:tc>
                <w:tcPr>
                  <w:tcW w:w="330" w:type="dxa"/>
                  <w:vAlign w:val="center"/>
                </w:tcPr>
                <w:p w14:paraId="662247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77</w:t>
                  </w:r>
                </w:p>
              </w:tc>
              <w:tc>
                <w:tcPr>
                  <w:tcW w:w="1301" w:type="dxa"/>
                  <w:vAlign w:val="center"/>
                </w:tcPr>
                <w:p w14:paraId="14495C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广东省合高复合材料有限公</w:t>
                  </w:r>
                </w:p>
                <w:p w14:paraId="19E2E5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7FB6B2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EFAAB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904" w:type="dxa"/>
                  <w:vAlign w:val="center"/>
                </w:tcPr>
                <w:p w14:paraId="7B0D33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27017.8</w:t>
                  </w:r>
                </w:p>
              </w:tc>
              <w:tc>
                <w:tcPr>
                  <w:tcW w:w="2499" w:type="dxa"/>
                  <w:vAlign w:val="center"/>
                </w:tcPr>
                <w:p w14:paraId="55BB8A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年产玻璃纤维板材 1 万吨、玻璃钢拉挤制品 4500 吨、缠绕制</w:t>
                  </w:r>
                </w:p>
                <w:p w14:paraId="6FAA5F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品、SMC 模压及玻璃纤维热塑板以及制品各 500 吨、玻璃钢</w:t>
                  </w:r>
                </w:p>
                <w:p w14:paraId="3266D6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格栅 5000 吨、碳纤维制品及彩色胶衣各200 吨、 玻璃钢夹</w:t>
                  </w:r>
                </w:p>
                <w:p w14:paraId="1E18FC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芯板 2700 吨、 RTM 制品 100 吨</w:t>
                  </w:r>
                </w:p>
              </w:tc>
              <w:tc>
                <w:tcPr>
                  <w:tcW w:w="1897" w:type="dxa"/>
                  <w:vAlign w:val="center"/>
                </w:tcPr>
                <w:p w14:paraId="157674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韶环乐审〔2021〕20 号</w:t>
                  </w:r>
                </w:p>
              </w:tc>
            </w:tr>
            <w:tr w14:paraId="5EB4B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69E3C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78</w:t>
                  </w:r>
                </w:p>
              </w:tc>
              <w:tc>
                <w:tcPr>
                  <w:tcW w:w="1301" w:type="dxa"/>
                  <w:vAlign w:val="center"/>
                </w:tcPr>
                <w:p w14:paraId="4E70D5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同向（乐昌）精密机械有限公</w:t>
                  </w:r>
                </w:p>
                <w:p w14:paraId="75E9F8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3745E9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AFB18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904" w:type="dxa"/>
                  <w:vAlign w:val="center"/>
                </w:tcPr>
                <w:p w14:paraId="6A98E9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52810.91</w:t>
                  </w:r>
                </w:p>
              </w:tc>
              <w:tc>
                <w:tcPr>
                  <w:tcW w:w="2499" w:type="dxa"/>
                  <w:vAlign w:val="center"/>
                </w:tcPr>
                <w:p w14:paraId="146535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年产登机桥、环保水箱、压力机械、建筑自动化设备、加工</w:t>
                  </w:r>
                </w:p>
                <w:p w14:paraId="34A29F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中心设备。压铸机等合计 3350 套（台）</w:t>
                  </w:r>
                </w:p>
              </w:tc>
              <w:tc>
                <w:tcPr>
                  <w:tcW w:w="1897" w:type="dxa"/>
                  <w:vAlign w:val="center"/>
                </w:tcPr>
                <w:p w14:paraId="180293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韶环乐审〔2021〕16 号</w:t>
                  </w:r>
                </w:p>
              </w:tc>
            </w:tr>
            <w:tr w14:paraId="6F35A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516F0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79</w:t>
                  </w:r>
                </w:p>
              </w:tc>
              <w:tc>
                <w:tcPr>
                  <w:tcW w:w="1301" w:type="dxa"/>
                  <w:vAlign w:val="center"/>
                </w:tcPr>
                <w:p w14:paraId="7AEF60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乐昌市信达实业有限公司</w:t>
                  </w:r>
                </w:p>
              </w:tc>
              <w:tc>
                <w:tcPr>
                  <w:tcW w:w="372" w:type="dxa"/>
                  <w:vAlign w:val="center"/>
                </w:tcPr>
                <w:p w14:paraId="368963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35B69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文教、工美、体育和娱乐用品制造业</w:t>
                  </w:r>
                </w:p>
              </w:tc>
              <w:tc>
                <w:tcPr>
                  <w:tcW w:w="904" w:type="dxa"/>
                  <w:vAlign w:val="center"/>
                </w:tcPr>
                <w:p w14:paraId="37C261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20000</w:t>
                  </w:r>
                </w:p>
              </w:tc>
              <w:tc>
                <w:tcPr>
                  <w:tcW w:w="2499" w:type="dxa"/>
                  <w:vAlign w:val="center"/>
                </w:tcPr>
                <w:p w14:paraId="24F3AB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年产滑板 100 万台</w:t>
                  </w:r>
                </w:p>
              </w:tc>
              <w:tc>
                <w:tcPr>
                  <w:tcW w:w="1897" w:type="dxa"/>
                  <w:vAlign w:val="center"/>
                </w:tcPr>
                <w:p w14:paraId="42C0DE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乐环审〔2019〕09 号</w:t>
                  </w:r>
                </w:p>
              </w:tc>
            </w:tr>
            <w:tr w14:paraId="59144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8AE53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w:t>
                  </w:r>
                </w:p>
              </w:tc>
              <w:tc>
                <w:tcPr>
                  <w:tcW w:w="1301" w:type="dxa"/>
                  <w:vAlign w:val="center"/>
                </w:tcPr>
                <w:p w14:paraId="1B0F70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广东威柏乐器制造有限公司</w:t>
                  </w:r>
                </w:p>
              </w:tc>
              <w:tc>
                <w:tcPr>
                  <w:tcW w:w="372" w:type="dxa"/>
                  <w:vAlign w:val="center"/>
                </w:tcPr>
                <w:p w14:paraId="016648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4E663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文教、工美、体育和娱乐用品制造业</w:t>
                  </w:r>
                </w:p>
              </w:tc>
              <w:tc>
                <w:tcPr>
                  <w:tcW w:w="904" w:type="dxa"/>
                  <w:vAlign w:val="center"/>
                </w:tcPr>
                <w:p w14:paraId="292F53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43586.57</w:t>
                  </w:r>
                </w:p>
              </w:tc>
              <w:tc>
                <w:tcPr>
                  <w:tcW w:w="2499" w:type="dxa"/>
                  <w:vAlign w:val="center"/>
                </w:tcPr>
                <w:p w14:paraId="2E529E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年产电吉他 35 万把、木吉他 15 万把</w:t>
                  </w:r>
                </w:p>
              </w:tc>
              <w:tc>
                <w:tcPr>
                  <w:tcW w:w="1897" w:type="dxa"/>
                  <w:vAlign w:val="center"/>
                </w:tcPr>
                <w:p w14:paraId="2BC762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韶环乐审〔2025〕02 号、韶环乐审〔2026〕03 号</w:t>
                  </w:r>
                </w:p>
              </w:tc>
            </w:tr>
            <w:tr w14:paraId="14D8A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3C786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81</w:t>
                  </w:r>
                </w:p>
              </w:tc>
              <w:tc>
                <w:tcPr>
                  <w:tcW w:w="1301" w:type="dxa"/>
                  <w:vAlign w:val="center"/>
                </w:tcPr>
                <w:p w14:paraId="78A3C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广东维创兴电子科技有限公</w:t>
                  </w:r>
                </w:p>
                <w:p w14:paraId="150EF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236964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8AE35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904" w:type="dxa"/>
                  <w:vAlign w:val="center"/>
                </w:tcPr>
                <w:p w14:paraId="3E3F79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3925.74</w:t>
                  </w:r>
                </w:p>
              </w:tc>
              <w:tc>
                <w:tcPr>
                  <w:tcW w:w="2499" w:type="dxa"/>
                  <w:vAlign w:val="center"/>
                </w:tcPr>
                <w:p w14:paraId="59BA82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年产触摸屏 100 万片</w:t>
                  </w:r>
                </w:p>
              </w:tc>
              <w:tc>
                <w:tcPr>
                  <w:tcW w:w="1897" w:type="dxa"/>
                  <w:vAlign w:val="center"/>
                </w:tcPr>
                <w:p w14:paraId="4DE5F8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韶环乐审〔2025〕20 号</w:t>
                  </w:r>
                </w:p>
              </w:tc>
            </w:tr>
            <w:tr w14:paraId="71F9A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3D01BC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82</w:t>
                  </w:r>
                </w:p>
              </w:tc>
              <w:tc>
                <w:tcPr>
                  <w:tcW w:w="1301" w:type="dxa"/>
                  <w:vAlign w:val="center"/>
                </w:tcPr>
                <w:p w14:paraId="316EE3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韶关金利达塑料制品有限公</w:t>
                  </w:r>
                </w:p>
                <w:p w14:paraId="6DC701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093277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A338E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31153C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业、废弃资源综合</w:t>
                  </w:r>
                </w:p>
                <w:p w14:paraId="5F7A2B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利用业</w:t>
                  </w:r>
                </w:p>
              </w:tc>
              <w:tc>
                <w:tcPr>
                  <w:tcW w:w="904" w:type="dxa"/>
                  <w:vAlign w:val="center"/>
                </w:tcPr>
                <w:p w14:paraId="75DFD9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18748.8</w:t>
                  </w:r>
                </w:p>
              </w:tc>
              <w:tc>
                <w:tcPr>
                  <w:tcW w:w="2499" w:type="dxa"/>
                  <w:vAlign w:val="center"/>
                </w:tcPr>
                <w:p w14:paraId="1C34CB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年产再生塑胶颗粒 3000 吨</w:t>
                  </w:r>
                </w:p>
              </w:tc>
              <w:tc>
                <w:tcPr>
                  <w:tcW w:w="1897" w:type="dxa"/>
                  <w:vAlign w:val="center"/>
                </w:tcPr>
                <w:p w14:paraId="463AE9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韶环乐审〔2025〕13 号</w:t>
                  </w:r>
                </w:p>
              </w:tc>
            </w:tr>
            <w:tr w14:paraId="416BC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060843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83</w:t>
                  </w:r>
                </w:p>
              </w:tc>
              <w:tc>
                <w:tcPr>
                  <w:tcW w:w="1301" w:type="dxa"/>
                  <w:vAlign w:val="center"/>
                </w:tcPr>
                <w:p w14:paraId="04E81B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广东铭洋应急消防器材有限</w:t>
                  </w:r>
                </w:p>
                <w:p w14:paraId="6C0114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45A986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B0A8A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专用设备制造业</w:t>
                  </w:r>
                </w:p>
              </w:tc>
              <w:tc>
                <w:tcPr>
                  <w:tcW w:w="904" w:type="dxa"/>
                  <w:vAlign w:val="center"/>
                </w:tcPr>
                <w:p w14:paraId="38FBD7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9850</w:t>
                  </w:r>
                </w:p>
              </w:tc>
              <w:tc>
                <w:tcPr>
                  <w:tcW w:w="2499" w:type="dxa"/>
                  <w:vAlign w:val="center"/>
                </w:tcPr>
                <w:p w14:paraId="7F6FBE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年产过滤式消防自救呼吸器 750 万具，配套催化剂 720 吨，</w:t>
                  </w:r>
                </w:p>
                <w:p w14:paraId="301753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卡加拉特剂 1080 吨</w:t>
                  </w:r>
                </w:p>
              </w:tc>
              <w:tc>
                <w:tcPr>
                  <w:tcW w:w="1897" w:type="dxa"/>
                  <w:vAlign w:val="center"/>
                </w:tcPr>
                <w:p w14:paraId="2A1C3F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韶环审〔2025〕24  号</w:t>
                  </w:r>
                </w:p>
              </w:tc>
            </w:tr>
            <w:tr w14:paraId="04EA9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75F92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84</w:t>
                  </w:r>
                </w:p>
              </w:tc>
              <w:tc>
                <w:tcPr>
                  <w:tcW w:w="1301" w:type="dxa"/>
                  <w:vAlign w:val="center"/>
                </w:tcPr>
                <w:p w14:paraId="714284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韶关市建兴新材料科技有限</w:t>
                  </w:r>
                </w:p>
                <w:p w14:paraId="550600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公司</w:t>
                  </w:r>
                </w:p>
              </w:tc>
              <w:tc>
                <w:tcPr>
                  <w:tcW w:w="372" w:type="dxa"/>
                  <w:vAlign w:val="center"/>
                </w:tcPr>
                <w:p w14:paraId="56E961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4DC921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非金属矿采选业</w:t>
                  </w:r>
                </w:p>
              </w:tc>
              <w:tc>
                <w:tcPr>
                  <w:tcW w:w="904" w:type="dxa"/>
                  <w:vAlign w:val="center"/>
                </w:tcPr>
                <w:p w14:paraId="5AF8CD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33562.6</w:t>
                  </w:r>
                </w:p>
              </w:tc>
              <w:tc>
                <w:tcPr>
                  <w:tcW w:w="2499" w:type="dxa"/>
                  <w:vAlign w:val="center"/>
                </w:tcPr>
                <w:p w14:paraId="7ECA66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年产堂石精矿 5 万吨</w:t>
                  </w:r>
                </w:p>
              </w:tc>
              <w:tc>
                <w:tcPr>
                  <w:tcW w:w="1897" w:type="dxa"/>
                  <w:vAlign w:val="center"/>
                </w:tcPr>
                <w:p w14:paraId="4E0457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韶环乐审〔2025〕14  号</w:t>
                  </w:r>
                </w:p>
              </w:tc>
            </w:tr>
            <w:tr w14:paraId="6389F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84ABD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85</w:t>
                  </w:r>
                </w:p>
              </w:tc>
              <w:tc>
                <w:tcPr>
                  <w:tcW w:w="1301" w:type="dxa"/>
                  <w:vAlign w:val="center"/>
                </w:tcPr>
                <w:p w14:paraId="13C1D9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韶关市泳金构造机械有限公</w:t>
                  </w:r>
                </w:p>
                <w:p w14:paraId="350FB9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4CA39B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4AD72F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310762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20477.32</w:t>
                  </w:r>
                </w:p>
              </w:tc>
              <w:tc>
                <w:tcPr>
                  <w:tcW w:w="2499" w:type="dxa"/>
                  <w:vAlign w:val="center"/>
                </w:tcPr>
                <w:p w14:paraId="7D5890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年产钢结构成品 1.3 万吨</w:t>
                  </w:r>
                </w:p>
              </w:tc>
              <w:tc>
                <w:tcPr>
                  <w:tcW w:w="1897" w:type="dxa"/>
                  <w:vAlign w:val="center"/>
                </w:tcPr>
                <w:p w14:paraId="317D72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韶环乐审〔2025〕05 号</w:t>
                  </w:r>
                </w:p>
              </w:tc>
            </w:tr>
            <w:tr w14:paraId="39331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D1D09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86</w:t>
                  </w:r>
                </w:p>
              </w:tc>
              <w:tc>
                <w:tcPr>
                  <w:tcW w:w="1301" w:type="dxa"/>
                  <w:vAlign w:val="center"/>
                </w:tcPr>
                <w:p w14:paraId="2B3B0C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广东欣汇复合材料有限公司</w:t>
                  </w:r>
                </w:p>
              </w:tc>
              <w:tc>
                <w:tcPr>
                  <w:tcW w:w="372" w:type="dxa"/>
                  <w:vAlign w:val="center"/>
                </w:tcPr>
                <w:p w14:paraId="4C61B6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324B92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非金属矿物制品业</w:t>
                  </w:r>
                </w:p>
              </w:tc>
              <w:tc>
                <w:tcPr>
                  <w:tcW w:w="904" w:type="dxa"/>
                  <w:vAlign w:val="center"/>
                </w:tcPr>
                <w:p w14:paraId="01087B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29024.94</w:t>
                  </w:r>
                </w:p>
              </w:tc>
              <w:tc>
                <w:tcPr>
                  <w:tcW w:w="2499" w:type="dxa"/>
                  <w:vAlign w:val="center"/>
                </w:tcPr>
                <w:p w14:paraId="0F4454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年产玻璃纤维增强塑料制品 7200 吨、玻纤布 1200 吨、生活</w:t>
                  </w:r>
                </w:p>
                <w:p w14:paraId="0CB32E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用品 3500 吨、塑料配件 15 吨</w:t>
                  </w:r>
                </w:p>
              </w:tc>
              <w:tc>
                <w:tcPr>
                  <w:tcW w:w="1897" w:type="dxa"/>
                  <w:vAlign w:val="center"/>
                </w:tcPr>
                <w:p w14:paraId="034124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韶环乐审〔2024〕26 号</w:t>
                  </w:r>
                </w:p>
              </w:tc>
            </w:tr>
            <w:tr w14:paraId="72524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89844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87</w:t>
                  </w:r>
                </w:p>
              </w:tc>
              <w:tc>
                <w:tcPr>
                  <w:tcW w:w="1301" w:type="dxa"/>
                  <w:vAlign w:val="center"/>
                </w:tcPr>
                <w:p w14:paraId="57B53C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乐昌市鑫盛塑业有限公司</w:t>
                  </w:r>
                </w:p>
              </w:tc>
              <w:tc>
                <w:tcPr>
                  <w:tcW w:w="372" w:type="dxa"/>
                  <w:vAlign w:val="center"/>
                </w:tcPr>
                <w:p w14:paraId="08974A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604ADC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6F7718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1182.71</w:t>
                  </w:r>
                </w:p>
              </w:tc>
              <w:tc>
                <w:tcPr>
                  <w:tcW w:w="2499" w:type="dxa"/>
                  <w:vAlign w:val="center"/>
                </w:tcPr>
                <w:p w14:paraId="6F6A80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年产编织袋 5000 吨</w:t>
                  </w:r>
                </w:p>
              </w:tc>
              <w:tc>
                <w:tcPr>
                  <w:tcW w:w="1897" w:type="dxa"/>
                  <w:vAlign w:val="center"/>
                </w:tcPr>
                <w:p w14:paraId="128350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"bookmark253"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 号</w:t>
                  </w:r>
                </w:p>
              </w:tc>
            </w:tr>
            <w:tr w14:paraId="7226A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B7DA4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88</w:t>
                  </w:r>
                </w:p>
              </w:tc>
              <w:tc>
                <w:tcPr>
                  <w:tcW w:w="1301" w:type="dxa"/>
                  <w:vAlign w:val="center"/>
                </w:tcPr>
                <w:p w14:paraId="71F3CA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广东金康新材料有限公司</w:t>
                  </w:r>
                </w:p>
              </w:tc>
              <w:tc>
                <w:tcPr>
                  <w:tcW w:w="372" w:type="dxa"/>
                  <w:vAlign w:val="center"/>
                </w:tcPr>
                <w:p w14:paraId="78CB13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32A9F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化学原料和化学制品制造业</w:t>
                  </w:r>
                </w:p>
              </w:tc>
              <w:tc>
                <w:tcPr>
                  <w:tcW w:w="904" w:type="dxa"/>
                  <w:vAlign w:val="center"/>
                </w:tcPr>
                <w:p w14:paraId="549599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11260.7</w:t>
                  </w:r>
                </w:p>
              </w:tc>
              <w:tc>
                <w:tcPr>
                  <w:tcW w:w="2499" w:type="dxa"/>
                  <w:vAlign w:val="center"/>
                </w:tcPr>
                <w:p w14:paraId="77FA13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稳定剂 3600 吨、助剂 2400 吨</w:t>
                  </w:r>
                </w:p>
              </w:tc>
              <w:tc>
                <w:tcPr>
                  <w:tcW w:w="1897" w:type="dxa"/>
                  <w:vAlign w:val="center"/>
                </w:tcPr>
                <w:p w14:paraId="2DD5F9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乐环审〔2020〕10 号</w:t>
                  </w:r>
                </w:p>
              </w:tc>
            </w:tr>
            <w:tr w14:paraId="08104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61A729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89</w:t>
                  </w:r>
                </w:p>
              </w:tc>
              <w:tc>
                <w:tcPr>
                  <w:tcW w:w="1301" w:type="dxa"/>
                  <w:vAlign w:val="center"/>
                </w:tcPr>
                <w:p w14:paraId="526809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韶关市恒琦耐磨材料有限公</w:t>
                  </w:r>
                </w:p>
                <w:p w14:paraId="4D4F9F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090EBB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73A8D3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6854B1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2200</w:t>
                  </w:r>
                </w:p>
              </w:tc>
              <w:tc>
                <w:tcPr>
                  <w:tcW w:w="2499" w:type="dxa"/>
                  <w:vAlign w:val="center"/>
                </w:tcPr>
                <w:p w14:paraId="4DC130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年产耐磨钢球 1 万吨</w:t>
                  </w:r>
                </w:p>
              </w:tc>
              <w:tc>
                <w:tcPr>
                  <w:tcW w:w="1897" w:type="dxa"/>
                  <w:vAlign w:val="center"/>
                </w:tcPr>
                <w:p w14:paraId="0590FC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韶环乐审〔2023〕26 号</w:t>
                  </w:r>
                </w:p>
              </w:tc>
            </w:tr>
            <w:tr w14:paraId="0A913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68ED8C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90</w:t>
                  </w:r>
                </w:p>
              </w:tc>
              <w:tc>
                <w:tcPr>
                  <w:tcW w:w="1301" w:type="dxa"/>
                  <w:vAlign w:val="center"/>
                </w:tcPr>
                <w:p w14:paraId="7F38EF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乐昌市永成智能厨房设备制造有限公司</w:t>
                  </w:r>
                </w:p>
              </w:tc>
              <w:tc>
                <w:tcPr>
                  <w:tcW w:w="372" w:type="dxa"/>
                  <w:vAlign w:val="center"/>
                </w:tcPr>
                <w:p w14:paraId="031254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694CB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通用设备制造业</w:t>
                  </w:r>
                </w:p>
              </w:tc>
              <w:tc>
                <w:tcPr>
                  <w:tcW w:w="904" w:type="dxa"/>
                  <w:vAlign w:val="center"/>
                </w:tcPr>
                <w:p w14:paraId="69EAD7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33333.33</w:t>
                  </w:r>
                </w:p>
              </w:tc>
              <w:tc>
                <w:tcPr>
                  <w:tcW w:w="2499" w:type="dxa"/>
                  <w:vAlign w:val="center"/>
                </w:tcPr>
                <w:p w14:paraId="2C7D2D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年产锅炉具类、蒸炉具类、工作台类、层架类、星盆类、柜</w:t>
                  </w:r>
                </w:p>
                <w:p w14:paraId="23BDAE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式类、消毒柜类、备餐类、餐车类、餐台类、西餐类、环保</w:t>
                  </w:r>
                </w:p>
                <w:p w14:paraId="60E753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设备类 12570 台</w:t>
                  </w:r>
                </w:p>
              </w:tc>
              <w:tc>
                <w:tcPr>
                  <w:tcW w:w="1897" w:type="dxa"/>
                  <w:vAlign w:val="center"/>
                </w:tcPr>
                <w:p w14:paraId="1335CA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"bookmark254"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]41 号</w:t>
                  </w:r>
                </w:p>
              </w:tc>
            </w:tr>
            <w:tr w14:paraId="790CF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E9C7E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91</w:t>
                  </w:r>
                </w:p>
              </w:tc>
              <w:tc>
                <w:tcPr>
                  <w:tcW w:w="1301" w:type="dxa"/>
                  <w:vAlign w:val="center"/>
                </w:tcPr>
                <w:p w14:paraId="226991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广东润昕新材料有限公司</w:t>
                  </w:r>
                </w:p>
              </w:tc>
              <w:tc>
                <w:tcPr>
                  <w:tcW w:w="372" w:type="dxa"/>
                  <w:vAlign w:val="center"/>
                </w:tcPr>
                <w:p w14:paraId="228554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23ED8C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2F66A6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34905.44</w:t>
                  </w:r>
                </w:p>
              </w:tc>
              <w:tc>
                <w:tcPr>
                  <w:tcW w:w="2499" w:type="dxa"/>
                  <w:vAlign w:val="center"/>
                </w:tcPr>
                <w:p w14:paraId="30B8CA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100 万平方米</w:t>
                  </w:r>
                </w:p>
              </w:tc>
              <w:tc>
                <w:tcPr>
                  <w:tcW w:w="1897" w:type="dxa"/>
                  <w:vAlign w:val="center"/>
                </w:tcPr>
                <w:p w14:paraId="10C932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韶环乐审〔2025〕21 号</w:t>
                  </w:r>
                </w:p>
              </w:tc>
            </w:tr>
            <w:tr w14:paraId="46B99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69DD6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92</w:t>
                  </w:r>
                </w:p>
              </w:tc>
              <w:tc>
                <w:tcPr>
                  <w:tcW w:w="1301" w:type="dxa"/>
                  <w:vAlign w:val="center"/>
                </w:tcPr>
                <w:p w14:paraId="6E5DCF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筑能（韶关）精工制造有限公</w:t>
                  </w:r>
                </w:p>
                <w:p w14:paraId="43BE10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67D915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62CD3E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28DFDC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36212.64</w:t>
                  </w:r>
                </w:p>
              </w:tc>
              <w:tc>
                <w:tcPr>
                  <w:tcW w:w="2499" w:type="dxa"/>
                  <w:vAlign w:val="center"/>
                </w:tcPr>
                <w:p w14:paraId="1410AD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150 万平方米</w:t>
                  </w:r>
                </w:p>
              </w:tc>
              <w:tc>
                <w:tcPr>
                  <w:tcW w:w="1897" w:type="dxa"/>
                  <w:vAlign w:val="center"/>
                </w:tcPr>
                <w:p w14:paraId="01604D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韶环乐审〔2025〕19 号</w:t>
                  </w:r>
                </w:p>
              </w:tc>
            </w:tr>
            <w:tr w14:paraId="7E647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03ACC2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93</w:t>
                  </w:r>
                </w:p>
              </w:tc>
              <w:tc>
                <w:tcPr>
                  <w:tcW w:w="1301" w:type="dxa"/>
                  <w:vAlign w:val="center"/>
                </w:tcPr>
                <w:p w14:paraId="5306D8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美伦建材（韶关）有限公司</w:t>
                  </w:r>
                </w:p>
              </w:tc>
              <w:tc>
                <w:tcPr>
                  <w:tcW w:w="372" w:type="dxa"/>
                  <w:vAlign w:val="center"/>
                </w:tcPr>
                <w:p w14:paraId="73C0A8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3B4F7B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57D97F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54969.22</w:t>
                  </w:r>
                </w:p>
              </w:tc>
              <w:tc>
                <w:tcPr>
                  <w:tcW w:w="2499" w:type="dxa"/>
                  <w:vAlign w:val="center"/>
                </w:tcPr>
                <w:p w14:paraId="5EBC93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年加工铝卷原料 200 万平方米</w:t>
                  </w:r>
                </w:p>
              </w:tc>
              <w:tc>
                <w:tcPr>
                  <w:tcW w:w="1897" w:type="dxa"/>
                  <w:vAlign w:val="center"/>
                </w:tcPr>
                <w:p w14:paraId="4D2856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韶环乐审〔2025〕08 号</w:t>
                  </w:r>
                </w:p>
              </w:tc>
            </w:tr>
            <w:tr w14:paraId="23A6F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08D8D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94</w:t>
                  </w:r>
                </w:p>
              </w:tc>
              <w:tc>
                <w:tcPr>
                  <w:tcW w:w="1301" w:type="dxa"/>
                  <w:vAlign w:val="center"/>
                </w:tcPr>
                <w:p w14:paraId="2AD5ED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中荣印刷（韶关）有限公司</w:t>
                  </w:r>
                </w:p>
              </w:tc>
              <w:tc>
                <w:tcPr>
                  <w:tcW w:w="372" w:type="dxa"/>
                  <w:vAlign w:val="center"/>
                </w:tcPr>
                <w:p w14:paraId="6D23CA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1EF345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造纸和纸制品业</w:t>
                  </w:r>
                </w:p>
              </w:tc>
              <w:tc>
                <w:tcPr>
                  <w:tcW w:w="904" w:type="dxa"/>
                  <w:vAlign w:val="center"/>
                </w:tcPr>
                <w:p w14:paraId="3B68AA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3227.65</w:t>
                  </w:r>
                </w:p>
              </w:tc>
              <w:tc>
                <w:tcPr>
                  <w:tcW w:w="2499" w:type="dxa"/>
                  <w:vAlign w:val="center"/>
                </w:tcPr>
                <w:p w14:paraId="2044CA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年产彩盒 500 万个、礼盒 50 万个、卡类 500 万张</w:t>
                  </w:r>
                </w:p>
              </w:tc>
              <w:tc>
                <w:tcPr>
                  <w:tcW w:w="1897" w:type="dxa"/>
                  <w:vAlign w:val="center"/>
                </w:tcPr>
                <w:p w14:paraId="25BD2A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韶环乐审〔2024〕24 号</w:t>
                  </w:r>
                </w:p>
              </w:tc>
            </w:tr>
            <w:tr w14:paraId="59491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43367D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w:t>
                  </w:r>
                </w:p>
              </w:tc>
              <w:tc>
                <w:tcPr>
                  <w:tcW w:w="1301" w:type="dxa"/>
                  <w:vAlign w:val="center"/>
                </w:tcPr>
                <w:p w14:paraId="08E200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廓鑫建材（韶关）有限公司</w:t>
                  </w:r>
                </w:p>
              </w:tc>
              <w:tc>
                <w:tcPr>
                  <w:tcW w:w="372" w:type="dxa"/>
                  <w:vAlign w:val="center"/>
                </w:tcPr>
                <w:p w14:paraId="5F94F0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5AB167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4DEDA4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33373.03</w:t>
                  </w:r>
                </w:p>
              </w:tc>
              <w:tc>
                <w:tcPr>
                  <w:tcW w:w="2499" w:type="dxa"/>
                  <w:vAlign w:val="center"/>
                </w:tcPr>
                <w:p w14:paraId="11DFE2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年产钣金件 8100 吨</w:t>
                  </w:r>
                </w:p>
              </w:tc>
              <w:tc>
                <w:tcPr>
                  <w:tcW w:w="1897" w:type="dxa"/>
                  <w:vAlign w:val="center"/>
                </w:tcPr>
                <w:p w14:paraId="1762C1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韶环乐审〔2025〕25 号</w:t>
                  </w:r>
                </w:p>
              </w:tc>
            </w:tr>
            <w:tr w14:paraId="5C7D9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B66B5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96</w:t>
                  </w:r>
                </w:p>
              </w:tc>
              <w:tc>
                <w:tcPr>
                  <w:tcW w:w="1301" w:type="dxa"/>
                  <w:vAlign w:val="center"/>
                </w:tcPr>
                <w:p w14:paraId="7DBA31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广东三筑金属制品有限公司</w:t>
                  </w:r>
                </w:p>
              </w:tc>
              <w:tc>
                <w:tcPr>
                  <w:tcW w:w="372" w:type="dxa"/>
                  <w:vAlign w:val="center"/>
                </w:tcPr>
                <w:p w14:paraId="665080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631C3A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239949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54139.29</w:t>
                  </w:r>
                </w:p>
              </w:tc>
              <w:tc>
                <w:tcPr>
                  <w:tcW w:w="2499" w:type="dxa"/>
                  <w:vAlign w:val="center"/>
                </w:tcPr>
                <w:p w14:paraId="7400F6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年产各类板及其他铝制品 110 万平方米</w:t>
                  </w:r>
                </w:p>
              </w:tc>
              <w:tc>
                <w:tcPr>
                  <w:tcW w:w="1897" w:type="dxa"/>
                  <w:vAlign w:val="center"/>
                </w:tcPr>
                <w:p w14:paraId="4DDD6D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韶环乐审〔2025〕24 号</w:t>
                  </w:r>
                </w:p>
              </w:tc>
            </w:tr>
            <w:tr w14:paraId="3C685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24E3B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97</w:t>
                  </w:r>
                </w:p>
              </w:tc>
              <w:tc>
                <w:tcPr>
                  <w:tcW w:w="1301" w:type="dxa"/>
                  <w:vAlign w:val="center"/>
                </w:tcPr>
                <w:p w14:paraId="1DC5B4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广东启健净水设备有限公司</w:t>
                  </w:r>
                </w:p>
              </w:tc>
              <w:tc>
                <w:tcPr>
                  <w:tcW w:w="372" w:type="dxa"/>
                  <w:vAlign w:val="center"/>
                </w:tcPr>
                <w:p w14:paraId="136B62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15" w:type="dxa"/>
                  <w:vAlign w:val="center"/>
                </w:tcPr>
                <w:p w14:paraId="0A9954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家具制造业</w:t>
                  </w:r>
                </w:p>
              </w:tc>
              <w:tc>
                <w:tcPr>
                  <w:tcW w:w="904" w:type="dxa"/>
                  <w:vAlign w:val="center"/>
                </w:tcPr>
                <w:p w14:paraId="65D60E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9598</w:t>
                  </w:r>
                </w:p>
              </w:tc>
              <w:tc>
                <w:tcPr>
                  <w:tcW w:w="2499" w:type="dxa"/>
                  <w:vAlign w:val="center"/>
                </w:tcPr>
                <w:p w14:paraId="26D086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年产直沸水壶机、饮水机、直饮水机、净水器、纯水机等净水设备 120 万台、饮用水机配件、净水机配件 150 万件</w:t>
                  </w:r>
                </w:p>
              </w:tc>
              <w:tc>
                <w:tcPr>
                  <w:tcW w:w="1897" w:type="dxa"/>
                  <w:vAlign w:val="center"/>
                </w:tcPr>
                <w:p w14:paraId="16C977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乐环审〔2019〕42 号</w:t>
                  </w:r>
                </w:p>
              </w:tc>
            </w:tr>
            <w:tr w14:paraId="42F2E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41964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98</w:t>
                  </w:r>
                </w:p>
              </w:tc>
              <w:tc>
                <w:tcPr>
                  <w:tcW w:w="1301" w:type="dxa"/>
                  <w:vAlign w:val="center"/>
                </w:tcPr>
                <w:p w14:paraId="029D88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乐昌产业园工业固体废弃物设施补短板项目</w:t>
                  </w:r>
                </w:p>
              </w:tc>
              <w:tc>
                <w:tcPr>
                  <w:tcW w:w="372" w:type="dxa"/>
                  <w:vAlign w:val="center"/>
                </w:tcPr>
                <w:p w14:paraId="297630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15" w:type="dxa"/>
                  <w:vAlign w:val="center"/>
                </w:tcPr>
                <w:p w14:paraId="756F29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装卸搬运和仓储业</w:t>
                  </w:r>
                </w:p>
              </w:tc>
              <w:tc>
                <w:tcPr>
                  <w:tcW w:w="904" w:type="dxa"/>
                  <w:vAlign w:val="center"/>
                </w:tcPr>
                <w:p w14:paraId="587FA6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4000</w:t>
                  </w:r>
                </w:p>
              </w:tc>
              <w:tc>
                <w:tcPr>
                  <w:tcW w:w="2499" w:type="dxa"/>
                  <w:vAlign w:val="center"/>
                </w:tcPr>
                <w:p w14:paraId="1E26E6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年收集危险废物 2806 吨，一般固体废物 8.5 万吨。</w:t>
                  </w:r>
                </w:p>
              </w:tc>
              <w:tc>
                <w:tcPr>
                  <w:tcW w:w="1897" w:type="dxa"/>
                  <w:vAlign w:val="center"/>
                </w:tcPr>
                <w:p w14:paraId="67EF9B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韶环乐审〔2023〕05 号</w:t>
                  </w:r>
                </w:p>
              </w:tc>
            </w:tr>
            <w:tr w14:paraId="71732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58775B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99</w:t>
                  </w:r>
                </w:p>
              </w:tc>
              <w:tc>
                <w:tcPr>
                  <w:tcW w:w="1301" w:type="dxa"/>
                  <w:vAlign w:val="center"/>
                </w:tcPr>
                <w:p w14:paraId="04E90A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乐昌市鑫盛威塑胶新材料科技有限公司</w:t>
                  </w:r>
                </w:p>
              </w:tc>
              <w:tc>
                <w:tcPr>
                  <w:tcW w:w="372" w:type="dxa"/>
                  <w:vAlign w:val="center"/>
                </w:tcPr>
                <w:p w14:paraId="403616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15" w:type="dxa"/>
                  <w:vAlign w:val="center"/>
                </w:tcPr>
                <w:p w14:paraId="07AB55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w:t>
                  </w:r>
                </w:p>
                <w:p w14:paraId="51D71B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业、非金属矿物制</w:t>
                  </w:r>
                </w:p>
                <w:p w14:paraId="080F5F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品业</w:t>
                  </w:r>
                </w:p>
              </w:tc>
              <w:tc>
                <w:tcPr>
                  <w:tcW w:w="904" w:type="dxa"/>
                  <w:vAlign w:val="center"/>
                </w:tcPr>
                <w:p w14:paraId="3E1266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8000</w:t>
                  </w:r>
                </w:p>
              </w:tc>
              <w:tc>
                <w:tcPr>
                  <w:tcW w:w="2499" w:type="dxa"/>
                  <w:vAlign w:val="center"/>
                </w:tcPr>
                <w:p w14:paraId="79E861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p>
                <w:p w14:paraId="6AA61E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PVC 膜2600 吨、PU 膜 500 吨、人造石墨 2 万吨</w:t>
                  </w:r>
                </w:p>
              </w:tc>
              <w:tc>
                <w:tcPr>
                  <w:tcW w:w="1897" w:type="dxa"/>
                  <w:vAlign w:val="center"/>
                </w:tcPr>
                <w:p w14:paraId="3BF96C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"bookmark255"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]81 号、韶环乐审</w:t>
                  </w:r>
                </w:p>
                <w:p w14:paraId="61EA12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"bookmark256"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2023</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 号</w:t>
                  </w:r>
                </w:p>
              </w:tc>
            </w:tr>
            <w:tr w14:paraId="60B79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B6402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w:t>
                  </w:r>
                </w:p>
              </w:tc>
              <w:tc>
                <w:tcPr>
                  <w:tcW w:w="1301" w:type="dxa"/>
                  <w:vAlign w:val="center"/>
                </w:tcPr>
                <w:p w14:paraId="17E2C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乐昌市众诚塑㬵制品有限公</w:t>
                  </w:r>
                </w:p>
                <w:p w14:paraId="493964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司</w:t>
                  </w:r>
                </w:p>
              </w:tc>
              <w:tc>
                <w:tcPr>
                  <w:tcW w:w="372" w:type="dxa"/>
                  <w:vAlign w:val="center"/>
                </w:tcPr>
                <w:p w14:paraId="20CB2E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15" w:type="dxa"/>
                  <w:vAlign w:val="center"/>
                </w:tcPr>
                <w:p w14:paraId="630B91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446692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12419.5</w:t>
                  </w:r>
                </w:p>
              </w:tc>
              <w:tc>
                <w:tcPr>
                  <w:tcW w:w="2499" w:type="dxa"/>
                  <w:vAlign w:val="center"/>
                </w:tcPr>
                <w:p w14:paraId="0C125A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1300 吨、聚氨酯装饰制品 200 吨</w:t>
                  </w:r>
                </w:p>
              </w:tc>
              <w:tc>
                <w:tcPr>
                  <w:tcW w:w="1897" w:type="dxa"/>
                  <w:vAlign w:val="center"/>
                </w:tcPr>
                <w:p w14:paraId="3C767D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"bookmark257"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15 号</w:t>
                  </w:r>
                </w:p>
              </w:tc>
            </w:tr>
            <w:tr w14:paraId="66F30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C62B3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101</w:t>
                  </w:r>
                </w:p>
              </w:tc>
              <w:tc>
                <w:tcPr>
                  <w:tcW w:w="1301" w:type="dxa"/>
                  <w:vAlign w:val="center"/>
                </w:tcPr>
                <w:p w14:paraId="00833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韶关盖邦建材有限公司</w:t>
                  </w:r>
                </w:p>
              </w:tc>
              <w:tc>
                <w:tcPr>
                  <w:tcW w:w="372" w:type="dxa"/>
                  <w:vAlign w:val="center"/>
                </w:tcPr>
                <w:p w14:paraId="234481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已批未建</w:t>
                  </w:r>
                </w:p>
              </w:tc>
              <w:tc>
                <w:tcPr>
                  <w:tcW w:w="1015" w:type="dxa"/>
                  <w:vAlign w:val="center"/>
                </w:tcPr>
                <w:p w14:paraId="489729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540EE3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10000</w:t>
                  </w:r>
                </w:p>
              </w:tc>
              <w:tc>
                <w:tcPr>
                  <w:tcW w:w="2499" w:type="dxa"/>
                  <w:vAlign w:val="center"/>
                </w:tcPr>
                <w:p w14:paraId="04FBE1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6000 个不锈钢井盖、排水沟盖板</w:t>
                  </w:r>
                </w:p>
              </w:tc>
              <w:tc>
                <w:tcPr>
                  <w:tcW w:w="1897" w:type="dxa"/>
                  <w:vAlign w:val="center"/>
                </w:tcPr>
                <w:p w14:paraId="771A65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乐环审〔2019〕33 号</w:t>
                  </w:r>
                </w:p>
              </w:tc>
            </w:tr>
            <w:tr w14:paraId="2AA65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5535E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102</w:t>
                  </w:r>
                </w:p>
              </w:tc>
              <w:tc>
                <w:tcPr>
                  <w:tcW w:w="1301" w:type="dxa"/>
                  <w:vAlign w:val="center"/>
                </w:tcPr>
                <w:p w14:paraId="5502C7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广东力齐铝模科技有限公司</w:t>
                  </w:r>
                </w:p>
              </w:tc>
              <w:tc>
                <w:tcPr>
                  <w:tcW w:w="372" w:type="dxa"/>
                  <w:vAlign w:val="center"/>
                </w:tcPr>
                <w:p w14:paraId="1FB590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15" w:type="dxa"/>
                  <w:vAlign w:val="center"/>
                </w:tcPr>
                <w:p w14:paraId="4C2E83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4E5916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32404.8</w:t>
                  </w:r>
                </w:p>
              </w:tc>
              <w:tc>
                <w:tcPr>
                  <w:tcW w:w="2499" w:type="dxa"/>
                  <w:vAlign w:val="center"/>
                </w:tcPr>
                <w:p w14:paraId="6B2A4E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年产铝合金建筑模板 24 万平方米，年处理结构件 6630 吨</w:t>
                  </w:r>
                </w:p>
              </w:tc>
              <w:tc>
                <w:tcPr>
                  <w:tcW w:w="1897" w:type="dxa"/>
                  <w:vAlign w:val="center"/>
                </w:tcPr>
                <w:p w14:paraId="6F36F3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乐环审〔2020〕31 号、韶环乐审</w:t>
                  </w:r>
                </w:p>
                <w:p w14:paraId="32CA8B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〔2022〕08 号</w:t>
                  </w:r>
                </w:p>
              </w:tc>
            </w:tr>
            <w:tr w14:paraId="38326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jc w:val="center"/>
              </w:trPr>
              <w:tc>
                <w:tcPr>
                  <w:tcW w:w="330" w:type="dxa"/>
                  <w:vAlign w:val="center"/>
                </w:tcPr>
                <w:p w14:paraId="272946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103</w:t>
                  </w:r>
                </w:p>
              </w:tc>
              <w:tc>
                <w:tcPr>
                  <w:tcW w:w="1301" w:type="dxa"/>
                  <w:vAlign w:val="center"/>
                </w:tcPr>
                <w:p w14:paraId="0EDD19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乐昌市吉焱实业有限公司</w:t>
                  </w:r>
                </w:p>
              </w:tc>
              <w:tc>
                <w:tcPr>
                  <w:tcW w:w="372" w:type="dxa"/>
                  <w:vAlign w:val="center"/>
                </w:tcPr>
                <w:p w14:paraId="3D0BF1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15" w:type="dxa"/>
                  <w:vAlign w:val="center"/>
                </w:tcPr>
                <w:p w14:paraId="76951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3452B7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24875.4</w:t>
                  </w:r>
                </w:p>
              </w:tc>
              <w:tc>
                <w:tcPr>
                  <w:tcW w:w="2499" w:type="dxa"/>
                  <w:vAlign w:val="center"/>
                </w:tcPr>
                <w:p w14:paraId="0FB80B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PU 装饰线条 1500 吨、聚氨酯装饰制品 250 吨</w:t>
                  </w:r>
                </w:p>
              </w:tc>
              <w:tc>
                <w:tcPr>
                  <w:tcW w:w="1897" w:type="dxa"/>
                  <w:vAlign w:val="center"/>
                </w:tcPr>
                <w:p w14:paraId="0684B5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"bookmark258"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14 号</w:t>
                  </w:r>
                </w:p>
              </w:tc>
            </w:tr>
            <w:tr w14:paraId="09A6A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E13C7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104</w:t>
                  </w:r>
                </w:p>
              </w:tc>
              <w:tc>
                <w:tcPr>
                  <w:tcW w:w="1301" w:type="dxa"/>
                  <w:vAlign w:val="center"/>
                </w:tcPr>
                <w:p w14:paraId="3846E0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广东省嘉上实业有限公司</w:t>
                  </w:r>
                </w:p>
              </w:tc>
              <w:tc>
                <w:tcPr>
                  <w:tcW w:w="372" w:type="dxa"/>
                  <w:vAlign w:val="center"/>
                </w:tcPr>
                <w:p w14:paraId="6BDCFC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15" w:type="dxa"/>
                  <w:vAlign w:val="center"/>
                </w:tcPr>
                <w:p w14:paraId="750F08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3B328B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12926.42</w:t>
                  </w:r>
                </w:p>
              </w:tc>
              <w:tc>
                <w:tcPr>
                  <w:tcW w:w="2499" w:type="dxa"/>
                  <w:vAlign w:val="center"/>
                </w:tcPr>
                <w:p w14:paraId="621B21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年产塑胶桶 500 万个</w:t>
                  </w:r>
                </w:p>
              </w:tc>
              <w:tc>
                <w:tcPr>
                  <w:tcW w:w="1897" w:type="dxa"/>
                  <w:vAlign w:val="center"/>
                </w:tcPr>
                <w:p w14:paraId="79A1F2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"bookmark259"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]21 号</w:t>
                  </w:r>
                </w:p>
              </w:tc>
            </w:tr>
            <w:tr w14:paraId="6439E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330" w:type="dxa"/>
                  <w:vAlign w:val="center"/>
                </w:tcPr>
                <w:p w14:paraId="1F80C4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105</w:t>
                  </w:r>
                </w:p>
              </w:tc>
              <w:tc>
                <w:tcPr>
                  <w:tcW w:w="1301" w:type="dxa"/>
                  <w:vAlign w:val="center"/>
                </w:tcPr>
                <w:p w14:paraId="7767E7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溢拓新能源(广东)有限公司</w:t>
                  </w:r>
                </w:p>
              </w:tc>
              <w:tc>
                <w:tcPr>
                  <w:tcW w:w="372" w:type="dxa"/>
                  <w:vAlign w:val="center"/>
                </w:tcPr>
                <w:p w14:paraId="6CC354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15" w:type="dxa"/>
                  <w:vAlign w:val="center"/>
                </w:tcPr>
                <w:p w14:paraId="780CA3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电气机械和器材制造业</w:t>
                  </w:r>
                </w:p>
              </w:tc>
              <w:tc>
                <w:tcPr>
                  <w:tcW w:w="904" w:type="dxa"/>
                  <w:vAlign w:val="center"/>
                </w:tcPr>
                <w:p w14:paraId="6904FE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11000</w:t>
                  </w:r>
                </w:p>
              </w:tc>
              <w:tc>
                <w:tcPr>
                  <w:tcW w:w="2499" w:type="dxa"/>
                  <w:vAlign w:val="center"/>
                </w:tcPr>
                <w:p w14:paraId="060F20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300 万件星空灯、20 万件防触电排插、12 万件擦窗机</w:t>
                  </w:r>
                </w:p>
              </w:tc>
              <w:tc>
                <w:tcPr>
                  <w:tcW w:w="1897" w:type="dxa"/>
                  <w:vAlign w:val="center"/>
                </w:tcPr>
                <w:p w14:paraId="5F7E46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韶环乐审〔2025〕11 号</w:t>
                  </w:r>
                </w:p>
              </w:tc>
            </w:tr>
            <w:tr w14:paraId="25517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54D61C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106</w:t>
                  </w:r>
                </w:p>
              </w:tc>
              <w:tc>
                <w:tcPr>
                  <w:tcW w:w="1301" w:type="dxa"/>
                  <w:vAlign w:val="center"/>
                </w:tcPr>
                <w:p w14:paraId="50AE62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乐昌皓强科技有限公司</w:t>
                  </w:r>
                </w:p>
              </w:tc>
              <w:tc>
                <w:tcPr>
                  <w:tcW w:w="372" w:type="dxa"/>
                  <w:vAlign w:val="center"/>
                </w:tcPr>
                <w:p w14:paraId="63EC8E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15" w:type="dxa"/>
                  <w:vAlign w:val="center"/>
                </w:tcPr>
                <w:p w14:paraId="6D9489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橡胶和塑料制品业</w:t>
                  </w:r>
                </w:p>
              </w:tc>
              <w:tc>
                <w:tcPr>
                  <w:tcW w:w="904" w:type="dxa"/>
                  <w:vAlign w:val="center"/>
                </w:tcPr>
                <w:p w14:paraId="1E5F85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9600</w:t>
                  </w:r>
                </w:p>
              </w:tc>
              <w:tc>
                <w:tcPr>
                  <w:tcW w:w="2499" w:type="dxa"/>
                  <w:vAlign w:val="center"/>
                </w:tcPr>
                <w:p w14:paraId="293309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 106 万平方米新型先进复合建筑塑料模板</w:t>
                  </w:r>
                </w:p>
              </w:tc>
              <w:tc>
                <w:tcPr>
                  <w:tcW w:w="1897" w:type="dxa"/>
                  <w:vAlign w:val="center"/>
                </w:tcPr>
                <w:p w14:paraId="5A1F44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韶环乐审〔2022〕02 号</w:t>
                  </w:r>
                </w:p>
              </w:tc>
            </w:tr>
            <w:tr w14:paraId="16F16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A67B2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107</w:t>
                  </w:r>
                </w:p>
              </w:tc>
              <w:tc>
                <w:tcPr>
                  <w:tcW w:w="1301" w:type="dxa"/>
                  <w:vAlign w:val="center"/>
                </w:tcPr>
                <w:p w14:paraId="2A0801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乐昌市保利发矿山机械配件</w:t>
                  </w:r>
                </w:p>
                <w:p w14:paraId="61E77F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有限公司</w:t>
                  </w:r>
                </w:p>
              </w:tc>
              <w:tc>
                <w:tcPr>
                  <w:tcW w:w="372" w:type="dxa"/>
                  <w:vAlign w:val="center"/>
                </w:tcPr>
                <w:p w14:paraId="27658B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停产</w:t>
                  </w:r>
                </w:p>
              </w:tc>
              <w:tc>
                <w:tcPr>
                  <w:tcW w:w="1015" w:type="dxa"/>
                  <w:vAlign w:val="center"/>
                </w:tcPr>
                <w:p w14:paraId="07A6DB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1A91A2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4050</w:t>
                  </w:r>
                </w:p>
              </w:tc>
              <w:tc>
                <w:tcPr>
                  <w:tcW w:w="2499" w:type="dxa"/>
                  <w:vAlign w:val="center"/>
                </w:tcPr>
                <w:p w14:paraId="1D972D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年产破碎机边板 3000 吨、锤头 2000 吨、配件 5000 吨</w:t>
                  </w:r>
                </w:p>
              </w:tc>
              <w:tc>
                <w:tcPr>
                  <w:tcW w:w="1897" w:type="dxa"/>
                  <w:vAlign w:val="center"/>
                </w:tcPr>
                <w:p w14:paraId="4F391C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乐环审[</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"bookmark260"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2018</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]29 号、韶环乐审</w:t>
                  </w:r>
                </w:p>
                <w:p w14:paraId="3D7BD7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begin"/>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instrText xml:space="preserve"> HYPERLINK \l "bookmark261" </w:instrTex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separate"/>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fldChar w:fldCharType="end"/>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 16 号</w:t>
                  </w:r>
                </w:p>
              </w:tc>
            </w:tr>
            <w:tr w14:paraId="78E72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8B84F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108</w:t>
                  </w:r>
                </w:p>
              </w:tc>
              <w:tc>
                <w:tcPr>
                  <w:tcW w:w="1301" w:type="dxa"/>
                  <w:vAlign w:val="center"/>
                </w:tcPr>
                <w:p w14:paraId="0B8DCC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乐昌市第二污水处理厂</w:t>
                  </w:r>
                </w:p>
              </w:tc>
              <w:tc>
                <w:tcPr>
                  <w:tcW w:w="372" w:type="dxa"/>
                  <w:vAlign w:val="center"/>
                </w:tcPr>
                <w:p w14:paraId="479EBA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44B831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污水处理及其再生利用业</w:t>
                  </w:r>
                </w:p>
              </w:tc>
              <w:tc>
                <w:tcPr>
                  <w:tcW w:w="904" w:type="dxa"/>
                  <w:vAlign w:val="center"/>
                </w:tcPr>
                <w:p w14:paraId="451D3F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56850</w:t>
                  </w:r>
                </w:p>
              </w:tc>
              <w:tc>
                <w:tcPr>
                  <w:tcW w:w="2499" w:type="dxa"/>
                  <w:vAlign w:val="center"/>
                </w:tcPr>
                <w:p w14:paraId="7759CE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处理量 30000 立方米/天</w:t>
                  </w:r>
                </w:p>
              </w:tc>
              <w:tc>
                <w:tcPr>
                  <w:tcW w:w="1897" w:type="dxa"/>
                  <w:vAlign w:val="center"/>
                </w:tcPr>
                <w:p w14:paraId="240BEB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韶环乐审〔2021〕07 号</w:t>
                  </w:r>
                </w:p>
              </w:tc>
            </w:tr>
            <w:tr w14:paraId="7D235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44C98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109</w:t>
                  </w:r>
                </w:p>
              </w:tc>
              <w:tc>
                <w:tcPr>
                  <w:tcW w:w="1301" w:type="dxa"/>
                  <w:vAlign w:val="center"/>
                </w:tcPr>
                <w:p w14:paraId="6A2EB2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乐昌市芬乐制衣有限公司</w:t>
                  </w:r>
                </w:p>
              </w:tc>
              <w:tc>
                <w:tcPr>
                  <w:tcW w:w="372" w:type="dxa"/>
                  <w:vAlign w:val="center"/>
                </w:tcPr>
                <w:p w14:paraId="66A122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43AF4D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纺织业</w:t>
                  </w:r>
                </w:p>
              </w:tc>
              <w:tc>
                <w:tcPr>
                  <w:tcW w:w="904" w:type="dxa"/>
                  <w:vAlign w:val="center"/>
                </w:tcPr>
                <w:p w14:paraId="047444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40000</w:t>
                  </w:r>
                </w:p>
              </w:tc>
              <w:tc>
                <w:tcPr>
                  <w:tcW w:w="2499" w:type="dxa"/>
                  <w:vAlign w:val="center"/>
                </w:tcPr>
                <w:p w14:paraId="08FB0C40">
                  <w:pPr>
                    <w:keepNext w:val="0"/>
                    <w:keepLines w:val="0"/>
                    <w:suppressLineNumbers w:val="0"/>
                    <w:autoSpaceDE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服装、内衣裤、卫生用品类（纸内裤）、纺织品、第二类医疗</w:t>
                  </w:r>
                </w:p>
                <w:p w14:paraId="2A054102">
                  <w:pPr>
                    <w:keepNext w:val="0"/>
                    <w:keepLines w:val="0"/>
                    <w:suppressLineNumbers w:val="0"/>
                    <w:autoSpaceDE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器械（医用口罩、防护服）、日用罩（非医用）</w:t>
                  </w:r>
                </w:p>
              </w:tc>
              <w:tc>
                <w:tcPr>
                  <w:tcW w:w="1897" w:type="dxa"/>
                  <w:vAlign w:val="center"/>
                </w:tcPr>
                <w:p w14:paraId="2A5A25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202044028100000158</w:t>
                  </w:r>
                </w:p>
              </w:tc>
            </w:tr>
            <w:tr w14:paraId="04AA2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38891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110</w:t>
                  </w:r>
                </w:p>
              </w:tc>
              <w:tc>
                <w:tcPr>
                  <w:tcW w:w="1301" w:type="dxa"/>
                  <w:vAlign w:val="center"/>
                </w:tcPr>
                <w:p w14:paraId="0BA203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乐昌市瑞昊机械厂</w:t>
                  </w:r>
                </w:p>
              </w:tc>
              <w:tc>
                <w:tcPr>
                  <w:tcW w:w="372" w:type="dxa"/>
                  <w:vAlign w:val="center"/>
                </w:tcPr>
                <w:p w14:paraId="3FF109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30A845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19B825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600</w:t>
                  </w:r>
                </w:p>
              </w:tc>
              <w:tc>
                <w:tcPr>
                  <w:tcW w:w="2499" w:type="dxa"/>
                  <w:vAlign w:val="center"/>
                </w:tcPr>
                <w:p w14:paraId="48B247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年加工金属机械零部件 360 吨</w:t>
                  </w:r>
                </w:p>
              </w:tc>
              <w:tc>
                <w:tcPr>
                  <w:tcW w:w="1897" w:type="dxa"/>
                  <w:vAlign w:val="center"/>
                </w:tcPr>
                <w:p w14:paraId="5BBF83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201744028100000317</w:t>
                  </w:r>
                </w:p>
              </w:tc>
            </w:tr>
            <w:tr w14:paraId="30349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6CD5E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111</w:t>
                  </w:r>
                </w:p>
              </w:tc>
              <w:tc>
                <w:tcPr>
                  <w:tcW w:w="1301" w:type="dxa"/>
                  <w:vAlign w:val="center"/>
                </w:tcPr>
                <w:p w14:paraId="6ED9C0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广东创睿极光光电有限公司</w:t>
                  </w:r>
                </w:p>
              </w:tc>
              <w:tc>
                <w:tcPr>
                  <w:tcW w:w="372" w:type="dxa"/>
                  <w:vAlign w:val="center"/>
                </w:tcPr>
                <w:p w14:paraId="3255D9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087113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计算机、通信和其他电子设备制造业</w:t>
                  </w:r>
                </w:p>
              </w:tc>
              <w:tc>
                <w:tcPr>
                  <w:tcW w:w="904" w:type="dxa"/>
                  <w:vAlign w:val="center"/>
                </w:tcPr>
                <w:p w14:paraId="15E00C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1735</w:t>
                  </w:r>
                </w:p>
              </w:tc>
              <w:tc>
                <w:tcPr>
                  <w:tcW w:w="2499" w:type="dxa"/>
                  <w:vAlign w:val="center"/>
                </w:tcPr>
                <w:p w14:paraId="40D6E2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年产约 2000 万条 LED 灯条</w:t>
                  </w:r>
                </w:p>
              </w:tc>
              <w:tc>
                <w:tcPr>
                  <w:tcW w:w="1897" w:type="dxa"/>
                  <w:vAlign w:val="center"/>
                </w:tcPr>
                <w:p w14:paraId="7DB820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201944028100000140</w:t>
                  </w:r>
                </w:p>
              </w:tc>
            </w:tr>
            <w:tr w14:paraId="09B9F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330" w:type="dxa"/>
                  <w:vAlign w:val="center"/>
                </w:tcPr>
                <w:p w14:paraId="7B5D89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112</w:t>
                  </w:r>
                </w:p>
              </w:tc>
              <w:tc>
                <w:tcPr>
                  <w:tcW w:w="1301" w:type="dxa"/>
                  <w:vAlign w:val="center"/>
                </w:tcPr>
                <w:p w14:paraId="00431D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昇翰科技（广东）有限公司</w:t>
                  </w:r>
                </w:p>
              </w:tc>
              <w:tc>
                <w:tcPr>
                  <w:tcW w:w="372" w:type="dxa"/>
                  <w:vAlign w:val="center"/>
                </w:tcPr>
                <w:p w14:paraId="355DD6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已建</w:t>
                  </w:r>
                </w:p>
              </w:tc>
              <w:tc>
                <w:tcPr>
                  <w:tcW w:w="1015" w:type="dxa"/>
                  <w:vAlign w:val="center"/>
                </w:tcPr>
                <w:p w14:paraId="2E1B5E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5C8CDF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1700</w:t>
                  </w:r>
                </w:p>
              </w:tc>
              <w:tc>
                <w:tcPr>
                  <w:tcW w:w="2499" w:type="dxa"/>
                  <w:vAlign w:val="center"/>
                </w:tcPr>
                <w:p w14:paraId="3E6F24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生产加工滚珠螺母、滚珠丝杆、梯形螺母、梯形丝杆、传动</w:t>
                  </w:r>
                </w:p>
                <w:p w14:paraId="5F5A8B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元件、直线导轨、直线滑块、自动化机械设备、电子元件、</w:t>
                  </w:r>
                </w:p>
                <w:p w14:paraId="289F1F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电子材料、五金材料、自动化软硬件、电子产品。</w:t>
                  </w:r>
                </w:p>
              </w:tc>
              <w:tc>
                <w:tcPr>
                  <w:tcW w:w="1897" w:type="dxa"/>
                  <w:vAlign w:val="center"/>
                </w:tcPr>
                <w:p w14:paraId="15853B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202044028100000048</w:t>
                  </w:r>
                </w:p>
              </w:tc>
            </w:tr>
            <w:tr w14:paraId="2D124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97E20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113</w:t>
                  </w:r>
                </w:p>
              </w:tc>
              <w:tc>
                <w:tcPr>
                  <w:tcW w:w="1301" w:type="dxa"/>
                  <w:vAlign w:val="center"/>
                </w:tcPr>
                <w:p w14:paraId="6ECBC3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广东运南新材料有限公司</w:t>
                  </w:r>
                </w:p>
              </w:tc>
              <w:tc>
                <w:tcPr>
                  <w:tcW w:w="372" w:type="dxa"/>
                  <w:vAlign w:val="center"/>
                </w:tcPr>
                <w:p w14:paraId="0C59C6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249A9C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废弃资源综合利用业</w:t>
                  </w:r>
                </w:p>
              </w:tc>
              <w:tc>
                <w:tcPr>
                  <w:tcW w:w="904" w:type="dxa"/>
                  <w:vAlign w:val="center"/>
                </w:tcPr>
                <w:p w14:paraId="24FD7E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37346.12</w:t>
                  </w:r>
                </w:p>
              </w:tc>
              <w:tc>
                <w:tcPr>
                  <w:tcW w:w="2499" w:type="dxa"/>
                  <w:vAlign w:val="center"/>
                </w:tcPr>
                <w:p w14:paraId="0619AC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年产破碎料 7.1 万吨</w:t>
                  </w:r>
                </w:p>
              </w:tc>
              <w:tc>
                <w:tcPr>
                  <w:tcW w:w="1897" w:type="dxa"/>
                  <w:vAlign w:val="center"/>
                </w:tcPr>
                <w:p w14:paraId="77BEF2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韶环乐审〔2026〕05 号</w:t>
                  </w:r>
                </w:p>
              </w:tc>
            </w:tr>
            <w:tr w14:paraId="52FD0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1D78B4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114</w:t>
                  </w:r>
                </w:p>
              </w:tc>
              <w:tc>
                <w:tcPr>
                  <w:tcW w:w="1301" w:type="dxa"/>
                  <w:vAlign w:val="center"/>
                </w:tcPr>
                <w:p w14:paraId="29842F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韶关九为新材料有限公司</w:t>
                  </w:r>
                </w:p>
              </w:tc>
              <w:tc>
                <w:tcPr>
                  <w:tcW w:w="372" w:type="dxa"/>
                  <w:vAlign w:val="center"/>
                </w:tcPr>
                <w:p w14:paraId="42CD4B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在建</w:t>
                  </w:r>
                </w:p>
              </w:tc>
              <w:tc>
                <w:tcPr>
                  <w:tcW w:w="1015" w:type="dxa"/>
                  <w:vAlign w:val="center"/>
                </w:tcPr>
                <w:p w14:paraId="73F892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金属制品业</w:t>
                  </w:r>
                </w:p>
              </w:tc>
              <w:tc>
                <w:tcPr>
                  <w:tcW w:w="904" w:type="dxa"/>
                  <w:vAlign w:val="center"/>
                </w:tcPr>
                <w:p w14:paraId="0B0BCF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52810.91</w:t>
                  </w:r>
                </w:p>
              </w:tc>
              <w:tc>
                <w:tcPr>
                  <w:tcW w:w="2499" w:type="dxa"/>
                  <w:vAlign w:val="center"/>
                </w:tcPr>
                <w:p w14:paraId="6BC83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年产铝模板 50 万平方米</w:t>
                  </w:r>
                </w:p>
              </w:tc>
              <w:tc>
                <w:tcPr>
                  <w:tcW w:w="1897" w:type="dxa"/>
                  <w:vAlign w:val="center"/>
                </w:tcPr>
                <w:p w14:paraId="6FBE569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韶环乐审〔2025〕26 号</w:t>
                  </w:r>
                </w:p>
              </w:tc>
            </w:tr>
            <w:bookmarkEnd w:id="12"/>
          </w:tbl>
          <w:p w14:paraId="10EE78F4">
            <w:pPr>
              <w:pStyle w:val="17"/>
              <w:pageBreakBefore w:val="0"/>
              <w:numPr>
                <w:ilvl w:val="0"/>
                <w:numId w:val="10"/>
              </w:numPr>
              <w:tabs>
                <w:tab w:val="clear" w:pos="3240"/>
                <w:tab w:val="clear" w:pos="6120"/>
              </w:tabs>
              <w:kinsoku/>
              <w:overflowPunct/>
              <w:topLinePunct w:val="0"/>
              <w:bidi w:val="0"/>
              <w:snapToGrid/>
              <w:spacing w:line="240" w:lineRule="auto"/>
              <w:ind w:left="0" w:leftChars="0" w:firstLine="40" w:firstLineChars="0"/>
              <w:jc w:val="center"/>
              <w:outlineLvl w:val="9"/>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园区已通过审批企业三废排放情况汇总表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74"/>
              <w:gridCol w:w="1563"/>
              <w:gridCol w:w="2703"/>
              <w:gridCol w:w="3270"/>
            </w:tblGrid>
            <w:tr w14:paraId="2504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78" w:type="pct"/>
                  <w:gridSpan w:val="3"/>
                  <w:noWrap w:val="0"/>
                  <w:vAlign w:val="center"/>
                </w:tcPr>
                <w:p w14:paraId="08ACB1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环境影响因素</w:t>
                  </w:r>
                </w:p>
              </w:tc>
              <w:tc>
                <w:tcPr>
                  <w:tcW w:w="1921" w:type="pct"/>
                  <w:noWrap w:val="0"/>
                  <w:vAlign w:val="center"/>
                </w:tcPr>
                <w:p w14:paraId="4949E0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排放量</w:t>
                  </w:r>
                </w:p>
              </w:tc>
            </w:tr>
            <w:tr w14:paraId="5747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72" w:type="pct"/>
                  <w:vMerge w:val="restart"/>
                  <w:noWrap w:val="0"/>
                  <w:vAlign w:val="center"/>
                </w:tcPr>
                <w:p w14:paraId="588666B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918" w:type="pct"/>
                  <w:vMerge w:val="restart"/>
                  <w:noWrap w:val="0"/>
                  <w:vAlign w:val="center"/>
                </w:tcPr>
                <w:p w14:paraId="55BDE7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1587" w:type="pct"/>
                  <w:noWrap w:val="0"/>
                  <w:vAlign w:val="center"/>
                </w:tcPr>
                <w:p w14:paraId="74C4F4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废水量（m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/d）</w:t>
                  </w:r>
                </w:p>
              </w:tc>
              <w:tc>
                <w:tcPr>
                  <w:tcW w:w="3583" w:type="dxa"/>
                  <w:noWrap w:val="0"/>
                  <w:vAlign w:val="center"/>
                </w:tcPr>
                <w:p w14:paraId="728067F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2462.21</w:t>
                  </w:r>
                </w:p>
              </w:tc>
            </w:tr>
            <w:tr w14:paraId="0477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49CB3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noWrap w:val="0"/>
                  <w:vAlign w:val="center"/>
                </w:tcPr>
                <w:p w14:paraId="49C0B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noWrap w:val="0"/>
                  <w:vAlign w:val="center"/>
                </w:tcPr>
                <w:p w14:paraId="32827F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COD（t/a）</w:t>
                  </w:r>
                </w:p>
              </w:tc>
              <w:tc>
                <w:tcPr>
                  <w:tcW w:w="3583" w:type="dxa"/>
                  <w:noWrap w:val="0"/>
                  <w:vAlign w:val="center"/>
                </w:tcPr>
                <w:p w14:paraId="4BC66C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30.39</w:t>
                  </w:r>
                </w:p>
              </w:tc>
            </w:tr>
            <w:tr w14:paraId="57FD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3B0D4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noWrap w:val="0"/>
                  <w:vAlign w:val="center"/>
                </w:tcPr>
                <w:p w14:paraId="3EB22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noWrap w:val="0"/>
                  <w:vAlign w:val="center"/>
                </w:tcPr>
                <w:p w14:paraId="70E8AF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氨氮（t/a）</w:t>
                  </w:r>
                </w:p>
              </w:tc>
              <w:tc>
                <w:tcPr>
                  <w:tcW w:w="3583" w:type="dxa"/>
                  <w:noWrap w:val="0"/>
                  <w:vAlign w:val="center"/>
                </w:tcPr>
                <w:p w14:paraId="0C9465B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3.794</w:t>
                  </w:r>
                </w:p>
              </w:tc>
            </w:tr>
            <w:tr w14:paraId="3FB3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noWrap w:val="0"/>
                  <w:vAlign w:val="center"/>
                </w:tcPr>
                <w:p w14:paraId="3B25F9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w:t>
                  </w:r>
                </w:p>
              </w:tc>
              <w:tc>
                <w:tcPr>
                  <w:tcW w:w="918" w:type="pct"/>
                  <w:vMerge w:val="restart"/>
                  <w:noWrap w:val="0"/>
                  <w:vAlign w:val="center"/>
                </w:tcPr>
                <w:p w14:paraId="271613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w:t>
                  </w:r>
                </w:p>
              </w:tc>
              <w:tc>
                <w:tcPr>
                  <w:tcW w:w="1587" w:type="pct"/>
                  <w:noWrap w:val="0"/>
                  <w:vAlign w:val="center"/>
                </w:tcPr>
                <w:p w14:paraId="638089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3583" w:type="dxa"/>
                  <w:noWrap w:val="0"/>
                  <w:vAlign w:val="center"/>
                </w:tcPr>
                <w:p w14:paraId="22A109BC">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14:textFill>
                        <w14:solidFill>
                          <w14:schemeClr w14:val="tx1"/>
                        </w14:solidFill>
                      </w14:textFill>
                    </w:rPr>
                    <w:t>1.44</w:t>
                  </w:r>
                </w:p>
              </w:tc>
            </w:tr>
            <w:tr w14:paraId="6FDD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36AB5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noWrap w:val="0"/>
                  <w:vAlign w:val="center"/>
                </w:tcPr>
                <w:p w14:paraId="0E5E07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noWrap w:val="0"/>
                  <w:vAlign w:val="center"/>
                </w:tcPr>
                <w:p w14:paraId="1A74D7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氮氧化物（t/a）</w:t>
                  </w:r>
                </w:p>
              </w:tc>
              <w:tc>
                <w:tcPr>
                  <w:tcW w:w="3583" w:type="dxa"/>
                  <w:noWrap w:val="0"/>
                  <w:vAlign w:val="center"/>
                </w:tcPr>
                <w:p w14:paraId="0430E79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4"/>
                      <w:sz w:val="21"/>
                      <w:szCs w:val="21"/>
                      <w14:textFill>
                        <w14:solidFill>
                          <w14:schemeClr w14:val="tx1"/>
                        </w14:solidFill>
                      </w14:textFill>
                    </w:rPr>
                    <w:t>14.78</w:t>
                  </w:r>
                </w:p>
              </w:tc>
            </w:tr>
            <w:tr w14:paraId="7E1B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273BF5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noWrap w:val="0"/>
                  <w:vAlign w:val="center"/>
                </w:tcPr>
                <w:p w14:paraId="3B2795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noWrap w:val="0"/>
                  <w:vAlign w:val="center"/>
                </w:tcPr>
                <w:p w14:paraId="1C2CB7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烟（粉）尘（t/a）</w:t>
                  </w:r>
                </w:p>
              </w:tc>
              <w:tc>
                <w:tcPr>
                  <w:tcW w:w="3583" w:type="dxa"/>
                  <w:noWrap w:val="0"/>
                  <w:vAlign w:val="center"/>
                </w:tcPr>
                <w:p w14:paraId="40C005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104.36</w:t>
                  </w:r>
                </w:p>
              </w:tc>
            </w:tr>
            <w:tr w14:paraId="3AFE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4C76E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8" w:type="pct"/>
                  <w:vMerge w:val="continue"/>
                  <w:noWrap w:val="0"/>
                  <w:vAlign w:val="center"/>
                </w:tcPr>
                <w:p w14:paraId="25A3B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87" w:type="pct"/>
                  <w:noWrap w:val="0"/>
                  <w:vAlign w:val="center"/>
                </w:tcPr>
                <w:p w14:paraId="73DCDD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非甲烷总烃（t/a）</w:t>
                  </w:r>
                </w:p>
              </w:tc>
              <w:tc>
                <w:tcPr>
                  <w:tcW w:w="3583" w:type="dxa"/>
                  <w:noWrap w:val="0"/>
                  <w:vAlign w:val="center"/>
                </w:tcPr>
                <w:p w14:paraId="5ECDE7E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43.72</w:t>
                  </w:r>
                </w:p>
              </w:tc>
            </w:tr>
            <w:tr w14:paraId="732B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noWrap w:val="0"/>
                  <w:vAlign w:val="center"/>
                </w:tcPr>
                <w:p w14:paraId="0B6221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固体</w:t>
                  </w:r>
                </w:p>
                <w:p w14:paraId="3355CE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废物</w:t>
                  </w:r>
                </w:p>
              </w:tc>
              <w:tc>
                <w:tcPr>
                  <w:tcW w:w="2506" w:type="pct"/>
                  <w:gridSpan w:val="2"/>
                  <w:noWrap w:val="0"/>
                  <w:vAlign w:val="center"/>
                </w:tcPr>
                <w:p w14:paraId="46C3C1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危险废物（t/a）</w:t>
                  </w:r>
                </w:p>
              </w:tc>
              <w:tc>
                <w:tcPr>
                  <w:tcW w:w="3583" w:type="dxa"/>
                  <w:noWrap w:val="0"/>
                  <w:vAlign w:val="center"/>
                </w:tcPr>
                <w:p w14:paraId="462DCDD2">
                  <w:pPr>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2278.37</w:t>
                  </w:r>
                  <w:r>
                    <w:rPr>
                      <w:rFonts w:hint="eastAsia" w:ascii="Times New Roman" w:hAnsi="Times New Roman" w:eastAsia="宋体" w:cs="Times New Roman"/>
                      <w:color w:val="000000" w:themeColor="text1"/>
                      <w:spacing w:val="-1"/>
                      <w:sz w:val="21"/>
                      <w:szCs w:val="21"/>
                      <w:lang w:eastAsia="zh-CN"/>
                      <w14:textFill>
                        <w14:solidFill>
                          <w14:schemeClr w14:val="tx1"/>
                        </w14:solidFill>
                      </w14:textFill>
                    </w:rPr>
                    <w:t>（</w:t>
                  </w:r>
                  <w:r>
                    <w:rPr>
                      <w:rFonts w:hint="eastAsia" w:ascii="Times New Roman" w:hAnsi="Times New Roman" w:eastAsia="宋体" w:cs="Times New Roman"/>
                      <w:color w:val="000000" w:themeColor="text1"/>
                      <w:spacing w:val="-1"/>
                      <w:sz w:val="21"/>
                      <w:szCs w:val="21"/>
                      <w:lang w:val="en-US" w:eastAsia="zh-CN"/>
                      <w14:textFill>
                        <w14:solidFill>
                          <w14:schemeClr w14:val="tx1"/>
                        </w14:solidFill>
                      </w14:textFill>
                    </w:rPr>
                    <w:t>委外处置</w:t>
                  </w:r>
                  <w:r>
                    <w:rPr>
                      <w:rFonts w:hint="eastAsia" w:ascii="Times New Roman" w:hAnsi="Times New Roman" w:eastAsia="宋体" w:cs="Times New Roman"/>
                      <w:color w:val="000000" w:themeColor="text1"/>
                      <w:spacing w:val="-1"/>
                      <w:sz w:val="21"/>
                      <w:szCs w:val="21"/>
                      <w:lang w:eastAsia="zh-CN"/>
                      <w14:textFill>
                        <w14:solidFill>
                          <w14:schemeClr w14:val="tx1"/>
                        </w14:solidFill>
                      </w14:textFill>
                    </w:rPr>
                    <w:t>）</w:t>
                  </w:r>
                </w:p>
              </w:tc>
            </w:tr>
            <w:tr w14:paraId="598D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02E42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6" w:type="pct"/>
                  <w:gridSpan w:val="2"/>
                  <w:noWrap w:val="0"/>
                  <w:vAlign w:val="center"/>
                </w:tcPr>
                <w:p w14:paraId="73B430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一般固废（t/a）</w:t>
                  </w:r>
                </w:p>
              </w:tc>
              <w:tc>
                <w:tcPr>
                  <w:tcW w:w="3583" w:type="dxa"/>
                  <w:noWrap w:val="0"/>
                  <w:vAlign w:val="center"/>
                </w:tcPr>
                <w:p w14:paraId="1BB2A8D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14:textFill>
                        <w14:solidFill>
                          <w14:schemeClr w14:val="tx1"/>
                        </w14:solidFill>
                      </w14:textFill>
                    </w:rPr>
                    <w:t>174050.52</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（综合利用，环卫清运）</w:t>
                  </w:r>
                </w:p>
              </w:tc>
            </w:tr>
            <w:tr w14:paraId="2FBE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55B080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6" w:type="pct"/>
                  <w:gridSpan w:val="2"/>
                  <w:noWrap w:val="0"/>
                  <w:vAlign w:val="center"/>
                </w:tcPr>
                <w:p w14:paraId="01B07C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生活垃圾（t/a）</w:t>
                  </w:r>
                </w:p>
              </w:tc>
              <w:tc>
                <w:tcPr>
                  <w:tcW w:w="3583" w:type="dxa"/>
                  <w:noWrap w:val="0"/>
                  <w:vAlign w:val="center"/>
                </w:tcPr>
                <w:p w14:paraId="502ACA9F">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14:textFill>
                        <w14:solidFill>
                          <w14:schemeClr w14:val="tx1"/>
                        </w14:solidFill>
                      </w14:textFill>
                    </w:rPr>
                    <w:t>3129.21</w:t>
                  </w:r>
                  <w:r>
                    <w:rPr>
                      <w:rFonts w:hint="default" w:ascii="Times New Roman" w:hAnsi="Times New Roman" w:eastAsia="宋体" w:cs="Times New Roman"/>
                      <w:i w:val="0"/>
                      <w:iCs w:val="0"/>
                      <w:color w:val="000000" w:themeColor="text1"/>
                      <w:kern w:val="0"/>
                      <w:sz w:val="21"/>
                      <w:szCs w:val="21"/>
                      <w:highlight w:val="none"/>
                      <w:u w:val="none"/>
                      <w:lang w:val="en-US" w:eastAsia="zh-CN"/>
                      <w14:textFill>
                        <w14:solidFill>
                          <w14:schemeClr w14:val="tx1"/>
                        </w14:solidFill>
                      </w14:textFill>
                    </w:rPr>
                    <w:t>（环卫清运）</w:t>
                  </w:r>
                </w:p>
              </w:tc>
            </w:tr>
          </w:tbl>
          <w:p w14:paraId="5AF58E5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p>
          <w:p w14:paraId="084F804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3、主要环境问题</w:t>
            </w:r>
          </w:p>
          <w:p w14:paraId="29D518ED">
            <w:pPr>
              <w:pageBreakBefore w:val="0"/>
              <w:wordWrap w:val="0"/>
              <w:overflowPunct/>
              <w:bidi w:val="0"/>
              <w:adjustRightInd w:val="0"/>
              <w:snapToGrid w:val="0"/>
              <w:spacing w:line="360" w:lineRule="auto"/>
              <w:ind w:firstLine="48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环境质量现状监测数据表明，项目所在区域各类环境要素均能达到相应的环境规划要求，无突出环境问题。</w:t>
            </w:r>
          </w:p>
          <w:p w14:paraId="2DF748E8">
            <w:pPr>
              <w:pageBreakBefore w:val="0"/>
              <w:wordWrap w:val="0"/>
              <w:overflowPunct/>
              <w:bidi w:val="0"/>
              <w:adjustRightInd w:val="0"/>
              <w:snapToGrid w:val="0"/>
              <w:ind w:firstLine="420" w:firstLineChars="200"/>
              <w:jc w:val="center"/>
              <w:rPr>
                <w:rFonts w:hint="default" w:ascii="Times New Roman" w:hAnsi="Times New Roman" w:cs="Times New Roman"/>
                <w:color w:val="000000" w:themeColor="text1"/>
                <w:szCs w:val="21"/>
                <w:highlight w:val="none"/>
                <w14:textFill>
                  <w14:solidFill>
                    <w14:schemeClr w14:val="tx1"/>
                  </w14:solidFill>
                </w14:textFill>
              </w:rPr>
            </w:pPr>
          </w:p>
          <w:p w14:paraId="350CE0D1">
            <w:pPr>
              <w:spacing w:line="360" w:lineRule="auto"/>
              <w:ind w:firstLine="720" w:firstLineChars="200"/>
              <w:jc w:val="left"/>
              <w:rPr>
                <w:rFonts w:hint="default" w:ascii="黑体" w:hAnsi="黑体" w:eastAsia="黑体"/>
                <w:snapToGrid w:val="0"/>
                <w:color w:val="000000" w:themeColor="text1"/>
                <w:sz w:val="36"/>
                <w:szCs w:val="36"/>
                <w:highlight w:val="none"/>
                <w:vertAlign w:val="baseline"/>
                <w:lang w:val="en-US"/>
                <w14:textFill>
                  <w14:solidFill>
                    <w14:schemeClr w14:val="tx1"/>
                  </w14:solidFill>
                </w14:textFill>
              </w:rPr>
            </w:pPr>
          </w:p>
        </w:tc>
      </w:tr>
    </w:tbl>
    <w:p w14:paraId="3DE9FC39">
      <w:pPr>
        <w:pStyle w:val="41"/>
        <w:jc w:val="center"/>
        <w:rPr>
          <w:rFonts w:ascii="黑体" w:hAnsi="黑体" w:eastAsia="黑体"/>
          <w:snapToGrid w:val="0"/>
          <w:color w:val="000000" w:themeColor="text1"/>
          <w:sz w:val="36"/>
          <w:szCs w:val="36"/>
          <w:highlight w:val="none"/>
          <w14:textFill>
            <w14:solidFill>
              <w14:schemeClr w14:val="tx1"/>
            </w14:solidFill>
          </w14:textFill>
        </w:rPr>
        <w:sectPr>
          <w:pgSz w:w="11906" w:h="16838"/>
          <w:pgMar w:top="1644" w:right="1531" w:bottom="158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2ABF57D">
      <w:pPr>
        <w:pStyle w:val="41"/>
        <w:numPr>
          <w:ilvl w:val="0"/>
          <w:numId w:val="13"/>
        </w:numPr>
        <w:spacing w:line="240" w:lineRule="auto"/>
        <w:jc w:val="center"/>
        <w:outlineLvl w:val="0"/>
        <w:rPr>
          <w:rFonts w:hint="eastAsia" w:ascii="黑体" w:hAnsi="黑体" w:eastAsia="黑体"/>
          <w:snapToGrid w:val="0"/>
          <w:color w:val="000000" w:themeColor="text1"/>
          <w:sz w:val="30"/>
          <w:szCs w:val="30"/>
          <w:highlight w:val="none"/>
          <w14:textFill>
            <w14:solidFill>
              <w14:schemeClr w14:val="tx1"/>
            </w14:solidFill>
          </w14:textFill>
        </w:rPr>
      </w:pPr>
      <w:bookmarkStart w:id="13" w:name="_Toc1482"/>
      <w:bookmarkStart w:id="14" w:name="_Toc13496"/>
      <w:bookmarkStart w:id="15" w:name="_Toc3175"/>
      <w:bookmarkStart w:id="16" w:name="_Toc6763"/>
      <w:r>
        <w:rPr>
          <w:rFonts w:hint="eastAsia" w:ascii="黑体" w:hAnsi="黑体" w:eastAsia="黑体"/>
          <w:snapToGrid w:val="0"/>
          <w:color w:val="000000" w:themeColor="text1"/>
          <w:sz w:val="30"/>
          <w:szCs w:val="30"/>
          <w:highlight w:val="none"/>
          <w14:textFill>
            <w14:solidFill>
              <w14:schemeClr w14:val="tx1"/>
            </w14:solidFill>
          </w14:textFill>
        </w:rPr>
        <w:t>区域环境质量现状、环境保护目标及评价标准</w:t>
      </w:r>
      <w:bookmarkEnd w:id="13"/>
      <w:bookmarkEnd w:id="14"/>
      <w:bookmarkEnd w:id="15"/>
      <w:bookmarkEnd w:id="16"/>
    </w:p>
    <w:tbl>
      <w:tblPr>
        <w:tblStyle w:val="4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4"/>
        <w:gridCol w:w="8557"/>
      </w:tblGrid>
      <w:tr w14:paraId="2C352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8" w:type="pct"/>
            <w:noWrap w:val="0"/>
            <w:vAlign w:val="center"/>
          </w:tcPr>
          <w:p w14:paraId="325AC857">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区域</w:t>
            </w:r>
          </w:p>
          <w:p w14:paraId="55213ACC">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环境</w:t>
            </w:r>
          </w:p>
          <w:p w14:paraId="072FABC9">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质量</w:t>
            </w:r>
          </w:p>
          <w:p w14:paraId="67096E25">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现状</w:t>
            </w:r>
          </w:p>
        </w:tc>
        <w:tc>
          <w:tcPr>
            <w:tcW w:w="4721" w:type="pct"/>
            <w:noWrap w:val="0"/>
            <w:vAlign w:val="center"/>
          </w:tcPr>
          <w:p w14:paraId="4B9A1DE3">
            <w:pPr>
              <w:spacing w:line="360" w:lineRule="auto"/>
              <w:ind w:firstLine="482" w:firstLineChars="20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lang w:val="en-US" w:eastAsia="zh-CN"/>
                <w14:textFill>
                  <w14:solidFill>
                    <w14:schemeClr w14:val="tx1"/>
                  </w14:solidFill>
                </w14:textFill>
              </w:rPr>
              <w:t>1</w:t>
            </w:r>
            <w:r>
              <w:rPr>
                <w:rFonts w:hint="default" w:ascii="Times New Roman" w:hAnsi="Times New Roman" w:cs="Times New Roman"/>
                <w:b/>
                <w:color w:val="000000" w:themeColor="text1"/>
                <w:sz w:val="24"/>
                <w:highlight w:val="none"/>
                <w14:textFill>
                  <w14:solidFill>
                    <w14:schemeClr w14:val="tx1"/>
                  </w14:solidFill>
                </w14:textFill>
              </w:rPr>
              <w:t>、环境空气质量现状</w:t>
            </w:r>
          </w:p>
          <w:p w14:paraId="07126FD3">
            <w:pPr>
              <w:pStyle w:val="105"/>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根据《乐昌市人民政府办公室关于印发乐昌市生态环境保护“十四五”规划的通知》（乐府办〔2022〕16号）中</w:t>
            </w:r>
            <w:r>
              <w:rPr>
                <w:rFonts w:hint="eastAsia" w:ascii="Times New Roman" w:hAnsi="Times New Roman" w:cs="Times New Roman"/>
                <w:color w:val="000000" w:themeColor="text1"/>
                <w:highlight w:val="none"/>
                <w:lang w:val="en-US" w:eastAsia="zh-CN"/>
                <w14:textFill>
                  <w14:solidFill>
                    <w14:schemeClr w14:val="tx1"/>
                  </w14:solidFill>
                </w14:textFill>
              </w:rPr>
              <w:t>的</w:t>
            </w:r>
            <w:r>
              <w:rPr>
                <w:rFonts w:hint="default" w:ascii="Times New Roman" w:hAnsi="Times New Roman" w:cs="Times New Roman"/>
                <w:color w:val="000000" w:themeColor="text1"/>
                <w:highlight w:val="none"/>
                <w14:textFill>
                  <w14:solidFill>
                    <w14:schemeClr w14:val="tx1"/>
                  </w14:solidFill>
                </w14:textFill>
              </w:rPr>
              <w:t>大气环境功能区划图（详见附图6），项目所在区域为环境空气质量二类功能区，因此项目所在区域环境空气质量执行国家《环境空气质量标准》（GB3095-20</w:t>
            </w:r>
            <w:r>
              <w:rPr>
                <w:rFonts w:hint="eastAsia" w:ascii="Times New Roman" w:cs="Times New Roman"/>
                <w:color w:val="000000" w:themeColor="text1"/>
                <w:highlight w:val="none"/>
                <w:lang w:val="en-US" w:eastAsia="zh-CN"/>
                <w14:textFill>
                  <w14:solidFill>
                    <w14:schemeClr w14:val="tx1"/>
                  </w14:solidFill>
                </w14:textFill>
              </w:rPr>
              <w:t>26</w:t>
            </w:r>
            <w:r>
              <w:rPr>
                <w:rFonts w:hint="default" w:ascii="Times New Roman" w:hAnsi="Times New Roman" w:cs="Times New Roman"/>
                <w:color w:val="000000" w:themeColor="text1"/>
                <w:highlight w:val="none"/>
                <w14:textFill>
                  <w14:solidFill>
                    <w14:schemeClr w14:val="tx1"/>
                  </w14:solidFill>
                </w14:textFill>
              </w:rPr>
              <w:t>）</w:t>
            </w:r>
            <w:r>
              <w:rPr>
                <w:rFonts w:hint="eastAsia" w:ascii="Times New Roman" w:cs="Times New Roman"/>
                <w:color w:val="000000" w:themeColor="text1"/>
                <w:highlight w:val="none"/>
                <w:lang w:val="en-US" w:eastAsia="zh-CN"/>
                <w14:textFill>
                  <w14:solidFill>
                    <w14:schemeClr w14:val="tx1"/>
                  </w14:solidFill>
                </w14:textFill>
              </w:rPr>
              <w:t>过渡阶段浓度限值二级标准</w:t>
            </w:r>
            <w:r>
              <w:rPr>
                <w:rFonts w:hint="default" w:ascii="Times New Roman" w:hAnsi="Times New Roman" w:cs="Times New Roman"/>
                <w:color w:val="000000" w:themeColor="text1"/>
                <w:highlight w:val="none"/>
                <w14:textFill>
                  <w14:solidFill>
                    <w14:schemeClr w14:val="tx1"/>
                  </w14:solidFill>
                </w14:textFill>
              </w:rPr>
              <w:t>。</w:t>
            </w:r>
          </w:p>
          <w:p w14:paraId="6E69768F">
            <w:pPr>
              <w:pStyle w:val="105"/>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（1）项目所在区域环境质量达标情况</w:t>
            </w:r>
          </w:p>
          <w:p w14:paraId="151F13D0">
            <w:pPr>
              <w:adjustRightInd w:val="0"/>
              <w:snapToGrid w:val="0"/>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为了解本项目所在城市环境空气质量现状，本报告引用</w:t>
            </w:r>
            <w:r>
              <w:rPr>
                <w:rFonts w:hint="eastAsia" w:ascii="Times New Roman" w:hAnsi="Times New Roman" w:cs="Times New Roman"/>
                <w:color w:val="000000" w:themeColor="text1"/>
                <w:sz w:val="24"/>
                <w:highlight w:val="none"/>
                <w:lang w:eastAsia="zh-CN"/>
                <w14:textFill>
                  <w14:solidFill>
                    <w14:schemeClr w14:val="tx1"/>
                  </w14:solidFill>
                </w14:textFill>
              </w:rPr>
              <w:t>韶关市</w:t>
            </w:r>
            <w:r>
              <w:rPr>
                <w:rFonts w:hint="default" w:ascii="Times New Roman" w:hAnsi="Times New Roman" w:cs="Times New Roman"/>
                <w:color w:val="000000" w:themeColor="text1"/>
                <w:sz w:val="24"/>
                <w:highlight w:val="none"/>
                <w14:textFill>
                  <w14:solidFill>
                    <w14:schemeClr w14:val="tx1"/>
                  </w14:solidFill>
                </w14:textFill>
              </w:rPr>
              <w:t>生态环境局官网发布的《2024年韶关市生态环境状况公报》中各县（市）城区空气质</w:t>
            </w:r>
            <w:r>
              <w:rPr>
                <w:rFonts w:hint="eastAsia" w:ascii="Times New Roman" w:hAnsi="Times New Roman" w:cs="Times New Roman"/>
                <w:color w:val="000000" w:themeColor="text1"/>
                <w:sz w:val="24"/>
                <w:highlight w:val="none"/>
                <w:lang w:eastAsia="zh-CN"/>
                <w14:textFill>
                  <w14:solidFill>
                    <w14:schemeClr w14:val="tx1"/>
                  </w14:solidFill>
                </w14:textFill>
              </w:rPr>
              <w:t>量监</w:t>
            </w:r>
            <w:r>
              <w:rPr>
                <w:rFonts w:hint="default" w:ascii="Times New Roman" w:hAnsi="Times New Roman" w:cs="Times New Roman"/>
                <w:color w:val="000000" w:themeColor="text1"/>
                <w:sz w:val="24"/>
                <w:highlight w:val="none"/>
                <w14:textFill>
                  <w14:solidFill>
                    <w14:schemeClr w14:val="tx1"/>
                  </w14:solidFill>
                </w14:textFill>
              </w:rPr>
              <w:t>测数据进行评价</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其中</w:t>
            </w:r>
            <w:r>
              <w:rPr>
                <w:rFonts w:hint="default" w:ascii="Times New Roman" w:hAnsi="Times New Roman" w:cs="Times New Roman"/>
                <w:color w:val="000000" w:themeColor="text1"/>
                <w:sz w:val="24"/>
                <w:highlight w:val="none"/>
                <w:lang w:eastAsia="zh-CN"/>
                <w14:textFill>
                  <w14:solidFill>
                    <w14:schemeClr w14:val="tx1"/>
                  </w14:solidFill>
                </w14:textFill>
              </w:rPr>
              <w:t>乐昌市空气质量各项污染物2024年平均浓度</w:t>
            </w:r>
            <w:r>
              <w:rPr>
                <w:rFonts w:hint="default" w:ascii="Times New Roman" w:hAnsi="Times New Roman" w:cs="Times New Roman"/>
                <w:color w:val="000000" w:themeColor="text1"/>
                <w:sz w:val="24"/>
                <w:highlight w:val="none"/>
                <w14:textFill>
                  <w14:solidFill>
                    <w14:schemeClr w14:val="tx1"/>
                  </w14:solidFill>
                </w14:textFill>
              </w:rPr>
              <w:t>详见下表3-</w:t>
            </w:r>
            <w:r>
              <w:rPr>
                <w:rFonts w:hint="default" w:ascii="Times New Roman" w:hAnsi="Times New Roman"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14:textFill>
                  <w14:solidFill>
                    <w14:schemeClr w14:val="tx1"/>
                  </w14:solidFill>
                </w14:textFill>
              </w:rPr>
              <w:t>。</w:t>
            </w:r>
          </w:p>
          <w:p w14:paraId="16A702E1">
            <w:pPr>
              <w:numPr>
                <w:ilvl w:val="0"/>
                <w:numId w:val="14"/>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 乐昌市区域空气质量现状评价一览表</w:t>
            </w:r>
          </w:p>
          <w:tbl>
            <w:tblPr>
              <w:tblStyle w:val="44"/>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5"/>
              <w:gridCol w:w="1826"/>
              <w:gridCol w:w="1293"/>
              <w:gridCol w:w="1873"/>
              <w:gridCol w:w="1210"/>
              <w:gridCol w:w="1186"/>
            </w:tblGrid>
            <w:tr w14:paraId="71F10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082D037">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1096" w:type="pct"/>
                  <w:tcBorders>
                    <w:tl2br w:val="nil"/>
                    <w:tr2bl w:val="nil"/>
                  </w:tcBorders>
                  <w:noWrap w:val="0"/>
                  <w:vAlign w:val="center"/>
                </w:tcPr>
                <w:p w14:paraId="1DB0CA7C">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年评价指标</w:t>
                  </w:r>
                </w:p>
              </w:tc>
              <w:tc>
                <w:tcPr>
                  <w:tcW w:w="776" w:type="pct"/>
                  <w:tcBorders>
                    <w:tl2br w:val="nil"/>
                    <w:tr2bl w:val="nil"/>
                  </w:tcBorders>
                  <w:noWrap w:val="0"/>
                  <w:vAlign w:val="center"/>
                </w:tcPr>
                <w:p w14:paraId="6560E7ED">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现状浓度（μg/m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w:t>
                  </w:r>
                </w:p>
              </w:tc>
              <w:tc>
                <w:tcPr>
                  <w:tcW w:w="1124" w:type="pct"/>
                  <w:tcBorders>
                    <w:tl2br w:val="nil"/>
                    <w:tr2bl w:val="nil"/>
                  </w:tcBorders>
                  <w:noWrap w:val="0"/>
                  <w:vAlign w:val="center"/>
                </w:tcPr>
                <w:p w14:paraId="4F313C1B">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评价标准（μg/m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w:t>
                  </w:r>
                </w:p>
              </w:tc>
              <w:tc>
                <w:tcPr>
                  <w:tcW w:w="726" w:type="pct"/>
                  <w:tcBorders>
                    <w:tl2br w:val="nil"/>
                    <w:tr2bl w:val="nil"/>
                  </w:tcBorders>
                  <w:noWrap w:val="0"/>
                  <w:vAlign w:val="center"/>
                </w:tcPr>
                <w:p w14:paraId="65D5C4DF">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占标率%</w:t>
                  </w:r>
                </w:p>
              </w:tc>
              <w:tc>
                <w:tcPr>
                  <w:tcW w:w="712" w:type="pct"/>
                  <w:tcBorders>
                    <w:tl2br w:val="nil"/>
                    <w:tr2bl w:val="nil"/>
                  </w:tcBorders>
                  <w:noWrap w:val="0"/>
                  <w:vAlign w:val="center"/>
                </w:tcPr>
                <w:p w14:paraId="36274F44">
                  <w:pPr>
                    <w:adjustRightInd w:val="0"/>
                    <w:snapToGrid w:val="0"/>
                    <w:spacing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达标情况</w:t>
                  </w:r>
                </w:p>
              </w:tc>
            </w:tr>
            <w:tr w14:paraId="533B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44408AFE">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SO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096" w:type="pct"/>
                  <w:tcBorders>
                    <w:tl2br w:val="nil"/>
                    <w:tr2bl w:val="nil"/>
                  </w:tcBorders>
                  <w:noWrap w:val="0"/>
                  <w:vAlign w:val="center"/>
                </w:tcPr>
                <w:p w14:paraId="0AC64BE8">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1293" w:type="dxa"/>
                  <w:tcBorders>
                    <w:tl2br w:val="nil"/>
                    <w:tr2bl w:val="nil"/>
                  </w:tcBorders>
                  <w:noWrap w:val="0"/>
                  <w:vAlign w:val="center"/>
                </w:tcPr>
                <w:p w14:paraId="49964ED5">
                  <w:pPr>
                    <w:adjustRightInd w:val="0"/>
                    <w:snapToGrid w:val="0"/>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6</w:t>
                  </w:r>
                </w:p>
              </w:tc>
              <w:tc>
                <w:tcPr>
                  <w:tcW w:w="1873" w:type="dxa"/>
                  <w:tcBorders>
                    <w:tl2br w:val="nil"/>
                    <w:tr2bl w:val="nil"/>
                  </w:tcBorders>
                  <w:noWrap w:val="0"/>
                  <w:vAlign w:val="center"/>
                </w:tcPr>
                <w:p w14:paraId="648CE1D8">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60</w:t>
                  </w:r>
                </w:p>
              </w:tc>
              <w:tc>
                <w:tcPr>
                  <w:tcW w:w="1218" w:type="dxa"/>
                  <w:tcBorders>
                    <w:tl2br w:val="nil"/>
                    <w:tr2bl w:val="nil"/>
                  </w:tcBorders>
                  <w:noWrap w:val="0"/>
                  <w:vAlign w:val="center"/>
                </w:tcPr>
                <w:p w14:paraId="175EB614">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10.00</w:t>
                  </w:r>
                </w:p>
              </w:tc>
              <w:tc>
                <w:tcPr>
                  <w:tcW w:w="712" w:type="pct"/>
                  <w:tcBorders>
                    <w:tl2br w:val="nil"/>
                    <w:tr2bl w:val="nil"/>
                  </w:tcBorders>
                  <w:noWrap w:val="0"/>
                  <w:vAlign w:val="center"/>
                </w:tcPr>
                <w:p w14:paraId="41A85DA2">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3ABD2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B112D46">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NO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096" w:type="pct"/>
                  <w:tcBorders>
                    <w:tl2br w:val="nil"/>
                    <w:tr2bl w:val="nil"/>
                  </w:tcBorders>
                  <w:noWrap w:val="0"/>
                  <w:vAlign w:val="center"/>
                </w:tcPr>
                <w:p w14:paraId="31BF9A4A">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1293" w:type="dxa"/>
                  <w:tcBorders>
                    <w:tl2br w:val="nil"/>
                    <w:tr2bl w:val="nil"/>
                  </w:tcBorders>
                  <w:noWrap w:val="0"/>
                  <w:vAlign w:val="center"/>
                </w:tcPr>
                <w:p w14:paraId="73B8E42A">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w:t>
                  </w:r>
                </w:p>
              </w:tc>
              <w:tc>
                <w:tcPr>
                  <w:tcW w:w="1873" w:type="dxa"/>
                  <w:tcBorders>
                    <w:tl2br w:val="nil"/>
                    <w:tr2bl w:val="nil"/>
                  </w:tcBorders>
                  <w:noWrap w:val="0"/>
                  <w:vAlign w:val="center"/>
                </w:tcPr>
                <w:p w14:paraId="36B61B60">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40</w:t>
                  </w:r>
                </w:p>
              </w:tc>
              <w:tc>
                <w:tcPr>
                  <w:tcW w:w="1218" w:type="dxa"/>
                  <w:tcBorders>
                    <w:tl2br w:val="nil"/>
                    <w:tr2bl w:val="nil"/>
                  </w:tcBorders>
                  <w:noWrap w:val="0"/>
                  <w:vAlign w:val="center"/>
                </w:tcPr>
                <w:p w14:paraId="216F37D5">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30.00</w:t>
                  </w:r>
                </w:p>
              </w:tc>
              <w:tc>
                <w:tcPr>
                  <w:tcW w:w="712" w:type="pct"/>
                  <w:tcBorders>
                    <w:tl2br w:val="nil"/>
                    <w:tr2bl w:val="nil"/>
                  </w:tcBorders>
                  <w:noWrap w:val="0"/>
                  <w:vAlign w:val="center"/>
                </w:tcPr>
                <w:p w14:paraId="45A3B8ED">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3E9BE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B8AF9EB">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2.5</w:t>
                  </w:r>
                </w:p>
              </w:tc>
              <w:tc>
                <w:tcPr>
                  <w:tcW w:w="1096" w:type="pct"/>
                  <w:tcBorders>
                    <w:tl2br w:val="nil"/>
                    <w:tr2bl w:val="nil"/>
                  </w:tcBorders>
                  <w:noWrap w:val="0"/>
                  <w:vAlign w:val="center"/>
                </w:tcPr>
                <w:p w14:paraId="5A355C2C">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1293" w:type="dxa"/>
                  <w:tcBorders>
                    <w:tl2br w:val="nil"/>
                    <w:tr2bl w:val="nil"/>
                  </w:tcBorders>
                  <w:noWrap w:val="0"/>
                  <w:vAlign w:val="center"/>
                </w:tcPr>
                <w:p w14:paraId="0AD0ACFB">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r>
                    <w:rPr>
                      <w:rFonts w:hint="eastAsia" w:ascii="Times New Roman" w:hAnsi="Times New Roman" w:cs="Times New Roman"/>
                      <w:color w:val="000000" w:themeColor="text1"/>
                      <w:sz w:val="21"/>
                      <w:szCs w:val="21"/>
                      <w:lang w:val="en-US" w:eastAsia="zh-CN"/>
                      <w14:textFill>
                        <w14:solidFill>
                          <w14:schemeClr w14:val="tx1"/>
                        </w14:solidFill>
                      </w14:textFill>
                    </w:rPr>
                    <w:t>1</w:t>
                  </w:r>
                </w:p>
              </w:tc>
              <w:tc>
                <w:tcPr>
                  <w:tcW w:w="1873" w:type="dxa"/>
                  <w:tcBorders>
                    <w:tl2br w:val="nil"/>
                    <w:tr2bl w:val="nil"/>
                  </w:tcBorders>
                  <w:noWrap w:val="0"/>
                  <w:vAlign w:val="center"/>
                </w:tcPr>
                <w:p w14:paraId="40594A01">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30</w:t>
                  </w:r>
                </w:p>
              </w:tc>
              <w:tc>
                <w:tcPr>
                  <w:tcW w:w="1218" w:type="dxa"/>
                  <w:tcBorders>
                    <w:tl2br w:val="nil"/>
                    <w:tr2bl w:val="nil"/>
                  </w:tcBorders>
                  <w:noWrap w:val="0"/>
                  <w:vAlign w:val="center"/>
                </w:tcPr>
                <w:p w14:paraId="01FB107A">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w:t>
                  </w:r>
                </w:p>
              </w:tc>
              <w:tc>
                <w:tcPr>
                  <w:tcW w:w="712" w:type="pct"/>
                  <w:tcBorders>
                    <w:tl2br w:val="nil"/>
                    <w:tr2bl w:val="nil"/>
                  </w:tcBorders>
                  <w:noWrap w:val="0"/>
                  <w:vAlign w:val="center"/>
                </w:tcPr>
                <w:p w14:paraId="5FB15ABE">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6014E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627EC93C">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10</w:t>
                  </w:r>
                </w:p>
              </w:tc>
              <w:tc>
                <w:tcPr>
                  <w:tcW w:w="1096" w:type="pct"/>
                  <w:tcBorders>
                    <w:tl2br w:val="nil"/>
                    <w:tr2bl w:val="nil"/>
                  </w:tcBorders>
                  <w:noWrap w:val="0"/>
                  <w:vAlign w:val="center"/>
                </w:tcPr>
                <w:p w14:paraId="70CBF6D2">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年平均质量浓度</w:t>
                  </w:r>
                </w:p>
              </w:tc>
              <w:tc>
                <w:tcPr>
                  <w:tcW w:w="1293" w:type="dxa"/>
                  <w:tcBorders>
                    <w:tl2br w:val="nil"/>
                    <w:tr2bl w:val="nil"/>
                  </w:tcBorders>
                  <w:noWrap w:val="0"/>
                  <w:vAlign w:val="center"/>
                </w:tcPr>
                <w:p w14:paraId="1E76A9C2">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w:t>
                  </w:r>
                  <w:r>
                    <w:rPr>
                      <w:rFonts w:hint="eastAsia" w:ascii="Times New Roman" w:hAnsi="Times New Roman" w:cs="Times New Roman"/>
                      <w:color w:val="000000" w:themeColor="text1"/>
                      <w:sz w:val="21"/>
                      <w:szCs w:val="21"/>
                      <w:lang w:val="en-US" w:eastAsia="zh-CN"/>
                      <w14:textFill>
                        <w14:solidFill>
                          <w14:schemeClr w14:val="tx1"/>
                        </w14:solidFill>
                      </w14:textFill>
                    </w:rPr>
                    <w:t>1</w:t>
                  </w:r>
                </w:p>
              </w:tc>
              <w:tc>
                <w:tcPr>
                  <w:tcW w:w="1873" w:type="dxa"/>
                  <w:tcBorders>
                    <w:tl2br w:val="nil"/>
                    <w:tr2bl w:val="nil"/>
                  </w:tcBorders>
                  <w:noWrap w:val="0"/>
                  <w:vAlign w:val="center"/>
                </w:tcPr>
                <w:p w14:paraId="70F0547D">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w:t>
                  </w:r>
                </w:p>
              </w:tc>
              <w:tc>
                <w:tcPr>
                  <w:tcW w:w="1218" w:type="dxa"/>
                  <w:tcBorders>
                    <w:tl2br w:val="nil"/>
                    <w:tr2bl w:val="nil"/>
                  </w:tcBorders>
                  <w:noWrap w:val="0"/>
                  <w:vAlign w:val="center"/>
                </w:tcPr>
                <w:p w14:paraId="636C39AD">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51.7</w:t>
                  </w:r>
                </w:p>
              </w:tc>
              <w:tc>
                <w:tcPr>
                  <w:tcW w:w="712" w:type="pct"/>
                  <w:tcBorders>
                    <w:tl2br w:val="nil"/>
                    <w:tr2bl w:val="nil"/>
                  </w:tcBorders>
                  <w:noWrap w:val="0"/>
                  <w:vAlign w:val="center"/>
                </w:tcPr>
                <w:p w14:paraId="14B2B4D0">
                  <w:pPr>
                    <w:adjustRightInd w:val="0"/>
                    <w:snapToGrid w:val="0"/>
                    <w:spacing w:line="240" w:lineRule="auto"/>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69D2A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742D56B0">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CO</w:t>
                  </w:r>
                </w:p>
              </w:tc>
              <w:tc>
                <w:tcPr>
                  <w:tcW w:w="1096" w:type="pct"/>
                  <w:tcBorders>
                    <w:tl2br w:val="nil"/>
                    <w:tr2bl w:val="nil"/>
                  </w:tcBorders>
                  <w:noWrap w:val="0"/>
                  <w:vAlign w:val="center"/>
                </w:tcPr>
                <w:p w14:paraId="24E34FDD">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24小时平均值第95百分位数</w:t>
                  </w:r>
                </w:p>
              </w:tc>
              <w:tc>
                <w:tcPr>
                  <w:tcW w:w="1293" w:type="dxa"/>
                  <w:tcBorders>
                    <w:tl2br w:val="nil"/>
                    <w:tr2bl w:val="nil"/>
                  </w:tcBorders>
                  <w:noWrap w:val="0"/>
                  <w:vAlign w:val="center"/>
                </w:tcPr>
                <w:p w14:paraId="76DC0345">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10</w:t>
                  </w:r>
                  <w:r>
                    <w:rPr>
                      <w:rFonts w:hint="default" w:ascii="Times New Roman" w:hAnsi="Times New Roman" w:cs="Times New Roman"/>
                      <w:color w:val="000000" w:themeColor="text1"/>
                      <w:sz w:val="21"/>
                      <w:szCs w:val="21"/>
                      <w14:textFill>
                        <w14:solidFill>
                          <w14:schemeClr w14:val="tx1"/>
                        </w14:solidFill>
                      </w14:textFill>
                    </w:rPr>
                    <w:t>00</w:t>
                  </w:r>
                </w:p>
              </w:tc>
              <w:tc>
                <w:tcPr>
                  <w:tcW w:w="1873" w:type="dxa"/>
                  <w:tcBorders>
                    <w:tl2br w:val="nil"/>
                    <w:tr2bl w:val="nil"/>
                  </w:tcBorders>
                  <w:noWrap w:val="0"/>
                  <w:vAlign w:val="center"/>
                </w:tcPr>
                <w:p w14:paraId="30CEB7BA">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4000</w:t>
                  </w:r>
                </w:p>
              </w:tc>
              <w:tc>
                <w:tcPr>
                  <w:tcW w:w="1218" w:type="dxa"/>
                  <w:tcBorders>
                    <w:tl2br w:val="nil"/>
                    <w:tr2bl w:val="nil"/>
                  </w:tcBorders>
                  <w:noWrap w:val="0"/>
                  <w:vAlign w:val="center"/>
                </w:tcPr>
                <w:p w14:paraId="642105C8">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25.00</w:t>
                  </w:r>
                </w:p>
              </w:tc>
              <w:tc>
                <w:tcPr>
                  <w:tcW w:w="712" w:type="pct"/>
                  <w:tcBorders>
                    <w:tl2br w:val="nil"/>
                    <w:tr2bl w:val="nil"/>
                  </w:tcBorders>
                  <w:noWrap w:val="0"/>
                  <w:vAlign w:val="center"/>
                </w:tcPr>
                <w:p w14:paraId="50112A2D">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154D8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3D36A049">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p>
              </w:tc>
              <w:tc>
                <w:tcPr>
                  <w:tcW w:w="1096" w:type="pct"/>
                  <w:tcBorders>
                    <w:tl2br w:val="nil"/>
                    <w:tr2bl w:val="nil"/>
                  </w:tcBorders>
                  <w:noWrap w:val="0"/>
                  <w:vAlign w:val="center"/>
                </w:tcPr>
                <w:p w14:paraId="6293E83C">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日</w:t>
                  </w:r>
                  <w:r>
                    <w:rPr>
                      <w:rFonts w:hint="default" w:ascii="Times New Roman" w:hAnsi="Times New Roman" w:cs="Times New Roman"/>
                      <w:color w:val="000000" w:themeColor="text1"/>
                      <w:sz w:val="21"/>
                      <w:szCs w:val="21"/>
                      <w:highlight w:val="none"/>
                      <w14:textFill>
                        <w14:solidFill>
                          <w14:schemeClr w14:val="tx1"/>
                        </w14:solidFill>
                      </w14:textFill>
                    </w:rPr>
                    <w:t>最大8小时平均值第90百分位数</w:t>
                  </w:r>
                </w:p>
              </w:tc>
              <w:tc>
                <w:tcPr>
                  <w:tcW w:w="1293" w:type="dxa"/>
                  <w:tcBorders>
                    <w:tl2br w:val="nil"/>
                    <w:tr2bl w:val="nil"/>
                  </w:tcBorders>
                  <w:noWrap w:val="0"/>
                  <w:vAlign w:val="center"/>
                </w:tcPr>
                <w:p w14:paraId="095C0184">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r>
                    <w:rPr>
                      <w:rFonts w:hint="eastAsia" w:ascii="Times New Roman" w:hAnsi="Times New Roman" w:cs="Times New Roman"/>
                      <w:color w:val="000000" w:themeColor="text1"/>
                      <w:sz w:val="21"/>
                      <w:szCs w:val="21"/>
                      <w:lang w:val="en-US" w:eastAsia="zh-CN"/>
                      <w14:textFill>
                        <w14:solidFill>
                          <w14:schemeClr w14:val="tx1"/>
                        </w14:solidFill>
                      </w14:textFill>
                    </w:rPr>
                    <w:t>08</w:t>
                  </w:r>
                </w:p>
              </w:tc>
              <w:tc>
                <w:tcPr>
                  <w:tcW w:w="1873" w:type="dxa"/>
                  <w:tcBorders>
                    <w:tl2br w:val="nil"/>
                    <w:tr2bl w:val="nil"/>
                  </w:tcBorders>
                  <w:noWrap w:val="0"/>
                  <w:vAlign w:val="center"/>
                </w:tcPr>
                <w:p w14:paraId="623B73CF">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160</w:t>
                  </w:r>
                </w:p>
              </w:tc>
              <w:tc>
                <w:tcPr>
                  <w:tcW w:w="1218" w:type="dxa"/>
                  <w:tcBorders>
                    <w:tl2br w:val="nil"/>
                    <w:tr2bl w:val="nil"/>
                  </w:tcBorders>
                  <w:noWrap w:val="0"/>
                  <w:vAlign w:val="center"/>
                </w:tcPr>
                <w:p w14:paraId="187F7B9A">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67.50</w:t>
                  </w:r>
                </w:p>
              </w:tc>
              <w:tc>
                <w:tcPr>
                  <w:tcW w:w="712" w:type="pct"/>
                  <w:tcBorders>
                    <w:tl2br w:val="nil"/>
                    <w:tr2bl w:val="nil"/>
                  </w:tcBorders>
                  <w:noWrap w:val="0"/>
                  <w:vAlign w:val="center"/>
                </w:tcPr>
                <w:p w14:paraId="3F9AEEE3">
                  <w:pPr>
                    <w:adjustRightInd w:val="0"/>
                    <w:snapToGrid w:val="0"/>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bl>
          <w:p w14:paraId="350A7BEB">
            <w:pPr>
              <w:spacing w:line="120" w:lineRule="auto"/>
              <w:ind w:firstLine="420" w:firstLineChars="200"/>
              <w:rPr>
                <w:rFonts w:hint="default" w:ascii="Times New Roman" w:hAnsi="Times New Roman" w:cs="Times New Roman"/>
                <w:color w:val="000000" w:themeColor="text1"/>
                <w:highlight w:val="none"/>
                <w14:textFill>
                  <w14:solidFill>
                    <w14:schemeClr w14:val="tx1"/>
                  </w14:solidFill>
                </w14:textFill>
              </w:rPr>
            </w:pPr>
          </w:p>
          <w:p w14:paraId="1817CF36">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根据上表，202</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ascii="Times New Roman" w:hAnsi="Times New Roman" w:cs="Times New Roman"/>
                <w:color w:val="000000" w:themeColor="text1"/>
                <w:sz w:val="24"/>
                <w:highlight w:val="none"/>
                <w:lang w:val="en-US" w:eastAsia="zh-CN"/>
                <w14:textFill>
                  <w14:solidFill>
                    <w14:schemeClr w14:val="tx1"/>
                  </w14:solidFill>
                </w14:textFill>
              </w:rPr>
              <w:t>乐昌</w:t>
            </w:r>
            <w:r>
              <w:rPr>
                <w:rFonts w:hint="eastAsia" w:ascii="Times New Roman" w:hAnsi="Times New Roman" w:cs="Times New Roman"/>
                <w:color w:val="000000" w:themeColor="text1"/>
                <w:sz w:val="24"/>
                <w:highlight w:val="none"/>
                <w:lang w:eastAsia="zh-CN"/>
                <w14:textFill>
                  <w14:solidFill>
                    <w14:schemeClr w14:val="tx1"/>
                  </w14:solidFill>
                </w14:textFill>
              </w:rPr>
              <w:t>市</w:t>
            </w:r>
            <w:r>
              <w:rPr>
                <w:rFonts w:hint="default" w:ascii="Times New Roman" w:hAnsi="Times New Roman" w:cs="Times New Roman"/>
                <w:color w:val="000000" w:themeColor="text1"/>
                <w:sz w:val="24"/>
                <w:highlight w:val="none"/>
                <w14:textFill>
                  <w14:solidFill>
                    <w14:schemeClr w14:val="tx1"/>
                  </w14:solidFill>
                </w14:textFill>
              </w:rPr>
              <w:t>环境空气六项基本污染物均能达到《环境空气质量标准》（GB3095-2026）过渡阶段浓度限值二级标准，属环境空气质量达标区。</w:t>
            </w:r>
          </w:p>
          <w:p w14:paraId="7997FFA0">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）补充监测</w:t>
            </w:r>
          </w:p>
          <w:p w14:paraId="5DC6FE95">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根据《建设项目环境影响报告表编制技术指南（污染影响类）（试行）》</w:t>
            </w:r>
            <w:bookmarkStart w:id="151" w:name="_GoBack"/>
            <w:bookmarkEnd w:id="151"/>
            <w:r>
              <w:rPr>
                <w:rFonts w:hint="default" w:ascii="Times New Roman" w:hAnsi="Times New Roman" w:cs="Times New Roman"/>
                <w:color w:val="000000" w:themeColor="text1"/>
                <w:sz w:val="24"/>
                <w:highlight w:val="none"/>
                <w14:textFill>
                  <w14:solidFill>
                    <w14:schemeClr w14:val="tx1"/>
                  </w14:solidFill>
                </w14:textFill>
              </w:rPr>
              <w:t>：排放国家、地方环境空气质量标准中有标准限值要求的特征污染物时，引用建设项目周边5千米范围内近3年的现有监测数据。本项目需补充监测的其他污染物为TSP</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非甲烷总烃、苯系物、臭气浓度</w:t>
            </w:r>
            <w:r>
              <w:rPr>
                <w:rFonts w:hint="default" w:ascii="Times New Roman" w:hAnsi="Times New Roman" w:cs="Times New Roman"/>
                <w:color w:val="000000" w:themeColor="text1"/>
                <w:sz w:val="24"/>
                <w:highlight w:val="none"/>
                <w14:textFill>
                  <w14:solidFill>
                    <w14:schemeClr w14:val="tx1"/>
                  </w14:solidFill>
                </w14:textFill>
              </w:rPr>
              <w:t>。</w:t>
            </w:r>
          </w:p>
          <w:p w14:paraId="63A9F18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本项目引用《乐昌产业转移工业园2023年度环境管理状况评估监测》（报告编号：QHT-202312271026</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详见附件6</w:t>
            </w:r>
            <w:r>
              <w:rPr>
                <w:rFonts w:hint="default" w:ascii="Times New Roman" w:hAnsi="Times New Roman" w:cs="Times New Roman"/>
                <w:color w:val="000000" w:themeColor="text1"/>
                <w:sz w:val="24"/>
                <w:highlight w:val="none"/>
                <w14:textFill>
                  <w14:solidFill>
                    <w14:schemeClr w14:val="tx1"/>
                  </w14:solidFill>
                </w14:textFill>
              </w:rPr>
              <w:t>）用于评价TSP、非甲烷总烃、二甲苯、臭气浓度环境质量现状。深圳市清华环科检测技术有限公司于2023年12月19日-2023年12月25日在本项目南侧</w:t>
            </w:r>
            <w:r>
              <w:rPr>
                <w:rFonts w:hint="eastAsia" w:cs="Times New Roman"/>
                <w:color w:val="000000" w:themeColor="text1"/>
                <w:sz w:val="24"/>
                <w:highlight w:val="none"/>
                <w:lang w:val="en-US" w:eastAsia="zh-CN"/>
                <w14:textFill>
                  <w14:solidFill>
                    <w14:schemeClr w14:val="tx1"/>
                  </w14:solidFill>
                </w14:textFill>
              </w:rPr>
              <w:t>4472</w:t>
            </w:r>
            <w:r>
              <w:rPr>
                <w:rFonts w:hint="default" w:ascii="Times New Roman" w:hAnsi="Times New Roman" w:cs="Times New Roman"/>
                <w:color w:val="000000" w:themeColor="text1"/>
                <w:sz w:val="24"/>
                <w:highlight w:val="none"/>
                <w14:textFill>
                  <w14:solidFill>
                    <w14:schemeClr w14:val="tx1"/>
                  </w14:solidFill>
                </w14:textFill>
              </w:rPr>
              <w:t>m处G1和村地进行采样监测的监测数据，连续监测7天。本项目其他污染物补充监测点位基本信息见表3-2，监测结果</w:t>
            </w:r>
            <w:r>
              <w:rPr>
                <w:rFonts w:hint="default" w:ascii="Times New Roman" w:hAnsi="Times New Roman" w:cs="Times New Roman"/>
                <w:color w:val="000000" w:themeColor="text1"/>
                <w:sz w:val="24"/>
                <w:highlight w:val="none"/>
                <w:lang w:val="en-US" w:eastAsia="zh-CN"/>
                <w14:textFill>
                  <w14:solidFill>
                    <w14:schemeClr w14:val="tx1"/>
                  </w14:solidFill>
                </w14:textFill>
              </w:rPr>
              <w:t>见</w:t>
            </w:r>
            <w:r>
              <w:rPr>
                <w:rFonts w:hint="default" w:ascii="Times New Roman" w:hAnsi="Times New Roman" w:cs="Times New Roman"/>
                <w:color w:val="000000" w:themeColor="text1"/>
                <w:sz w:val="24"/>
                <w:highlight w:val="none"/>
                <w14:textFill>
                  <w14:solidFill>
                    <w14:schemeClr w14:val="tx1"/>
                  </w14:solidFill>
                </w14:textFill>
              </w:rPr>
              <w:t>表3-3。</w:t>
            </w:r>
          </w:p>
          <w:p w14:paraId="197D7301">
            <w:pPr>
              <w:numPr>
                <w:ilvl w:val="0"/>
                <w:numId w:val="14"/>
              </w:numPr>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大气监测点位信息</w:t>
            </w:r>
          </w:p>
          <w:tbl>
            <w:tblPr>
              <w:tblStyle w:val="44"/>
              <w:tblW w:w="4994" w:type="pct"/>
              <w:tblInd w:w="-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148"/>
              <w:gridCol w:w="1120"/>
              <w:gridCol w:w="859"/>
              <w:gridCol w:w="1227"/>
              <w:gridCol w:w="1849"/>
              <w:gridCol w:w="1015"/>
              <w:gridCol w:w="1098"/>
            </w:tblGrid>
            <w:tr w14:paraId="1CBFA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restart"/>
                  <w:tcBorders>
                    <w:tl2br w:val="nil"/>
                    <w:tr2bl w:val="nil"/>
                  </w:tcBorders>
                  <w:noWrap w:val="0"/>
                  <w:vAlign w:val="center"/>
                </w:tcPr>
                <w:p w14:paraId="337A2DB2">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监测点名称</w:t>
                  </w:r>
                </w:p>
              </w:tc>
              <w:tc>
                <w:tcPr>
                  <w:tcW w:w="1189" w:type="pct"/>
                  <w:gridSpan w:val="2"/>
                  <w:tcBorders>
                    <w:tl2br w:val="nil"/>
                    <w:tr2bl w:val="nil"/>
                  </w:tcBorders>
                  <w:noWrap w:val="0"/>
                  <w:vAlign w:val="center"/>
                </w:tcPr>
                <w:p w14:paraId="22891898">
                  <w:pPr>
                    <w:pStyle w:val="112"/>
                    <w:spacing w:line="240" w:lineRule="auto"/>
                    <w:jc w:val="center"/>
                    <w:rPr>
                      <w:rFonts w:hint="default" w:ascii="Times New Roman" w:hAnsi="Times New Roman" w:cs="Times New Roman"/>
                      <w:b/>
                      <w:bCs/>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监测点坐标</w:t>
                  </w:r>
                </w:p>
              </w:tc>
              <w:tc>
                <w:tcPr>
                  <w:tcW w:w="737" w:type="pct"/>
                  <w:vMerge w:val="restart"/>
                  <w:tcBorders>
                    <w:tl2br w:val="nil"/>
                    <w:tr2bl w:val="nil"/>
                  </w:tcBorders>
                  <w:noWrap w:val="0"/>
                  <w:vAlign w:val="center"/>
                </w:tcPr>
                <w:p w14:paraId="6CFE058C">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监测因子</w:t>
                  </w:r>
                </w:p>
              </w:tc>
              <w:tc>
                <w:tcPr>
                  <w:tcW w:w="1111" w:type="pct"/>
                  <w:vMerge w:val="restart"/>
                  <w:tcBorders>
                    <w:tl2br w:val="nil"/>
                    <w:tr2bl w:val="nil"/>
                  </w:tcBorders>
                  <w:noWrap w:val="0"/>
                  <w:vAlign w:val="center"/>
                </w:tcPr>
                <w:p w14:paraId="018AF9FE">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监测时段</w:t>
                  </w:r>
                </w:p>
              </w:tc>
              <w:tc>
                <w:tcPr>
                  <w:tcW w:w="610" w:type="pct"/>
                  <w:vMerge w:val="restart"/>
                  <w:tcBorders>
                    <w:tl2br w:val="nil"/>
                    <w:tr2bl w:val="nil"/>
                  </w:tcBorders>
                  <w:noWrap w:val="0"/>
                  <w:vAlign w:val="center"/>
                </w:tcPr>
                <w:p w14:paraId="49EDD6E2">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相对厂址方位</w:t>
                  </w:r>
                </w:p>
              </w:tc>
              <w:tc>
                <w:tcPr>
                  <w:tcW w:w="660" w:type="pct"/>
                  <w:vMerge w:val="restart"/>
                  <w:tcBorders>
                    <w:tl2br w:val="nil"/>
                    <w:tr2bl w:val="nil"/>
                  </w:tcBorders>
                  <w:noWrap w:val="0"/>
                  <w:vAlign w:val="center"/>
                </w:tcPr>
                <w:p w14:paraId="1CF2A51F">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相对厂界距离/m</w:t>
                  </w:r>
                </w:p>
              </w:tc>
            </w:tr>
            <w:tr w14:paraId="5AE18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continue"/>
                  <w:tcBorders>
                    <w:tl2br w:val="nil"/>
                    <w:tr2bl w:val="nil"/>
                  </w:tcBorders>
                  <w:noWrap w:val="0"/>
                  <w:vAlign w:val="center"/>
                </w:tcPr>
                <w:p w14:paraId="1DB87E4A">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p>
              </w:tc>
              <w:tc>
                <w:tcPr>
                  <w:tcW w:w="673" w:type="pct"/>
                  <w:tcBorders>
                    <w:tl2br w:val="nil"/>
                    <w:tr2bl w:val="nil"/>
                  </w:tcBorders>
                  <w:noWrap w:val="0"/>
                  <w:vAlign w:val="center"/>
                </w:tcPr>
                <w:p w14:paraId="2A20AB7A">
                  <w:pPr>
                    <w:pStyle w:val="112"/>
                    <w:spacing w:line="240" w:lineRule="auto"/>
                    <w:jc w:val="center"/>
                    <w:rPr>
                      <w:rFonts w:hint="default" w:ascii="Times New Roman" w:hAnsi="Times New Roman" w:cs="Times New Roman"/>
                      <w:b/>
                      <w:bCs/>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b/>
                      <w:bCs/>
                      <w:color w:val="000000" w:themeColor="text1"/>
                      <w:kern w:val="2"/>
                      <w:sz w:val="21"/>
                      <w:szCs w:val="21"/>
                      <w:highlight w:val="none"/>
                      <w:lang w:val="en-US" w:eastAsia="zh-CN" w:bidi="zh-CN"/>
                      <w14:textFill>
                        <w14:solidFill>
                          <w14:schemeClr w14:val="tx1"/>
                        </w14:solidFill>
                      </w14:textFill>
                    </w:rPr>
                    <w:t>经度</w:t>
                  </w:r>
                </w:p>
              </w:tc>
              <w:tc>
                <w:tcPr>
                  <w:tcW w:w="515" w:type="pct"/>
                  <w:tcBorders>
                    <w:tl2br w:val="nil"/>
                    <w:tr2bl w:val="nil"/>
                  </w:tcBorders>
                  <w:noWrap w:val="0"/>
                  <w:vAlign w:val="center"/>
                </w:tcPr>
                <w:p w14:paraId="73CAD51C">
                  <w:pPr>
                    <w:pStyle w:val="112"/>
                    <w:spacing w:line="240" w:lineRule="auto"/>
                    <w:jc w:val="center"/>
                    <w:rPr>
                      <w:rFonts w:hint="default" w:ascii="Times New Roman" w:hAnsi="Times New Roman" w:cs="Times New Roman"/>
                      <w:b/>
                      <w:bCs/>
                      <w:color w:val="000000" w:themeColor="text1"/>
                      <w:kern w:val="2"/>
                      <w:sz w:val="21"/>
                      <w:szCs w:val="21"/>
                      <w:highlight w:val="none"/>
                      <w:lang w:val="en-US" w:eastAsia="zh-CN" w:bidi="zh-CN"/>
                      <w14:textFill>
                        <w14:solidFill>
                          <w14:schemeClr w14:val="tx1"/>
                        </w14:solidFill>
                      </w14:textFill>
                    </w:rPr>
                  </w:pPr>
                  <w:r>
                    <w:rPr>
                      <w:rFonts w:hint="eastAsia" w:ascii="Times New Roman" w:hAnsi="Times New Roman" w:cs="Times New Roman"/>
                      <w:b/>
                      <w:bCs/>
                      <w:color w:val="000000" w:themeColor="text1"/>
                      <w:kern w:val="2"/>
                      <w:sz w:val="21"/>
                      <w:szCs w:val="21"/>
                      <w:highlight w:val="none"/>
                      <w:lang w:val="en-US" w:eastAsia="zh-CN" w:bidi="zh-CN"/>
                      <w14:textFill>
                        <w14:solidFill>
                          <w14:schemeClr w14:val="tx1"/>
                        </w14:solidFill>
                      </w14:textFill>
                    </w:rPr>
                    <w:t>纬度</w:t>
                  </w:r>
                </w:p>
              </w:tc>
              <w:tc>
                <w:tcPr>
                  <w:tcW w:w="737" w:type="pct"/>
                  <w:vMerge w:val="continue"/>
                  <w:tcBorders>
                    <w:tl2br w:val="nil"/>
                    <w:tr2bl w:val="nil"/>
                  </w:tcBorders>
                  <w:noWrap w:val="0"/>
                  <w:vAlign w:val="center"/>
                </w:tcPr>
                <w:p w14:paraId="4A5FDB57">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111" w:type="pct"/>
                  <w:vMerge w:val="continue"/>
                  <w:tcBorders>
                    <w:tl2br w:val="nil"/>
                    <w:tr2bl w:val="nil"/>
                  </w:tcBorders>
                  <w:noWrap w:val="0"/>
                  <w:vAlign w:val="center"/>
                </w:tcPr>
                <w:p w14:paraId="6C978558">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10" w:type="pct"/>
                  <w:vMerge w:val="continue"/>
                  <w:tcBorders>
                    <w:tl2br w:val="nil"/>
                    <w:tr2bl w:val="nil"/>
                  </w:tcBorders>
                  <w:noWrap w:val="0"/>
                  <w:vAlign w:val="center"/>
                </w:tcPr>
                <w:p w14:paraId="181BFB5E">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Merge w:val="continue"/>
                  <w:tcBorders>
                    <w:tl2br w:val="nil"/>
                    <w:tr2bl w:val="nil"/>
                  </w:tcBorders>
                  <w:noWrap w:val="0"/>
                  <w:vAlign w:val="center"/>
                </w:tcPr>
                <w:p w14:paraId="7AC166C7">
                  <w:pPr>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r w14:paraId="6E90E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1148" w:type="dxa"/>
                  <w:tcBorders>
                    <w:tl2br w:val="nil"/>
                    <w:tr2bl w:val="nil"/>
                  </w:tcBorders>
                  <w:noWrap w:val="0"/>
                  <w:vAlign w:val="center"/>
                </w:tcPr>
                <w:p w14:paraId="6E74DC0C">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G1</w:t>
                  </w:r>
                  <w:r>
                    <w:rPr>
                      <w:rFonts w:hint="eastAsia" w:ascii="Times New Roman"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村</w:t>
                  </w:r>
                </w:p>
              </w:tc>
              <w:tc>
                <w:tcPr>
                  <w:tcW w:w="1120" w:type="dxa"/>
                  <w:tcBorders>
                    <w:tl2br w:val="nil"/>
                    <w:tr2bl w:val="nil"/>
                  </w:tcBorders>
                  <w:noWrap w:val="0"/>
                  <w:vAlign w:val="center"/>
                </w:tcPr>
                <w:p w14:paraId="240315D2">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kern w:val="2"/>
                      <w:sz w:val="21"/>
                      <w:szCs w:val="21"/>
                      <w:highlight w:val="none"/>
                      <w:lang w:eastAsia="zh-CN" w:bidi="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113.242127448</w:t>
                  </w:r>
                </w:p>
              </w:tc>
              <w:tc>
                <w:tcPr>
                  <w:tcW w:w="859" w:type="dxa"/>
                  <w:tcBorders>
                    <w:tl2br w:val="nil"/>
                    <w:tr2bl w:val="nil"/>
                  </w:tcBorders>
                  <w:noWrap w:val="0"/>
                  <w:vAlign w:val="center"/>
                </w:tcPr>
                <w:p w14:paraId="0355B2A6">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kern w:val="2"/>
                      <w:sz w:val="21"/>
                      <w:szCs w:val="21"/>
                      <w:highlight w:val="none"/>
                      <w:lang w:eastAsia="zh-CN" w:bidi="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25.064813306</w:t>
                  </w:r>
                </w:p>
              </w:tc>
              <w:tc>
                <w:tcPr>
                  <w:tcW w:w="1227" w:type="dxa"/>
                  <w:tcBorders>
                    <w:tl2br w:val="nil"/>
                    <w:tr2bl w:val="nil"/>
                  </w:tcBorders>
                  <w:noWrap w:val="0"/>
                  <w:vAlign w:val="center"/>
                </w:tcPr>
                <w:p w14:paraId="5BE0831C">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TSP</w:t>
                  </w:r>
                  <w:r>
                    <w:rPr>
                      <w:rFonts w:hint="eastAsia" w:ascii="Times New Roman" w:cs="Times New Roman"/>
                      <w:color w:val="000000" w:themeColor="text1"/>
                      <w:sz w:val="21"/>
                      <w:szCs w:val="21"/>
                      <w:highlight w:val="none"/>
                      <w:lang w:eastAsia="zh-CN"/>
                      <w14:textFill>
                        <w14:solidFill>
                          <w14:schemeClr w14:val="tx1"/>
                        </w14:solidFill>
                      </w14:textFill>
                    </w:rPr>
                    <w:t>、</w:t>
                  </w:r>
                  <w:r>
                    <w:rPr>
                      <w:rFonts w:hint="eastAsia" w:ascii="Times New Roman" w:cs="Times New Roman"/>
                      <w:color w:val="000000" w:themeColor="text1"/>
                      <w:sz w:val="21"/>
                      <w:szCs w:val="21"/>
                      <w:highlight w:val="none"/>
                      <w:lang w:val="en-US" w:eastAsia="zh-CN"/>
                      <w14:textFill>
                        <w14:solidFill>
                          <w14:schemeClr w14:val="tx1"/>
                        </w14:solidFill>
                      </w14:textFill>
                    </w:rPr>
                    <w:t>非甲烷总烃、二甲苯、臭气浓度</w:t>
                  </w:r>
                </w:p>
              </w:tc>
              <w:tc>
                <w:tcPr>
                  <w:tcW w:w="1849" w:type="dxa"/>
                  <w:tcBorders>
                    <w:tl2br w:val="nil"/>
                    <w:tr2bl w:val="nil"/>
                  </w:tcBorders>
                  <w:noWrap w:val="0"/>
                  <w:vAlign w:val="center"/>
                </w:tcPr>
                <w:p w14:paraId="1497C203">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202</w:t>
                  </w:r>
                  <w:r>
                    <w:rPr>
                      <w:rFonts w:hint="eastAsia" w:ascii="Times New Roman" w:cs="Times New Roman"/>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年12月</w:t>
                  </w:r>
                  <w:r>
                    <w:rPr>
                      <w:rFonts w:hint="eastAsia" w:ascii="Times New Roman" w:cs="Times New Roman"/>
                      <w:bCs/>
                      <w:color w:val="000000" w:themeColor="text1"/>
                      <w:sz w:val="21"/>
                      <w:szCs w:val="21"/>
                      <w:highlight w:val="none"/>
                      <w:lang w:val="en-US" w:eastAsia="zh-CN"/>
                      <w14:textFill>
                        <w14:solidFill>
                          <w14:schemeClr w14:val="tx1"/>
                        </w14:solidFill>
                      </w14:textFill>
                    </w:rPr>
                    <w:t>19</w:t>
                  </w:r>
                  <w:r>
                    <w:rPr>
                      <w:rFonts w:hint="default" w:ascii="Times New Roman" w:hAnsi="Times New Roman" w:cs="Times New Roman"/>
                      <w:bCs/>
                      <w:color w:val="000000" w:themeColor="text1"/>
                      <w:sz w:val="21"/>
                      <w:szCs w:val="21"/>
                      <w:highlight w:val="none"/>
                      <w14:textFill>
                        <w14:solidFill>
                          <w14:schemeClr w14:val="tx1"/>
                        </w14:solidFill>
                      </w14:textFill>
                    </w:rPr>
                    <w:t>日</w:t>
                  </w:r>
                  <w:r>
                    <w:rPr>
                      <w:rFonts w:hint="eastAsia" w:ascii="Times New Roman" w:cs="Times New Roman"/>
                      <w:bCs/>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 w:val="21"/>
                      <w:szCs w:val="21"/>
                      <w:highlight w:val="none"/>
                      <w14:textFill>
                        <w14:solidFill>
                          <w14:schemeClr w14:val="tx1"/>
                        </w14:solidFill>
                      </w14:textFill>
                    </w:rPr>
                    <w:t>202</w:t>
                  </w:r>
                  <w:r>
                    <w:rPr>
                      <w:rFonts w:hint="eastAsia" w:ascii="Times New Roman" w:cs="Times New Roman"/>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年12月2</w:t>
                  </w:r>
                  <w:r>
                    <w:rPr>
                      <w:rFonts w:hint="eastAsia" w:ascii="Times New Roman" w:cs="Times New Roman"/>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Cs/>
                      <w:color w:val="000000" w:themeColor="text1"/>
                      <w:sz w:val="21"/>
                      <w:szCs w:val="21"/>
                      <w:highlight w:val="none"/>
                      <w14:textFill>
                        <w14:solidFill>
                          <w14:schemeClr w14:val="tx1"/>
                        </w14:solidFill>
                      </w14:textFill>
                    </w:rPr>
                    <w:t>日</w:t>
                  </w:r>
                </w:p>
              </w:tc>
              <w:tc>
                <w:tcPr>
                  <w:tcW w:w="1015" w:type="dxa"/>
                  <w:tcBorders>
                    <w:tl2br w:val="nil"/>
                    <w:tr2bl w:val="nil"/>
                  </w:tcBorders>
                  <w:noWrap w:val="0"/>
                  <w:vAlign w:val="center"/>
                </w:tcPr>
                <w:p w14:paraId="1463832A">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西南</w:t>
                  </w:r>
                </w:p>
              </w:tc>
              <w:tc>
                <w:tcPr>
                  <w:tcW w:w="1098" w:type="dxa"/>
                  <w:tcBorders>
                    <w:tl2br w:val="nil"/>
                    <w:tr2bl w:val="nil"/>
                  </w:tcBorders>
                  <w:noWrap w:val="0"/>
                  <w:vAlign w:val="center"/>
                </w:tcPr>
                <w:p w14:paraId="4BB9EE29">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000000" w:themeColor="text1"/>
                      <w:sz w:val="21"/>
                      <w:szCs w:val="21"/>
                      <w:highlight w:val="none"/>
                      <w:lang w:val="en-US" w:bidi="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4472</w:t>
                  </w:r>
                </w:p>
              </w:tc>
            </w:tr>
          </w:tbl>
          <w:p w14:paraId="1200B58B">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p>
          <w:p w14:paraId="02EDE957">
            <w:pPr>
              <w:numPr>
                <w:ilvl w:val="0"/>
                <w:numId w:val="14"/>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 其他污染物环境质量现状（监测结果）表</w:t>
            </w:r>
          </w:p>
          <w:tbl>
            <w:tblPr>
              <w:tblStyle w:val="44"/>
              <w:tblW w:w="4996" w:type="pct"/>
              <w:tblInd w:w="-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849"/>
              <w:gridCol w:w="924"/>
              <w:gridCol w:w="941"/>
              <w:gridCol w:w="1326"/>
              <w:gridCol w:w="1647"/>
              <w:gridCol w:w="1146"/>
              <w:gridCol w:w="674"/>
              <w:gridCol w:w="812"/>
            </w:tblGrid>
            <w:tr w14:paraId="2DD3D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tcBorders>
                    <w:tl2br w:val="nil"/>
                    <w:tr2bl w:val="nil"/>
                  </w:tcBorders>
                  <w:noWrap w:val="0"/>
                  <w:vAlign w:val="center"/>
                </w:tcPr>
                <w:p w14:paraId="398927D7">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点位名称</w:t>
                  </w:r>
                </w:p>
              </w:tc>
              <w:tc>
                <w:tcPr>
                  <w:tcW w:w="555" w:type="pct"/>
                  <w:tcBorders>
                    <w:tl2br w:val="nil"/>
                    <w:tr2bl w:val="nil"/>
                  </w:tcBorders>
                  <w:noWrap w:val="0"/>
                  <w:vAlign w:val="center"/>
                </w:tcPr>
                <w:p w14:paraId="1B42AEAE">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污染物</w:t>
                  </w:r>
                </w:p>
              </w:tc>
              <w:tc>
                <w:tcPr>
                  <w:tcW w:w="565" w:type="pct"/>
                  <w:tcBorders>
                    <w:tl2br w:val="nil"/>
                    <w:tr2bl w:val="nil"/>
                  </w:tcBorders>
                  <w:noWrap w:val="0"/>
                  <w:vAlign w:val="center"/>
                </w:tcPr>
                <w:p w14:paraId="6EF51787">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平均时间</w:t>
                  </w:r>
                </w:p>
              </w:tc>
              <w:tc>
                <w:tcPr>
                  <w:tcW w:w="796" w:type="pct"/>
                  <w:tcBorders>
                    <w:tl2br w:val="nil"/>
                    <w:tr2bl w:val="nil"/>
                  </w:tcBorders>
                  <w:noWrap w:val="0"/>
                  <w:vAlign w:val="center"/>
                </w:tcPr>
                <w:p w14:paraId="17BFFC57">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评价标准</w:t>
                  </w:r>
                </w:p>
                <w:p w14:paraId="03FFC0B3">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w:t>
                  </w:r>
                  <w:r>
                    <w:rPr>
                      <w:rFonts w:hint="default" w:ascii="Times New Roman" w:hAnsi="Times New Roman" w:cs="Times New Roman"/>
                      <w:b/>
                      <w:bCs/>
                      <w:color w:val="000000" w:themeColor="text1"/>
                      <w:kern w:val="2"/>
                      <w:sz w:val="21"/>
                      <w:szCs w:val="21"/>
                      <w:highlight w:val="none"/>
                      <w:lang w:val="en-US" w:eastAsia="zh-CN" w:bidi="zh-CN"/>
                      <w14:textFill>
                        <w14:solidFill>
                          <w14:schemeClr w14:val="tx1"/>
                        </w14:solidFill>
                      </w14:textFill>
                    </w:rPr>
                    <w:t>μg</w:t>
                  </w: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/m</w:t>
                  </w:r>
                  <w:r>
                    <w:rPr>
                      <w:rFonts w:hint="default" w:ascii="Times New Roman" w:hAnsi="Times New Roman" w:cs="Times New Roman"/>
                      <w:b/>
                      <w:bCs/>
                      <w:color w:val="000000" w:themeColor="text1"/>
                      <w:kern w:val="2"/>
                      <w:sz w:val="21"/>
                      <w:szCs w:val="21"/>
                      <w:highlight w:val="none"/>
                      <w:vertAlign w:val="superscript"/>
                      <w:lang w:eastAsia="zh-CN" w:bidi="zh-CN"/>
                      <w14:textFill>
                        <w14:solidFill>
                          <w14:schemeClr w14:val="tx1"/>
                        </w14:solidFill>
                      </w14:textFill>
                    </w:rPr>
                    <w:t>3)</w:t>
                  </w:r>
                </w:p>
              </w:tc>
              <w:tc>
                <w:tcPr>
                  <w:tcW w:w="989" w:type="pct"/>
                  <w:tcBorders>
                    <w:tl2br w:val="nil"/>
                    <w:tr2bl w:val="nil"/>
                  </w:tcBorders>
                  <w:noWrap w:val="0"/>
                  <w:vAlign w:val="center"/>
                </w:tcPr>
                <w:p w14:paraId="2FCA8483">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现状浓度范围</w:t>
                  </w:r>
                  <w:r>
                    <w:rPr>
                      <w:rFonts w:hint="default" w:ascii="Times New Roman" w:hAnsi="Times New Roman" w:cs="Times New Roman"/>
                      <w:b/>
                      <w:bCs/>
                      <w:color w:val="000000" w:themeColor="text1"/>
                      <w:kern w:val="2"/>
                      <w:sz w:val="21"/>
                      <w:szCs w:val="21"/>
                      <w:highlight w:val="none"/>
                      <w:lang w:val="en-US" w:eastAsia="zh-CN" w:bidi="zh-CN"/>
                      <w14:textFill>
                        <w14:solidFill>
                          <w14:schemeClr w14:val="tx1"/>
                        </w14:solidFill>
                      </w14:textFill>
                    </w:rPr>
                    <w:t>μg</w:t>
                  </w: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/m</w:t>
                  </w:r>
                  <w:r>
                    <w:rPr>
                      <w:rFonts w:hint="default" w:ascii="Times New Roman" w:hAnsi="Times New Roman" w:cs="Times New Roman"/>
                      <w:b/>
                      <w:bCs/>
                      <w:color w:val="000000" w:themeColor="text1"/>
                      <w:kern w:val="2"/>
                      <w:sz w:val="21"/>
                      <w:szCs w:val="21"/>
                      <w:highlight w:val="none"/>
                      <w:vertAlign w:val="superscript"/>
                      <w:lang w:eastAsia="zh-CN" w:bidi="zh-CN"/>
                      <w14:textFill>
                        <w14:solidFill>
                          <w14:schemeClr w14:val="tx1"/>
                        </w14:solidFill>
                      </w14:textFill>
                    </w:rPr>
                    <w:t>3</w:t>
                  </w:r>
                </w:p>
              </w:tc>
              <w:tc>
                <w:tcPr>
                  <w:tcW w:w="688" w:type="pct"/>
                  <w:tcBorders>
                    <w:tl2br w:val="nil"/>
                    <w:tr2bl w:val="nil"/>
                  </w:tcBorders>
                  <w:noWrap w:val="0"/>
                  <w:vAlign w:val="center"/>
                </w:tcPr>
                <w:p w14:paraId="6FB4E311">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最大浓度占标率/%</w:t>
                  </w:r>
                </w:p>
              </w:tc>
              <w:tc>
                <w:tcPr>
                  <w:tcW w:w="405" w:type="pct"/>
                  <w:tcBorders>
                    <w:tl2br w:val="nil"/>
                    <w:tr2bl w:val="nil"/>
                  </w:tcBorders>
                  <w:noWrap w:val="0"/>
                  <w:vAlign w:val="center"/>
                </w:tcPr>
                <w:p w14:paraId="60BECAA8">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超标</w:t>
                  </w:r>
                  <w:r>
                    <w:rPr>
                      <w:rFonts w:hint="default" w:ascii="Times New Roman" w:hAnsi="Times New Roman" w:cs="Times New Roman"/>
                      <w:b/>
                      <w:bCs/>
                      <w:color w:val="000000" w:themeColor="text1"/>
                      <w:kern w:val="2"/>
                      <w:sz w:val="21"/>
                      <w:szCs w:val="21"/>
                      <w:highlight w:val="none"/>
                      <w:lang w:val="en-US" w:eastAsia="zh-CN" w:bidi="zh-CN"/>
                      <w14:textFill>
                        <w14:solidFill>
                          <w14:schemeClr w14:val="tx1"/>
                        </w14:solidFill>
                      </w14:textFill>
                    </w:rPr>
                    <w:t>倍数</w:t>
                  </w:r>
                </w:p>
              </w:tc>
              <w:tc>
                <w:tcPr>
                  <w:tcW w:w="487" w:type="pct"/>
                  <w:tcBorders>
                    <w:tl2br w:val="nil"/>
                    <w:tr2bl w:val="nil"/>
                  </w:tcBorders>
                  <w:noWrap w:val="0"/>
                  <w:vAlign w:val="center"/>
                </w:tcPr>
                <w:p w14:paraId="3920CF17">
                  <w:pPr>
                    <w:pStyle w:val="112"/>
                    <w:spacing w:line="240" w:lineRule="auto"/>
                    <w:jc w:val="cente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eastAsia="zh-CN" w:bidi="zh-CN"/>
                      <w14:textFill>
                        <w14:solidFill>
                          <w14:schemeClr w14:val="tx1"/>
                        </w14:solidFill>
                      </w14:textFill>
                    </w:rPr>
                    <w:t>达标情况</w:t>
                  </w:r>
                </w:p>
              </w:tc>
            </w:tr>
            <w:tr w14:paraId="44F41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restart"/>
                  <w:tcBorders>
                    <w:tl2br w:val="nil"/>
                    <w:tr2bl w:val="nil"/>
                  </w:tcBorders>
                  <w:noWrap w:val="0"/>
                  <w:vAlign w:val="center"/>
                </w:tcPr>
                <w:p w14:paraId="647DD99E">
                  <w:pPr>
                    <w:pStyle w:val="112"/>
                    <w:spacing w:line="240" w:lineRule="auto"/>
                    <w:jc w:val="center"/>
                    <w:rPr>
                      <w:rFonts w:hint="default" w:ascii="Times New Roman" w:hAnsi="Times New Roman" w:cs="Times New Roman"/>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G1</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村</w:t>
                  </w:r>
                </w:p>
              </w:tc>
              <w:tc>
                <w:tcPr>
                  <w:tcW w:w="555" w:type="pct"/>
                  <w:tcBorders>
                    <w:tl2br w:val="nil"/>
                    <w:tr2bl w:val="nil"/>
                  </w:tcBorders>
                  <w:noWrap w:val="0"/>
                  <w:vAlign w:val="center"/>
                </w:tcPr>
                <w:p w14:paraId="7B791243">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cs="Times New Roman"/>
                      <w:bCs/>
                      <w:color w:val="000000" w:themeColor="text1"/>
                      <w:sz w:val="21"/>
                      <w:highlight w:val="none"/>
                      <w14:textFill>
                        <w14:solidFill>
                          <w14:schemeClr w14:val="tx1"/>
                        </w14:solidFill>
                      </w14:textFill>
                    </w:rPr>
                    <w:t>TSP</w:t>
                  </w:r>
                </w:p>
              </w:tc>
              <w:tc>
                <w:tcPr>
                  <w:tcW w:w="565" w:type="pct"/>
                  <w:tcBorders>
                    <w:tl2br w:val="nil"/>
                    <w:tr2bl w:val="nil"/>
                  </w:tcBorders>
                  <w:noWrap w:val="0"/>
                  <w:vAlign w:val="center"/>
                </w:tcPr>
                <w:p w14:paraId="472B4AE6">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000000" w:themeColor="text1"/>
                      <w:sz w:val="21"/>
                      <w:szCs w:val="21"/>
                      <w:highlight w:val="none"/>
                      <w:lang w:bidi="zh-CN"/>
                      <w14:textFill>
                        <w14:solidFill>
                          <w14:schemeClr w14:val="tx1"/>
                        </w14:solidFill>
                      </w14:textFill>
                    </w:rPr>
                  </w:pPr>
                  <w:r>
                    <w:rPr>
                      <w:rFonts w:hint="default" w:ascii="Times New Roman" w:hAnsi="Times New Roman" w:cs="Times New Roman"/>
                      <w:bCs/>
                      <w:color w:val="000000" w:themeColor="text1"/>
                      <w:sz w:val="21"/>
                      <w:highlight w:val="none"/>
                      <w14:textFill>
                        <w14:solidFill>
                          <w14:schemeClr w14:val="tx1"/>
                        </w14:solidFill>
                      </w14:textFill>
                    </w:rPr>
                    <w:t>日均值</w:t>
                  </w:r>
                </w:p>
              </w:tc>
              <w:tc>
                <w:tcPr>
                  <w:tcW w:w="796" w:type="pct"/>
                  <w:tcBorders>
                    <w:tl2br w:val="nil"/>
                    <w:tr2bl w:val="nil"/>
                  </w:tcBorders>
                  <w:noWrap w:val="0"/>
                  <w:vAlign w:val="center"/>
                </w:tcPr>
                <w:p w14:paraId="7D18D4F3">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0.3m</w:t>
                  </w:r>
                  <w:r>
                    <w:rPr>
                      <w:rFonts w:hint="default" w:ascii="Times New Roman" w:hAnsi="Times New Roman" w:cs="Times New Roman"/>
                      <w:b w:val="0"/>
                      <w:bCs/>
                      <w:color w:val="000000" w:themeColor="text1"/>
                      <w:kern w:val="0"/>
                      <w:sz w:val="21"/>
                      <w:szCs w:val="21"/>
                      <w:highlight w:val="none"/>
                      <w14:textFill>
                        <w14:solidFill>
                          <w14:schemeClr w14:val="tx1"/>
                        </w14:solidFill>
                      </w14:textFill>
                    </w:rPr>
                    <w:t>g/m</w:t>
                  </w:r>
                  <w:r>
                    <w:rPr>
                      <w:rFonts w:hint="default" w:ascii="Times New Roman" w:hAnsi="Times New Roman" w:cs="Times New Roman"/>
                      <w:b w:val="0"/>
                      <w:bCs/>
                      <w:color w:val="000000" w:themeColor="text1"/>
                      <w:kern w:val="0"/>
                      <w:sz w:val="21"/>
                      <w:szCs w:val="21"/>
                      <w:highlight w:val="none"/>
                      <w:vertAlign w:val="superscript"/>
                      <w14:textFill>
                        <w14:solidFill>
                          <w14:schemeClr w14:val="tx1"/>
                        </w14:solidFill>
                      </w14:textFill>
                    </w:rPr>
                    <w:t>3</w:t>
                  </w:r>
                </w:p>
              </w:tc>
              <w:tc>
                <w:tcPr>
                  <w:tcW w:w="989" w:type="pct"/>
                  <w:tcBorders>
                    <w:tl2br w:val="nil"/>
                    <w:tr2bl w:val="nil"/>
                  </w:tcBorders>
                  <w:noWrap w:val="0"/>
                  <w:vAlign w:val="center"/>
                </w:tcPr>
                <w:p w14:paraId="05650A89">
                  <w:pPr>
                    <w:pStyle w:val="22"/>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0.</w:t>
                  </w:r>
                  <w:r>
                    <w:rPr>
                      <w:rFonts w:hint="eastAsia" w:cs="Times New Roman"/>
                      <w:color w:val="000000" w:themeColor="text1"/>
                      <w:kern w:val="0"/>
                      <w:sz w:val="21"/>
                      <w:szCs w:val="21"/>
                      <w:highlight w:val="none"/>
                      <w:lang w:val="en-US" w:eastAsia="zh-CN"/>
                      <w14:textFill>
                        <w14:solidFill>
                          <w14:schemeClr w14:val="tx1"/>
                        </w14:solidFill>
                      </w14:textFill>
                    </w:rPr>
                    <w:t>100</w:t>
                  </w:r>
                  <w:r>
                    <w:rPr>
                      <w:rFonts w:hint="default" w:ascii="Times New Roman" w:hAnsi="Times New Roman" w:cs="Times New Roman"/>
                      <w:color w:val="000000" w:themeColor="text1"/>
                      <w:kern w:val="0"/>
                      <w:sz w:val="21"/>
                      <w:szCs w:val="21"/>
                      <w:highlight w:val="none"/>
                      <w14:textFill>
                        <w14:solidFill>
                          <w14:schemeClr w14:val="tx1"/>
                        </w14:solidFill>
                      </w14:textFill>
                    </w:rPr>
                    <w:t>~0.1</w:t>
                  </w:r>
                  <w:r>
                    <w:rPr>
                      <w:rFonts w:hint="eastAsia" w:cs="Times New Roman"/>
                      <w:color w:val="000000" w:themeColor="text1"/>
                      <w:kern w:val="0"/>
                      <w:sz w:val="21"/>
                      <w:szCs w:val="21"/>
                      <w:highlight w:val="none"/>
                      <w:lang w:val="en-US" w:eastAsia="zh-CN"/>
                      <w14:textFill>
                        <w14:solidFill>
                          <w14:schemeClr w14:val="tx1"/>
                        </w14:solidFill>
                      </w14:textFill>
                    </w:rPr>
                    <w:t>11</w:t>
                  </w:r>
                </w:p>
              </w:tc>
              <w:tc>
                <w:tcPr>
                  <w:tcW w:w="688" w:type="pct"/>
                  <w:tcBorders>
                    <w:tl2br w:val="nil"/>
                    <w:tr2bl w:val="nil"/>
                  </w:tcBorders>
                  <w:noWrap w:val="0"/>
                  <w:vAlign w:val="center"/>
                </w:tcPr>
                <w:p w14:paraId="3F33736A">
                  <w:pPr>
                    <w:pStyle w:val="22"/>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3</w:t>
                  </w:r>
                  <w:r>
                    <w:rPr>
                      <w:rFonts w:hint="eastAsia" w:cs="Times New Roman"/>
                      <w:color w:val="000000" w:themeColor="text1"/>
                      <w:kern w:val="0"/>
                      <w:sz w:val="21"/>
                      <w:szCs w:val="21"/>
                      <w:highlight w:val="none"/>
                      <w:lang w:val="en-US" w:eastAsia="zh-CN"/>
                      <w14:textFill>
                        <w14:solidFill>
                          <w14:schemeClr w14:val="tx1"/>
                        </w14:solidFill>
                      </w14:textFill>
                    </w:rPr>
                    <w:t>7</w:t>
                  </w:r>
                </w:p>
              </w:tc>
              <w:tc>
                <w:tcPr>
                  <w:tcW w:w="405" w:type="pct"/>
                  <w:tcBorders>
                    <w:tl2br w:val="nil"/>
                    <w:tr2bl w:val="nil"/>
                  </w:tcBorders>
                  <w:noWrap w:val="0"/>
                  <w:vAlign w:val="center"/>
                </w:tcPr>
                <w:p w14:paraId="68A7D4E3">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w:t>
                  </w:r>
                </w:p>
              </w:tc>
              <w:tc>
                <w:tcPr>
                  <w:tcW w:w="487" w:type="pct"/>
                  <w:tcBorders>
                    <w:tl2br w:val="nil"/>
                    <w:tr2bl w:val="nil"/>
                  </w:tcBorders>
                  <w:noWrap w:val="0"/>
                  <w:vAlign w:val="center"/>
                </w:tcPr>
                <w:p w14:paraId="56DD4A11">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kern w:val="2"/>
                      <w:sz w:val="21"/>
                      <w:szCs w:val="21"/>
                      <w:highlight w:val="none"/>
                      <w:lang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52EB7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1F95BC33">
                  <w:pPr>
                    <w:pStyle w:val="112"/>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55" w:type="pct"/>
                  <w:tcBorders>
                    <w:tl2br w:val="nil"/>
                    <w:tr2bl w:val="nil"/>
                  </w:tcBorders>
                  <w:noWrap w:val="0"/>
                  <w:vAlign w:val="center"/>
                </w:tcPr>
                <w:p w14:paraId="1C3634D6">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非甲烷总烃</w:t>
                  </w:r>
                </w:p>
              </w:tc>
              <w:tc>
                <w:tcPr>
                  <w:tcW w:w="565" w:type="pct"/>
                  <w:tcBorders>
                    <w:tl2br w:val="nil"/>
                    <w:tr2bl w:val="nil"/>
                  </w:tcBorders>
                  <w:noWrap w:val="0"/>
                  <w:vAlign w:val="center"/>
                </w:tcPr>
                <w:p w14:paraId="07114699">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sz w:val="21"/>
                      <w:szCs w:val="21"/>
                      <w:highlight w:val="none"/>
                      <w:lang w:val="en-US"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小时值</w:t>
                  </w:r>
                </w:p>
              </w:tc>
              <w:tc>
                <w:tcPr>
                  <w:tcW w:w="796" w:type="pct"/>
                  <w:tcBorders>
                    <w:tl2br w:val="nil"/>
                    <w:tr2bl w:val="nil"/>
                  </w:tcBorders>
                  <w:noWrap w:val="0"/>
                  <w:vAlign w:val="center"/>
                </w:tcPr>
                <w:p w14:paraId="2E403C2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2.0mg/</w:t>
                  </w:r>
                  <w:r>
                    <w:rPr>
                      <w:rFonts w:hint="default" w:ascii="Times New Roman" w:hAnsi="Times New Roman" w:cs="Times New Roman"/>
                      <w:b w:val="0"/>
                      <w:bCs/>
                      <w:color w:val="000000" w:themeColor="text1"/>
                      <w:kern w:val="0"/>
                      <w:sz w:val="21"/>
                      <w:szCs w:val="21"/>
                      <w:highlight w:val="none"/>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14:textFill>
                        <w14:solidFill>
                          <w14:schemeClr w14:val="tx1"/>
                        </w14:solidFill>
                      </w14:textFill>
                    </w:rPr>
                    <w:t>3</w:t>
                  </w:r>
                </w:p>
              </w:tc>
              <w:tc>
                <w:tcPr>
                  <w:tcW w:w="989" w:type="pct"/>
                  <w:tcBorders>
                    <w:tl2br w:val="nil"/>
                    <w:tr2bl w:val="nil"/>
                  </w:tcBorders>
                  <w:noWrap w:val="0"/>
                  <w:vAlign w:val="center"/>
                </w:tcPr>
                <w:p w14:paraId="4E0A1235">
                  <w:pPr>
                    <w:pStyle w:val="22"/>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0.812~0.972</w:t>
                  </w:r>
                </w:p>
              </w:tc>
              <w:tc>
                <w:tcPr>
                  <w:tcW w:w="688" w:type="pct"/>
                  <w:tcBorders>
                    <w:tl2br w:val="nil"/>
                    <w:tr2bl w:val="nil"/>
                  </w:tcBorders>
                  <w:noWrap w:val="0"/>
                  <w:vAlign w:val="center"/>
                </w:tcPr>
                <w:p w14:paraId="212C668C">
                  <w:pPr>
                    <w:pStyle w:val="22"/>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48.6</w:t>
                  </w:r>
                </w:p>
              </w:tc>
              <w:tc>
                <w:tcPr>
                  <w:tcW w:w="405" w:type="pct"/>
                  <w:tcBorders>
                    <w:tl2br w:val="nil"/>
                    <w:tr2bl w:val="nil"/>
                  </w:tcBorders>
                  <w:noWrap w:val="0"/>
                  <w:vAlign w:val="center"/>
                </w:tcPr>
                <w:p w14:paraId="0138BBEB">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487" w:type="pct"/>
                  <w:tcBorders>
                    <w:tl2br w:val="nil"/>
                    <w:tr2bl w:val="nil"/>
                  </w:tcBorders>
                  <w:noWrap w:val="0"/>
                  <w:vAlign w:val="center"/>
                </w:tcPr>
                <w:p w14:paraId="402AA2A1">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达标</w:t>
                  </w:r>
                </w:p>
              </w:tc>
            </w:tr>
            <w:tr w14:paraId="3BD67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5DF935EB">
                  <w:pPr>
                    <w:pStyle w:val="112"/>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55" w:type="pct"/>
                  <w:tcBorders>
                    <w:tl2br w:val="nil"/>
                    <w:tr2bl w:val="nil"/>
                  </w:tcBorders>
                  <w:noWrap w:val="0"/>
                  <w:vAlign w:val="center"/>
                </w:tcPr>
                <w:p w14:paraId="1AB8675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二甲苯</w:t>
                  </w:r>
                </w:p>
              </w:tc>
              <w:tc>
                <w:tcPr>
                  <w:tcW w:w="565" w:type="pct"/>
                  <w:tcBorders>
                    <w:tl2br w:val="nil"/>
                    <w:tr2bl w:val="nil"/>
                  </w:tcBorders>
                  <w:noWrap w:val="0"/>
                  <w:vAlign w:val="center"/>
                </w:tcPr>
                <w:p w14:paraId="09EA8031">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sz w:val="21"/>
                      <w:szCs w:val="21"/>
                      <w:highlight w:val="none"/>
                      <w:lang w:val="en-US"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小时值</w:t>
                  </w:r>
                </w:p>
              </w:tc>
              <w:tc>
                <w:tcPr>
                  <w:tcW w:w="796" w:type="pct"/>
                  <w:tcBorders>
                    <w:tl2br w:val="nil"/>
                    <w:tr2bl w:val="nil"/>
                  </w:tcBorders>
                  <w:noWrap w:val="0"/>
                  <w:vAlign w:val="center"/>
                </w:tcPr>
                <w:p w14:paraId="4C09D457">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0.2m</w:t>
                  </w:r>
                  <w:r>
                    <w:rPr>
                      <w:rFonts w:hint="default" w:ascii="Times New Roman" w:hAnsi="Times New Roman" w:cs="Times New Roman"/>
                      <w:b w:val="0"/>
                      <w:bCs/>
                      <w:color w:val="000000" w:themeColor="text1"/>
                      <w:kern w:val="0"/>
                      <w:sz w:val="21"/>
                      <w:szCs w:val="21"/>
                      <w:highlight w:val="none"/>
                      <w14:textFill>
                        <w14:solidFill>
                          <w14:schemeClr w14:val="tx1"/>
                        </w14:solidFill>
                      </w14:textFill>
                    </w:rPr>
                    <w:t>g/m</w:t>
                  </w:r>
                  <w:r>
                    <w:rPr>
                      <w:rFonts w:hint="default" w:ascii="Times New Roman" w:hAnsi="Times New Roman" w:cs="Times New Roman"/>
                      <w:b w:val="0"/>
                      <w:bCs/>
                      <w:color w:val="000000" w:themeColor="text1"/>
                      <w:kern w:val="0"/>
                      <w:sz w:val="21"/>
                      <w:szCs w:val="21"/>
                      <w:highlight w:val="none"/>
                      <w:vertAlign w:val="superscript"/>
                      <w14:textFill>
                        <w14:solidFill>
                          <w14:schemeClr w14:val="tx1"/>
                        </w14:solidFill>
                      </w14:textFill>
                    </w:rPr>
                    <w:t>3</w:t>
                  </w:r>
                </w:p>
              </w:tc>
              <w:tc>
                <w:tcPr>
                  <w:tcW w:w="989" w:type="pct"/>
                  <w:tcBorders>
                    <w:tl2br w:val="nil"/>
                    <w:tr2bl w:val="nil"/>
                  </w:tcBorders>
                  <w:noWrap w:val="0"/>
                  <w:vAlign w:val="center"/>
                </w:tcPr>
                <w:p w14:paraId="5C3C09F5">
                  <w:pPr>
                    <w:pStyle w:val="22"/>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&lt;0.5×10</w:t>
                  </w:r>
                  <w:r>
                    <w:rPr>
                      <w:rFonts w:hint="eastAsia" w:cs="Times New Roman"/>
                      <w:color w:val="000000" w:themeColor="text1"/>
                      <w:kern w:val="0"/>
                      <w:sz w:val="21"/>
                      <w:szCs w:val="21"/>
                      <w:highlight w:val="none"/>
                      <w:vertAlign w:val="superscript"/>
                      <w:lang w:val="en-US" w:eastAsia="zh-CN"/>
                      <w14:textFill>
                        <w14:solidFill>
                          <w14:schemeClr w14:val="tx1"/>
                        </w14:solidFill>
                      </w14:textFill>
                    </w:rPr>
                    <w:t>4</w:t>
                  </w:r>
                </w:p>
              </w:tc>
              <w:tc>
                <w:tcPr>
                  <w:tcW w:w="688" w:type="pct"/>
                  <w:tcBorders>
                    <w:tl2br w:val="nil"/>
                    <w:tr2bl w:val="nil"/>
                  </w:tcBorders>
                  <w:noWrap w:val="0"/>
                  <w:vAlign w:val="center"/>
                </w:tcPr>
                <w:p w14:paraId="2C2507C6">
                  <w:pPr>
                    <w:pStyle w:val="22"/>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0.0025</w:t>
                  </w:r>
                </w:p>
              </w:tc>
              <w:tc>
                <w:tcPr>
                  <w:tcW w:w="405" w:type="pct"/>
                  <w:tcBorders>
                    <w:tl2br w:val="nil"/>
                    <w:tr2bl w:val="nil"/>
                  </w:tcBorders>
                  <w:noWrap w:val="0"/>
                  <w:vAlign w:val="center"/>
                </w:tcPr>
                <w:p w14:paraId="2F3D06FA">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487" w:type="pct"/>
                  <w:tcBorders>
                    <w:tl2br w:val="nil"/>
                    <w:tr2bl w:val="nil"/>
                  </w:tcBorders>
                  <w:noWrap w:val="0"/>
                  <w:vAlign w:val="center"/>
                </w:tcPr>
                <w:p w14:paraId="7E71C05E">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达标</w:t>
                  </w:r>
                </w:p>
              </w:tc>
            </w:tr>
            <w:tr w14:paraId="65290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0E189719">
                  <w:pPr>
                    <w:pStyle w:val="112"/>
                    <w:spacing w:line="24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55" w:type="pct"/>
                  <w:tcBorders>
                    <w:tl2br w:val="nil"/>
                    <w:tr2bl w:val="nil"/>
                  </w:tcBorders>
                  <w:noWrap w:val="0"/>
                  <w:vAlign w:val="center"/>
                </w:tcPr>
                <w:p w14:paraId="5A59377C">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臭气浓度</w:t>
                  </w:r>
                </w:p>
              </w:tc>
              <w:tc>
                <w:tcPr>
                  <w:tcW w:w="565" w:type="pct"/>
                  <w:tcBorders>
                    <w:tl2br w:val="nil"/>
                    <w:tr2bl w:val="nil"/>
                  </w:tcBorders>
                  <w:noWrap w:val="0"/>
                  <w:vAlign w:val="center"/>
                </w:tcPr>
                <w:p w14:paraId="27898B8C">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sz w:val="21"/>
                      <w:szCs w:val="21"/>
                      <w:highlight w:val="none"/>
                      <w:lang w:val="en-US"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小时值</w:t>
                  </w:r>
                </w:p>
              </w:tc>
              <w:tc>
                <w:tcPr>
                  <w:tcW w:w="796" w:type="pct"/>
                  <w:tcBorders>
                    <w:tl2br w:val="nil"/>
                    <w:tr2bl w:val="nil"/>
                  </w:tcBorders>
                  <w:noWrap w:val="0"/>
                  <w:vAlign w:val="center"/>
                </w:tcPr>
                <w:p w14:paraId="35C2472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000000" w:themeColor="text1"/>
                      <w:kern w:val="2"/>
                      <w:sz w:val="21"/>
                      <w:szCs w:val="21"/>
                      <w:highlight w:val="none"/>
                      <w:lang w:val="en-US" w:eastAsia="zh-CN" w:bidi="zh-CN"/>
                      <w14:textFill>
                        <w14:solidFill>
                          <w14:schemeClr w14:val="tx1"/>
                        </w14:solidFill>
                      </w14:textFill>
                    </w:rPr>
                  </w:pPr>
                  <w:r>
                    <w:rPr>
                      <w:rFonts w:hint="eastAsia" w:cs="Times New Roman"/>
                      <w:bCs/>
                      <w:color w:val="000000" w:themeColor="text1"/>
                      <w:sz w:val="21"/>
                      <w:highlight w:val="none"/>
                      <w:lang w:val="en-US" w:eastAsia="zh-CN"/>
                      <w14:textFill>
                        <w14:solidFill>
                          <w14:schemeClr w14:val="tx1"/>
                        </w14:solidFill>
                      </w14:textFill>
                    </w:rPr>
                    <w:t>/</w:t>
                  </w:r>
                </w:p>
              </w:tc>
              <w:tc>
                <w:tcPr>
                  <w:tcW w:w="989" w:type="pct"/>
                  <w:tcBorders>
                    <w:tl2br w:val="nil"/>
                    <w:tr2bl w:val="nil"/>
                  </w:tcBorders>
                  <w:noWrap w:val="0"/>
                  <w:vAlign w:val="center"/>
                </w:tcPr>
                <w:p w14:paraId="6D892ABB">
                  <w:pPr>
                    <w:pStyle w:val="22"/>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＜10</w:t>
                  </w:r>
                </w:p>
              </w:tc>
              <w:tc>
                <w:tcPr>
                  <w:tcW w:w="688" w:type="pct"/>
                  <w:tcBorders>
                    <w:tl2br w:val="nil"/>
                    <w:tr2bl w:val="nil"/>
                  </w:tcBorders>
                  <w:noWrap w:val="0"/>
                  <w:vAlign w:val="center"/>
                </w:tcPr>
                <w:p w14:paraId="78C8D963">
                  <w:pPr>
                    <w:pStyle w:val="22"/>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405" w:type="pct"/>
                  <w:tcBorders>
                    <w:tl2br w:val="nil"/>
                    <w:tr2bl w:val="nil"/>
                  </w:tcBorders>
                  <w:noWrap w:val="0"/>
                  <w:vAlign w:val="center"/>
                </w:tcPr>
                <w:p w14:paraId="5C6D2D20">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487" w:type="pct"/>
                  <w:tcBorders>
                    <w:tl2br w:val="nil"/>
                    <w:tr2bl w:val="nil"/>
                  </w:tcBorders>
                  <w:noWrap w:val="0"/>
                  <w:vAlign w:val="center"/>
                </w:tcPr>
                <w:p w14:paraId="6A6423D9">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bl>
          <w:p w14:paraId="07ABFCBF">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p>
          <w:p w14:paraId="60355857">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监测结果表明，项目周围区域空气中，特征污染物TSP相应浓度可达到《环境空气质量标准》（GB3095-2026）过渡阶段浓度限值二级标准要求。非甲烷总烃可达到《大气污染物综合排放标准详解》（1997）要求。二甲苯（苯系物）监测浓度可满足《环境影响评价技术导则 大气环境》(HJ2.2-2018)附录D 表D.1其它污染物空气质量浓度参考限值。</w:t>
            </w:r>
          </w:p>
          <w:p w14:paraId="6618316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总体来说，项目</w:t>
            </w:r>
            <w:r>
              <w:rPr>
                <w:rFonts w:hint="default" w:ascii="Times New Roman" w:hAnsi="Times New Roman" w:cs="Times New Roman"/>
                <w:color w:val="000000" w:themeColor="text1"/>
                <w:sz w:val="24"/>
                <w:highlight w:val="none"/>
                <w:lang w:val="en-US" w:eastAsia="zh-CN"/>
                <w14:textFill>
                  <w14:solidFill>
                    <w14:schemeClr w14:val="tx1"/>
                  </w14:solidFill>
                </w14:textFill>
              </w:rPr>
              <w:t>周边环境空气质量良好</w:t>
            </w:r>
            <w:r>
              <w:rPr>
                <w:rFonts w:hint="default" w:ascii="Times New Roman" w:hAnsi="Times New Roman" w:cs="Times New Roman"/>
                <w:color w:val="000000" w:themeColor="text1"/>
                <w:sz w:val="24"/>
                <w:highlight w:val="none"/>
                <w14:textFill>
                  <w14:solidFill>
                    <w14:schemeClr w14:val="tx1"/>
                  </w14:solidFill>
                </w14:textFill>
              </w:rPr>
              <w:t>。</w:t>
            </w:r>
          </w:p>
          <w:p w14:paraId="3D8452B9">
            <w:pPr>
              <w:pStyle w:val="39"/>
              <w:spacing w:after="0" w:line="360" w:lineRule="auto"/>
              <w:ind w:left="420" w:leftChars="20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lang w:val="en-US" w:eastAsia="zh-CN"/>
                <w14:textFill>
                  <w14:solidFill>
                    <w14:schemeClr w14:val="tx1"/>
                  </w14:solidFill>
                </w14:textFill>
              </w:rPr>
              <w:t>2</w:t>
            </w:r>
            <w:r>
              <w:rPr>
                <w:rFonts w:hint="default" w:ascii="Times New Roman" w:hAnsi="Times New Roman" w:cs="Times New Roman"/>
                <w:b/>
                <w:color w:val="000000" w:themeColor="text1"/>
                <w:sz w:val="24"/>
                <w:highlight w:val="none"/>
                <w14:textFill>
                  <w14:solidFill>
                    <w14:schemeClr w14:val="tx1"/>
                  </w14:solidFill>
                </w14:textFill>
              </w:rPr>
              <w:t>、地表水质量现状</w:t>
            </w:r>
          </w:p>
          <w:p w14:paraId="006F1407">
            <w:pPr>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根据《乐昌市人民政府办公室关于印发乐昌市生态环境保护“十四五”规划的通知》（乐府办〔2022〕16号）中</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的</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地表水</w:t>
            </w:r>
            <w:r>
              <w:rPr>
                <w:rFonts w:hint="default" w:ascii="Times New Roman" w:hAnsi="Times New Roman" w:eastAsia="宋体" w:cs="Times New Roman"/>
                <w:color w:val="000000" w:themeColor="text1"/>
                <w:sz w:val="24"/>
                <w:highlight w:val="none"/>
                <w14:textFill>
                  <w14:solidFill>
                    <w14:schemeClr w14:val="tx1"/>
                  </w14:solidFill>
                </w14:textFill>
              </w:rPr>
              <w:t>环境功能区划图（详见附图</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及</w:t>
            </w:r>
            <w:r>
              <w:rPr>
                <w:rFonts w:hint="default" w:ascii="Times New Roman" w:hAnsi="Times New Roman" w:eastAsia="宋体" w:cs="Times New Roman"/>
                <w:color w:val="000000" w:themeColor="text1"/>
                <w:sz w:val="24"/>
                <w:highlight w:val="none"/>
                <w14:textFill>
                  <w14:solidFill>
                    <w14:schemeClr w14:val="tx1"/>
                  </w14:solidFill>
                </w14:textFill>
              </w:rPr>
              <w:t>《广东省地表水环境功能区划》（粤环</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〔2011〕14号</w:t>
            </w:r>
            <w:r>
              <w:rPr>
                <w:rFonts w:hint="default" w:ascii="Times New Roman" w:hAnsi="Times New Roman" w:eastAsia="宋体" w:cs="Times New Roman"/>
                <w:color w:val="000000" w:themeColor="text1"/>
                <w:sz w:val="24"/>
                <w:highlight w:val="none"/>
                <w14:textFill>
                  <w14:solidFill>
                    <w14:schemeClr w14:val="tx1"/>
                  </w14:solidFill>
                </w14:textFill>
              </w:rPr>
              <w:t>），本项目所在区域主要地表水及纳污水体为武江（乐昌城-犁市），为</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Ⅲ</w:t>
            </w:r>
            <w:r>
              <w:rPr>
                <w:rFonts w:hint="default" w:ascii="Times New Roman" w:hAnsi="Times New Roman" w:eastAsia="宋体" w:cs="Times New Roman"/>
                <w:color w:val="000000" w:themeColor="text1"/>
                <w:sz w:val="24"/>
                <w:highlight w:val="none"/>
                <w14:textFill>
                  <w14:solidFill>
                    <w14:schemeClr w14:val="tx1"/>
                  </w14:solidFill>
                </w14:textFill>
              </w:rPr>
              <w:t>类水质功能区，执行《地表水环境质量标准》（GB3838-2002）中的</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Ⅲ</w:t>
            </w:r>
            <w:r>
              <w:rPr>
                <w:rFonts w:hint="default" w:ascii="Times New Roman" w:hAnsi="Times New Roman" w:eastAsia="宋体" w:cs="Times New Roman"/>
                <w:color w:val="000000" w:themeColor="text1"/>
                <w:sz w:val="24"/>
                <w:highlight w:val="none"/>
                <w14:textFill>
                  <w14:solidFill>
                    <w14:schemeClr w14:val="tx1"/>
                  </w14:solidFill>
                </w14:textFill>
              </w:rPr>
              <w:t>类标准。</w:t>
            </w:r>
          </w:p>
          <w:p w14:paraId="0B9A0C4F">
            <w:pPr>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根据《202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highlight w:val="none"/>
                <w14:textFill>
                  <w14:solidFill>
                    <w14:schemeClr w14:val="tx1"/>
                  </w14:solidFill>
                </w14:textFill>
              </w:rPr>
              <w:t>年韶关市生态环境状况公报》，2024年，韶关市11条主要江河（北江、武江、浈江、南水河、墨江、锦江、马坝河、滃江、新丰江、横石水和大潭河）34个市考以上手工监测断面水质优良率为100%，与2023年持平，其中Ⅰ类比例为2.9%、Ⅱ类比例为88.2%、Ⅲ类比例为8.8%。故项目所在地地表水环境质量现状良好。</w:t>
            </w:r>
          </w:p>
          <w:p w14:paraId="2EF2056B">
            <w:pPr>
              <w:spacing w:line="360" w:lineRule="auto"/>
              <w:ind w:firstLine="480" w:firstLineChars="200"/>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为了进一步了解项目纳污水体武江中钛的污染状况，引用广东省韶关生态环境监测中心站于2024年11月18日对张滩闸坝上游780米处监测断面进行的地表水环境质量现状监测数据（报告编号：（韶）环境监测（水）字（2024）第095号）来评价钛的污染现状。监测报告详见附件7。</w:t>
            </w:r>
          </w:p>
          <w:p w14:paraId="3DB65E29">
            <w:pPr>
              <w:numPr>
                <w:ilvl w:val="0"/>
                <w:numId w:val="14"/>
              </w:numPr>
              <w:spacing w:line="240" w:lineRule="auto"/>
              <w:ind w:left="0" w:leftChars="0" w:firstLine="40" w:firstLineChars="0"/>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 xml:space="preserve"> </w:t>
            </w:r>
            <w:r>
              <w:rPr>
                <w:rFonts w:hint="eastAsia"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t>武江中钛的监测结果及统计分析一览表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751"/>
              <w:gridCol w:w="989"/>
              <w:gridCol w:w="1354"/>
              <w:gridCol w:w="989"/>
              <w:gridCol w:w="1257"/>
              <w:gridCol w:w="1214"/>
              <w:gridCol w:w="1234"/>
            </w:tblGrid>
            <w:tr w14:paraId="41F7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noWrap w:val="0"/>
                  <w:vAlign w:val="center"/>
                </w:tcPr>
                <w:p w14:paraId="6BD60E47">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序号</w:t>
                  </w:r>
                </w:p>
              </w:tc>
              <w:tc>
                <w:tcPr>
                  <w:tcW w:w="451" w:type="pct"/>
                  <w:vMerge w:val="restart"/>
                  <w:noWrap w:val="0"/>
                  <w:vAlign w:val="center"/>
                </w:tcPr>
                <w:p w14:paraId="45093043">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河流名称</w:t>
                  </w:r>
                </w:p>
              </w:tc>
              <w:tc>
                <w:tcPr>
                  <w:tcW w:w="594" w:type="pct"/>
                  <w:vMerge w:val="restart"/>
                  <w:noWrap w:val="0"/>
                  <w:vAlign w:val="center"/>
                </w:tcPr>
                <w:p w14:paraId="141B31D0">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所在</w:t>
                  </w:r>
                </w:p>
                <w:p w14:paraId="54C5FE34">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县区</w:t>
                  </w:r>
                </w:p>
              </w:tc>
              <w:tc>
                <w:tcPr>
                  <w:tcW w:w="813" w:type="pct"/>
                  <w:vMerge w:val="restart"/>
                  <w:noWrap w:val="0"/>
                  <w:vAlign w:val="center"/>
                </w:tcPr>
                <w:p w14:paraId="636CCAD2">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监测断面</w:t>
                  </w:r>
                </w:p>
              </w:tc>
              <w:tc>
                <w:tcPr>
                  <w:tcW w:w="594" w:type="pct"/>
                  <w:vMerge w:val="restart"/>
                  <w:noWrap w:val="0"/>
                  <w:vAlign w:val="center"/>
                </w:tcPr>
                <w:p w14:paraId="5DD0E73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监测因子</w:t>
                  </w:r>
                </w:p>
              </w:tc>
              <w:tc>
                <w:tcPr>
                  <w:tcW w:w="755" w:type="pct"/>
                  <w:vMerge w:val="restart"/>
                  <w:noWrap w:val="0"/>
                  <w:vAlign w:val="center"/>
                </w:tcPr>
                <w:p w14:paraId="61383F08">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监测结果(mg/L)</w:t>
                  </w:r>
                </w:p>
              </w:tc>
              <w:tc>
                <w:tcPr>
                  <w:tcW w:w="729" w:type="pct"/>
                  <w:vMerge w:val="restart"/>
                  <w:noWrap w:val="0"/>
                  <w:vAlign w:val="center"/>
                </w:tcPr>
                <w:p w14:paraId="08743C55">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标准限值</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(mg/L)</w:t>
                  </w:r>
                </w:p>
              </w:tc>
              <w:tc>
                <w:tcPr>
                  <w:tcW w:w="737" w:type="pct"/>
                  <w:vMerge w:val="restart"/>
                  <w:noWrap w:val="0"/>
                  <w:vAlign w:val="center"/>
                </w:tcPr>
                <w:p w14:paraId="14F99E0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达标情况</w:t>
                  </w:r>
                </w:p>
              </w:tc>
            </w:tr>
            <w:tr w14:paraId="1D08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noWrap w:val="0"/>
                  <w:vAlign w:val="center"/>
                </w:tcPr>
                <w:p w14:paraId="0EAF9BD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p>
              </w:tc>
              <w:tc>
                <w:tcPr>
                  <w:tcW w:w="451" w:type="pct"/>
                  <w:vMerge w:val="continue"/>
                  <w:noWrap w:val="0"/>
                  <w:vAlign w:val="center"/>
                </w:tcPr>
                <w:p w14:paraId="6051FC9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p>
              </w:tc>
              <w:tc>
                <w:tcPr>
                  <w:tcW w:w="594" w:type="pct"/>
                  <w:vMerge w:val="continue"/>
                  <w:noWrap w:val="0"/>
                  <w:vAlign w:val="center"/>
                </w:tcPr>
                <w:p w14:paraId="63D78E4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p>
              </w:tc>
              <w:tc>
                <w:tcPr>
                  <w:tcW w:w="813" w:type="pct"/>
                  <w:vMerge w:val="continue"/>
                  <w:noWrap w:val="0"/>
                  <w:vAlign w:val="center"/>
                </w:tcPr>
                <w:p w14:paraId="442864D4">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p>
              </w:tc>
              <w:tc>
                <w:tcPr>
                  <w:tcW w:w="594" w:type="pct"/>
                  <w:vMerge w:val="continue"/>
                  <w:noWrap w:val="0"/>
                  <w:vAlign w:val="center"/>
                </w:tcPr>
                <w:p w14:paraId="69F6122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p>
              </w:tc>
              <w:tc>
                <w:tcPr>
                  <w:tcW w:w="755" w:type="pct"/>
                  <w:vMerge w:val="continue"/>
                  <w:noWrap w:val="0"/>
                  <w:vAlign w:val="center"/>
                </w:tcPr>
                <w:p w14:paraId="3EA6F0D7">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p>
              </w:tc>
              <w:tc>
                <w:tcPr>
                  <w:tcW w:w="729" w:type="pct"/>
                  <w:vMerge w:val="continue"/>
                  <w:noWrap w:val="0"/>
                  <w:vAlign w:val="center"/>
                </w:tcPr>
                <w:p w14:paraId="2E70FE5A">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p>
              </w:tc>
              <w:tc>
                <w:tcPr>
                  <w:tcW w:w="737" w:type="pct"/>
                  <w:vMerge w:val="continue"/>
                  <w:noWrap w:val="0"/>
                  <w:vAlign w:val="center"/>
                </w:tcPr>
                <w:p w14:paraId="3ABC69C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p>
              </w:tc>
            </w:tr>
            <w:tr w14:paraId="22A2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noWrap w:val="0"/>
                  <w:vAlign w:val="center"/>
                </w:tcPr>
                <w:p w14:paraId="0C28DB89">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1</w:t>
                  </w:r>
                </w:p>
              </w:tc>
              <w:tc>
                <w:tcPr>
                  <w:tcW w:w="451" w:type="pct"/>
                  <w:noWrap w:val="0"/>
                  <w:vAlign w:val="center"/>
                </w:tcPr>
                <w:p w14:paraId="6F74DC4B">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武江</w:t>
                  </w:r>
                </w:p>
              </w:tc>
              <w:tc>
                <w:tcPr>
                  <w:tcW w:w="594" w:type="pct"/>
                  <w:noWrap w:val="0"/>
                  <w:vAlign w:val="center"/>
                </w:tcPr>
                <w:p w14:paraId="47E6C0F3">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乐昌市</w:t>
                  </w:r>
                </w:p>
              </w:tc>
              <w:tc>
                <w:tcPr>
                  <w:tcW w:w="813" w:type="pct"/>
                  <w:noWrap w:val="0"/>
                  <w:vAlign w:val="center"/>
                </w:tcPr>
                <w:p w14:paraId="3204F728">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张滩闸坝上游780米处</w:t>
                  </w:r>
                </w:p>
              </w:tc>
              <w:tc>
                <w:tcPr>
                  <w:tcW w:w="594" w:type="pct"/>
                  <w:noWrap w:val="0"/>
                  <w:vAlign w:val="center"/>
                </w:tcPr>
                <w:p w14:paraId="266E056A">
                  <w:pPr>
                    <w:keepNext w:val="0"/>
                    <w:keepLines w:val="0"/>
                    <w:widowControl w:val="0"/>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钛</w:t>
                  </w:r>
                </w:p>
              </w:tc>
              <w:tc>
                <w:tcPr>
                  <w:tcW w:w="755" w:type="pct"/>
                  <w:noWrap w:val="0"/>
                  <w:vAlign w:val="center"/>
                </w:tcPr>
                <w:p w14:paraId="2DD68D91">
                  <w:pPr>
                    <w:keepNext w:val="0"/>
                    <w:keepLines w:val="0"/>
                    <w:widowControl w:val="0"/>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ND</w:t>
                  </w:r>
                </w:p>
              </w:tc>
              <w:tc>
                <w:tcPr>
                  <w:tcW w:w="729" w:type="pct"/>
                  <w:noWrap w:val="0"/>
                  <w:vAlign w:val="center"/>
                </w:tcPr>
                <w:p w14:paraId="72E327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0.1</w:t>
                  </w:r>
                </w:p>
              </w:tc>
              <w:tc>
                <w:tcPr>
                  <w:tcW w:w="737" w:type="pct"/>
                  <w:noWrap w:val="0"/>
                  <w:vAlign w:val="center"/>
                </w:tcPr>
                <w:p w14:paraId="0EAE39BB">
                  <w:pPr>
                    <w:keepNext w:val="0"/>
                    <w:keepLines w:val="0"/>
                    <w:widowControl w:val="0"/>
                    <w:suppressLineNumbers w:val="0"/>
                    <w:wordWrap/>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达标</w:t>
                  </w:r>
                </w:p>
              </w:tc>
            </w:tr>
            <w:tr w14:paraId="393B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noWrap w:val="0"/>
                  <w:vAlign w:val="center"/>
                </w:tcPr>
                <w:p w14:paraId="65661949">
                  <w:pPr>
                    <w:keepNext w:val="0"/>
                    <w:keepLines w:val="0"/>
                    <w:widowControl w:val="0"/>
                    <w:suppressLineNumbers w:val="0"/>
                    <w:wordWrap/>
                    <w:spacing w:before="0" w:beforeAutospacing="0" w:after="0" w:afterAutospacing="0" w:line="240" w:lineRule="auto"/>
                    <w:ind w:left="0" w:leftChars="0" w:right="0" w:rightChars="0" w:firstLine="0" w:firstLineChars="0"/>
                    <w:jc w:val="left"/>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注：ND为低于检出限</w:t>
                  </w:r>
                </w:p>
              </w:tc>
            </w:tr>
          </w:tbl>
          <w:p w14:paraId="7C9168B1">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p>
          <w:p w14:paraId="3340EB94">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根据监测结果显示，武江张滩闸坝上游780米处监测断面</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中钛的监测结果为低于检出限，浓度</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满足《地表水环境质量标准》(GB3838-2002)表3集中式生活饮用水地表水源地特定项目标准限值，表明项目附近地表水体武江水环境</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中钛的浓度较低，</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水环境质量现状良好。</w:t>
            </w:r>
          </w:p>
          <w:p w14:paraId="6D559E89">
            <w:pPr>
              <w:pStyle w:val="39"/>
              <w:spacing w:after="0" w:line="360" w:lineRule="auto"/>
              <w:ind w:firstLine="48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3、声环境质量现状</w:t>
            </w:r>
          </w:p>
          <w:p w14:paraId="7641BCA1">
            <w:pPr>
              <w:pStyle w:val="20"/>
              <w:spacing w:line="360" w:lineRule="auto"/>
              <w:ind w:firstLine="480" w:firstLineChars="200"/>
              <w:rPr>
                <w:rFonts w:hint="default" w:ascii="Times New Roman" w:hAnsi="Times New Roman" w:cs="Times New Roman"/>
                <w:color w:val="000000" w:themeColor="text1"/>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cs="Times New Roman"/>
                <w:color w:val="000000" w:themeColor="text1"/>
                <w:sz w:val="24"/>
                <w:szCs w:val="24"/>
                <w:highlight w:val="none"/>
                <w:lang w:val="en-US" w:eastAsia="zh-CN"/>
                <w14:textFill>
                  <w14:solidFill>
                    <w14:schemeClr w14:val="tx1"/>
                  </w14:solidFill>
                </w14:textFill>
              </w:rPr>
              <w:t>声功能区划图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（见附图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），本项目所在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区域</w:t>
            </w:r>
            <w:r>
              <w:rPr>
                <w:rFonts w:hint="default" w:ascii="Times New Roman" w:hAnsi="Times New Roman" w:cs="Times New Roman"/>
                <w:color w:val="000000" w:themeColor="text1"/>
                <w:szCs w:val="24"/>
                <w:highlight w:val="none"/>
                <w14:textFill>
                  <w14:solidFill>
                    <w14:schemeClr w14:val="tx1"/>
                  </w14:solidFill>
                </w14:textFill>
              </w:rPr>
              <w:t>属</w:t>
            </w:r>
            <w:r>
              <w:rPr>
                <w:rFonts w:hint="eastAsia" w:ascii="Times New Roman" w:hAnsi="Times New Roman" w:cs="Times New Roman"/>
                <w:color w:val="000000" w:themeColor="text1"/>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Cs w:val="24"/>
                <w:highlight w:val="none"/>
                <w14:textFill>
                  <w14:solidFill>
                    <w14:schemeClr w14:val="tx1"/>
                  </w14:solidFill>
                </w14:textFill>
              </w:rPr>
              <w:t>类</w:t>
            </w:r>
            <w:r>
              <w:rPr>
                <w:rFonts w:hint="eastAsia" w:ascii="Times New Roman" w:hAnsi="Times New Roman" w:cs="Times New Roman"/>
                <w:color w:val="000000" w:themeColor="text1"/>
                <w:szCs w:val="24"/>
                <w:highlight w:val="none"/>
                <w:lang w:val="en-US" w:eastAsia="zh-CN"/>
                <w14:textFill>
                  <w14:solidFill>
                    <w14:schemeClr w14:val="tx1"/>
                  </w14:solidFill>
                </w14:textFill>
              </w:rPr>
              <w:t>、4a类</w:t>
            </w:r>
            <w:r>
              <w:rPr>
                <w:rFonts w:hint="default" w:ascii="Times New Roman" w:hAnsi="Times New Roman" w:cs="Times New Roman"/>
                <w:color w:val="000000" w:themeColor="text1"/>
                <w:szCs w:val="24"/>
                <w:highlight w:val="none"/>
                <w14:textFill>
                  <w14:solidFill>
                    <w14:schemeClr w14:val="tx1"/>
                  </w14:solidFill>
                </w14:textFill>
              </w:rPr>
              <w:t>声环境功能区，</w:t>
            </w:r>
            <w:r>
              <w:rPr>
                <w:rFonts w:hint="eastAsia" w:cs="Times New Roman"/>
                <w:color w:val="000000" w:themeColor="text1"/>
                <w:szCs w:val="24"/>
                <w:highlight w:val="none"/>
                <w:lang w:val="en-US" w:eastAsia="zh-CN"/>
                <w14:textFill>
                  <w14:solidFill>
                    <w14:schemeClr w14:val="tx1"/>
                  </w14:solidFill>
                </w14:textFill>
              </w:rPr>
              <w:t>项目东面、南</w:t>
            </w:r>
            <w:r>
              <w:rPr>
                <w:rFonts w:hint="eastAsia" w:ascii="Times New Roman" w:hAnsi="Times New Roman" w:cs="Times New Roman"/>
                <w:color w:val="000000" w:themeColor="text1"/>
                <w:szCs w:val="24"/>
                <w:highlight w:val="none"/>
                <w:lang w:val="en-US" w:eastAsia="zh-CN"/>
                <w14:textFill>
                  <w14:solidFill>
                    <w14:schemeClr w14:val="tx1"/>
                  </w14:solidFill>
                </w14:textFill>
              </w:rPr>
              <w:t>面</w:t>
            </w:r>
            <w:r>
              <w:rPr>
                <w:rFonts w:hint="eastAsia" w:cs="Times New Roman"/>
                <w:color w:val="000000" w:themeColor="text1"/>
                <w:szCs w:val="24"/>
                <w:highlight w:val="none"/>
                <w:lang w:val="en-US" w:eastAsia="zh-CN"/>
                <w14:textFill>
                  <w14:solidFill>
                    <w14:schemeClr w14:val="tx1"/>
                  </w14:solidFill>
                </w14:textFill>
              </w:rPr>
              <w:t>红线距离道路边界小于20m，</w:t>
            </w:r>
            <w:r>
              <w:rPr>
                <w:rFonts w:hint="default" w:ascii="Times New Roman" w:hAnsi="Times New Roman" w:cs="Times New Roman"/>
                <w:color w:val="000000" w:themeColor="text1"/>
                <w:szCs w:val="24"/>
                <w:highlight w:val="none"/>
                <w14:textFill>
                  <w14:solidFill>
                    <w14:schemeClr w14:val="tx1"/>
                  </w14:solidFill>
                </w14:textFill>
              </w:rPr>
              <w:t>执行《声环境质量标准》（GB3096-2008）</w:t>
            </w:r>
            <w:r>
              <w:rPr>
                <w:rFonts w:hint="eastAsia" w:ascii="Times New Roman" w:hAnsi="Times New Roman" w:cs="Times New Roman"/>
                <w:color w:val="000000" w:themeColor="text1"/>
                <w:szCs w:val="24"/>
                <w:highlight w:val="none"/>
                <w:lang w:val="en-US" w:eastAsia="zh-CN"/>
                <w14:textFill>
                  <w14:solidFill>
                    <w14:schemeClr w14:val="tx1"/>
                  </w14:solidFill>
                </w14:textFill>
              </w:rPr>
              <w:t>4a</w:t>
            </w:r>
            <w:r>
              <w:rPr>
                <w:rFonts w:hint="default" w:ascii="Times New Roman" w:hAnsi="Times New Roman" w:cs="Times New Roman"/>
                <w:color w:val="000000" w:themeColor="text1"/>
                <w:szCs w:val="24"/>
                <w:highlight w:val="none"/>
                <w14:textFill>
                  <w14:solidFill>
                    <w14:schemeClr w14:val="tx1"/>
                  </w14:solidFill>
                </w14:textFill>
              </w:rPr>
              <w:t>类标准的要求，即昼间≤</w:t>
            </w:r>
            <w:r>
              <w:rPr>
                <w:rFonts w:hint="eastAsia" w:ascii="Times New Roman" w:hAnsi="Times New Roman" w:cs="Times New Roman"/>
                <w:color w:val="000000" w:themeColor="text1"/>
                <w:szCs w:val="24"/>
                <w:highlight w:val="none"/>
                <w:lang w:val="en-US" w:eastAsia="zh-CN"/>
                <w14:textFill>
                  <w14:solidFill>
                    <w14:schemeClr w14:val="tx1"/>
                  </w14:solidFill>
                </w14:textFill>
              </w:rPr>
              <w:t>70</w:t>
            </w:r>
            <w:r>
              <w:rPr>
                <w:rFonts w:hint="default" w:ascii="Times New Roman" w:hAnsi="Times New Roman" w:cs="Times New Roman"/>
                <w:color w:val="000000" w:themeColor="text1"/>
                <w:szCs w:val="24"/>
                <w:highlight w:val="none"/>
                <w14:textFill>
                  <w14:solidFill>
                    <w14:schemeClr w14:val="tx1"/>
                  </w14:solidFill>
                </w14:textFill>
              </w:rPr>
              <w:t>dB(A)，夜间≤5</w:t>
            </w:r>
            <w:r>
              <w:rPr>
                <w:rFonts w:hint="eastAsia" w:ascii="Times New Roman" w:hAnsi="Times New Roman" w:cs="Times New Roman"/>
                <w:color w:val="000000" w:themeColor="text1"/>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Cs w:val="24"/>
                <w:highlight w:val="none"/>
                <w14:textFill>
                  <w14:solidFill>
                    <w14:schemeClr w14:val="tx1"/>
                  </w14:solidFill>
                </w14:textFill>
              </w:rPr>
              <w:t>dB(A)</w:t>
            </w:r>
            <w:r>
              <w:rPr>
                <w:rFonts w:hint="eastAsia" w:ascii="Times New Roman" w:hAnsi="Times New Roman" w:cs="Times New Roman"/>
                <w:color w:val="000000" w:themeColor="text1"/>
                <w:szCs w:val="24"/>
                <w:highlight w:val="none"/>
                <w:lang w:eastAsia="zh-CN"/>
                <w14:textFill>
                  <w14:solidFill>
                    <w14:schemeClr w14:val="tx1"/>
                  </w14:solidFill>
                </w14:textFill>
              </w:rPr>
              <w:t>；</w:t>
            </w:r>
            <w:r>
              <w:rPr>
                <w:rFonts w:hint="eastAsia" w:ascii="Times New Roman" w:hAnsi="Times New Roman" w:cs="Times New Roman"/>
                <w:color w:val="000000" w:themeColor="text1"/>
                <w:szCs w:val="24"/>
                <w:highlight w:val="none"/>
                <w:lang w:val="en-US" w:eastAsia="zh-CN"/>
                <w14:textFill>
                  <w14:solidFill>
                    <w14:schemeClr w14:val="tx1"/>
                  </w14:solidFill>
                </w14:textFill>
              </w:rPr>
              <w:t>其他边界</w:t>
            </w:r>
            <w:r>
              <w:rPr>
                <w:rFonts w:hint="default" w:ascii="Times New Roman" w:hAnsi="Times New Roman" w:cs="Times New Roman"/>
                <w:color w:val="000000" w:themeColor="text1"/>
                <w:szCs w:val="24"/>
                <w:highlight w:val="none"/>
                <w14:textFill>
                  <w14:solidFill>
                    <w14:schemeClr w14:val="tx1"/>
                  </w14:solidFill>
                </w14:textFill>
              </w:rPr>
              <w:t>执行《声环境质量标准》（GB3096-2008）</w:t>
            </w:r>
            <w:r>
              <w:rPr>
                <w:rFonts w:hint="eastAsia" w:ascii="Times New Roman" w:hAnsi="Times New Roman" w:cs="Times New Roman"/>
                <w:color w:val="000000" w:themeColor="text1"/>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Cs w:val="24"/>
                <w:highlight w:val="none"/>
                <w14:textFill>
                  <w14:solidFill>
                    <w14:schemeClr w14:val="tx1"/>
                  </w14:solidFill>
                </w14:textFill>
              </w:rPr>
              <w:t>类标准的要求，即昼间≤6</w:t>
            </w:r>
            <w:r>
              <w:rPr>
                <w:rFonts w:hint="eastAsia" w:ascii="Times New Roman" w:hAnsi="Times New Roman" w:cs="Times New Roman"/>
                <w:color w:val="000000" w:themeColor="text1"/>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Cs w:val="24"/>
                <w:highlight w:val="none"/>
                <w14:textFill>
                  <w14:solidFill>
                    <w14:schemeClr w14:val="tx1"/>
                  </w14:solidFill>
                </w14:textFill>
              </w:rPr>
              <w:t>dB(A)，夜间≤5</w:t>
            </w:r>
            <w:r>
              <w:rPr>
                <w:rFonts w:hint="eastAsia" w:ascii="Times New Roman" w:hAnsi="Times New Roman" w:cs="Times New Roman"/>
                <w:color w:val="000000" w:themeColor="text1"/>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Cs w:val="24"/>
                <w:highlight w:val="none"/>
                <w14:textFill>
                  <w14:solidFill>
                    <w14:schemeClr w14:val="tx1"/>
                  </w14:solidFill>
                </w14:textFill>
              </w:rPr>
              <w:t>dB(A)。</w:t>
            </w:r>
          </w:p>
          <w:p w14:paraId="1409CF9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本项目厂界外50m范围内无声环境保护目标，根据《建设项目环境影响报告表编制技术指南（污染影响类）（试行）》，无需进行声环境质量现状调查。</w:t>
            </w:r>
          </w:p>
          <w:p w14:paraId="0EF10DA5">
            <w:pPr>
              <w:pStyle w:val="39"/>
              <w:spacing w:after="0" w:line="360" w:lineRule="auto"/>
              <w:ind w:firstLine="48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4、生态环境质量现状</w:t>
            </w:r>
          </w:p>
          <w:p w14:paraId="09D6D560">
            <w:pPr>
              <w:pStyle w:val="39"/>
              <w:spacing w:after="0" w:line="360" w:lineRule="auto"/>
              <w:ind w:firstLine="480"/>
              <w:rPr>
                <w:rFonts w:hint="default" w:ascii="Times New Roman" w:hAnsi="Times New Roman" w:cs="Times New Roman"/>
                <w:b w:val="0"/>
                <w:bCs w:val="0"/>
                <w:color w:val="000000" w:themeColor="text1"/>
                <w:sz w:val="24"/>
                <w:highlight w:val="none"/>
                <w14:textFill>
                  <w14:solidFill>
                    <w14:schemeClr w14:val="tx1"/>
                  </w14:solidFill>
                </w14:textFill>
              </w:rPr>
            </w:pPr>
            <w:r>
              <w:rPr>
                <w:rFonts w:hint="default" w:ascii="Times New Roman" w:hAnsi="Times New Roman" w:cs="Times New Roman"/>
                <w:b w:val="0"/>
                <w:bCs w:val="0"/>
                <w:color w:val="000000" w:themeColor="text1"/>
                <w:sz w:val="24"/>
                <w:highlight w:val="none"/>
                <w14:textFill>
                  <w14:solidFill>
                    <w14:schemeClr w14:val="tx1"/>
                  </w14:solidFill>
                </w14:textFill>
              </w:rPr>
              <w:t>本项目位于乐昌市乐昌产业转移工业园内，根据现场勘踏和调查，项目用地范围内不含生态环境保护目标，不需进行生态环境调查。</w:t>
            </w:r>
          </w:p>
          <w:p w14:paraId="27B87A7D">
            <w:pPr>
              <w:pStyle w:val="39"/>
              <w:spacing w:after="0" w:line="360" w:lineRule="auto"/>
              <w:ind w:firstLine="48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5、电磁辐射</w:t>
            </w:r>
          </w:p>
          <w:p w14:paraId="0B73E93A">
            <w:pPr>
              <w:pStyle w:val="39"/>
              <w:spacing w:after="0"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项目类别不属于广播电台、差转台、电视塔台卫星地球上行站、雷达等电磁辐射类项目，因此无需开展项目电磁辐射现状监测与评价。</w:t>
            </w:r>
          </w:p>
          <w:p w14:paraId="14EFC43C">
            <w:pPr>
              <w:pStyle w:val="39"/>
              <w:spacing w:after="0" w:line="360" w:lineRule="auto"/>
              <w:ind w:firstLine="48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6、地下水、土壤环境质量现状</w:t>
            </w:r>
          </w:p>
          <w:p w14:paraId="3CE1F751">
            <w:pPr>
              <w:pStyle w:val="20"/>
              <w:spacing w:line="360" w:lineRule="auto"/>
              <w:ind w:firstLine="480" w:firstLineChars="200"/>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bCs/>
                <w:color w:val="000000" w:themeColor="text1"/>
                <w:kern w:val="28"/>
                <w:sz w:val="24"/>
                <w:highlight w:val="none"/>
                <w14:textFill>
                  <w14:solidFill>
                    <w14:schemeClr w14:val="tx1"/>
                  </w14:solidFill>
                </w14:textFill>
              </w:rPr>
              <w:t>本项目</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生产车间</w:t>
            </w:r>
            <w:r>
              <w:rPr>
                <w:rFonts w:hint="default" w:ascii="Times New Roman" w:hAnsi="Times New Roman" w:cs="Times New Roman"/>
                <w:bCs/>
                <w:color w:val="000000" w:themeColor="text1"/>
                <w:kern w:val="28"/>
                <w:sz w:val="24"/>
                <w:highlight w:val="none"/>
                <w14:textFill>
                  <w14:solidFill>
                    <w14:schemeClr w14:val="tx1"/>
                  </w14:solidFill>
                </w14:textFill>
              </w:rPr>
              <w:t>厂区内均已进行地面硬化，</w:t>
            </w:r>
            <w:r>
              <w:rPr>
                <w:rFonts w:hint="eastAsia" w:cs="Times New Roman"/>
                <w:bCs/>
                <w:color w:val="000000" w:themeColor="text1"/>
                <w:kern w:val="28"/>
                <w:sz w:val="24"/>
                <w:highlight w:val="none"/>
                <w:lang w:val="en-US" w:eastAsia="zh-CN"/>
                <w14:textFill>
                  <w14:solidFill>
                    <w14:schemeClr w14:val="tx1"/>
                  </w14:solidFill>
                </w14:textFill>
              </w:rPr>
              <w:t>工件表面预处理</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生产车间、</w:t>
            </w:r>
            <w:r>
              <w:rPr>
                <w:rFonts w:hint="eastAsia" w:cs="Times New Roman"/>
                <w:bCs/>
                <w:color w:val="000000" w:themeColor="text1"/>
                <w:kern w:val="28"/>
                <w:sz w:val="24"/>
                <w:highlight w:val="none"/>
                <w:lang w:eastAsia="zh-CN"/>
                <w14:textFill>
                  <w14:solidFill>
                    <w14:schemeClr w14:val="tx1"/>
                  </w14:solidFill>
                </w14:textFill>
              </w:rPr>
              <w:t>危险废物贮存间</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、自建污水处理站</w:t>
            </w:r>
            <w:r>
              <w:rPr>
                <w:rFonts w:hint="default" w:ascii="Times New Roman" w:hAnsi="Times New Roman" w:cs="Times New Roman"/>
                <w:bCs/>
                <w:color w:val="000000" w:themeColor="text1"/>
                <w:kern w:val="28"/>
                <w:sz w:val="24"/>
                <w:highlight w:val="none"/>
                <w14:textFill>
                  <w14:solidFill>
                    <w14:schemeClr w14:val="tx1"/>
                  </w14:solidFill>
                </w14:textFill>
              </w:rPr>
              <w:t>作基础防渗，防渗层为至少lm厚粘土层（渗透系数≤10</w:t>
            </w:r>
            <w:r>
              <w:rPr>
                <w:rFonts w:hint="default" w:ascii="Times New Roman" w:hAnsi="Times New Roman" w:cs="Times New Roman"/>
                <w:bCs/>
                <w:color w:val="000000" w:themeColor="text1"/>
                <w:kern w:val="28"/>
                <w:sz w:val="24"/>
                <w:highlight w:val="none"/>
                <w:vertAlign w:val="superscript"/>
                <w14:textFill>
                  <w14:solidFill>
                    <w14:schemeClr w14:val="tx1"/>
                  </w14:solidFill>
                </w14:textFill>
              </w:rPr>
              <w:t>-7</w:t>
            </w:r>
            <w:r>
              <w:rPr>
                <w:rFonts w:hint="default" w:ascii="Times New Roman" w:hAnsi="Times New Roman" w:cs="Times New Roman"/>
                <w:bCs/>
                <w:color w:val="000000" w:themeColor="text1"/>
                <w:kern w:val="28"/>
                <w:sz w:val="24"/>
                <w:highlight w:val="none"/>
                <w14:textFill>
                  <w14:solidFill>
                    <w14:schemeClr w14:val="tx1"/>
                  </w14:solidFill>
                </w14:textFill>
              </w:rPr>
              <w:t>cm/s），或2mm厚高密度聚乙烯，或至少2mm厚的其他人工材料，渗透系数≤10</w:t>
            </w:r>
            <w:r>
              <w:rPr>
                <w:rFonts w:hint="default" w:ascii="Times New Roman" w:hAnsi="Times New Roman" w:cs="Times New Roman"/>
                <w:bCs/>
                <w:color w:val="000000" w:themeColor="text1"/>
                <w:kern w:val="28"/>
                <w:sz w:val="24"/>
                <w:highlight w:val="none"/>
                <w:vertAlign w:val="superscript"/>
                <w14:textFill>
                  <w14:solidFill>
                    <w14:schemeClr w14:val="tx1"/>
                  </w14:solidFill>
                </w14:textFill>
              </w:rPr>
              <w:t>-10</w:t>
            </w:r>
            <w:r>
              <w:rPr>
                <w:rFonts w:hint="default" w:ascii="Times New Roman" w:hAnsi="Times New Roman" w:cs="Times New Roman"/>
                <w:bCs/>
                <w:color w:val="000000" w:themeColor="text1"/>
                <w:kern w:val="28"/>
                <w:sz w:val="24"/>
                <w:highlight w:val="none"/>
                <w14:textFill>
                  <w14:solidFill>
                    <w14:schemeClr w14:val="tx1"/>
                  </w14:solidFill>
                </w14:textFill>
              </w:rPr>
              <w:t>cm/s；本项目液态</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原辅料</w:t>
            </w:r>
            <w:r>
              <w:rPr>
                <w:rFonts w:hint="default" w:ascii="Times New Roman" w:hAnsi="Times New Roman" w:cs="Times New Roman"/>
                <w:bCs/>
                <w:color w:val="000000" w:themeColor="text1"/>
                <w:kern w:val="28"/>
                <w:sz w:val="24"/>
                <w:highlight w:val="none"/>
                <w14:textFill>
                  <w14:solidFill>
                    <w14:schemeClr w14:val="tx1"/>
                  </w14:solidFill>
                </w14:textFill>
              </w:rPr>
              <w:t>均储存在</w:t>
            </w:r>
            <w:r>
              <w:rPr>
                <w:rFonts w:hint="eastAsia" w:ascii="Times New Roman" w:hAnsi="Times New Roman" w:cs="Times New Roman"/>
                <w:bCs/>
                <w:color w:val="000000" w:themeColor="text1"/>
                <w:kern w:val="28"/>
                <w:sz w:val="24"/>
                <w:highlight w:val="none"/>
                <w:lang w:val="en-US" w:eastAsia="zh-CN"/>
                <w14:textFill>
                  <w14:solidFill>
                    <w14:schemeClr w14:val="tx1"/>
                  </w14:solidFill>
                </w14:textFill>
              </w:rPr>
              <w:t>5#</w:t>
            </w:r>
            <w:r>
              <w:rPr>
                <w:rFonts w:hint="default" w:ascii="Times New Roman" w:hAnsi="Times New Roman" w:cs="Times New Roman"/>
                <w:bCs/>
                <w:color w:val="000000" w:themeColor="text1"/>
                <w:kern w:val="28"/>
                <w:sz w:val="24"/>
                <w:highlight w:val="none"/>
                <w14:textFill>
                  <w14:solidFill>
                    <w14:schemeClr w14:val="tx1"/>
                  </w14:solidFill>
                </w14:textFill>
              </w:rPr>
              <w:t>厂房设置的化学品仓内，且出入口处设置围堰围挡，物料随用随取，不使用时密闭封存，厂界四周设置围墙围挡，仅保留</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东南</w:t>
            </w:r>
            <w:r>
              <w:rPr>
                <w:rFonts w:hint="default" w:ascii="Times New Roman" w:hAnsi="Times New Roman" w:cs="Times New Roman"/>
                <w:bCs/>
                <w:color w:val="000000" w:themeColor="text1"/>
                <w:kern w:val="28"/>
                <w:sz w:val="24"/>
                <w:highlight w:val="none"/>
                <w14:textFill>
                  <w14:solidFill>
                    <w14:schemeClr w14:val="tx1"/>
                  </w14:solidFill>
                </w14:textFill>
              </w:rPr>
              <w:t>侧厂区出入口，可防止地表径流直接进入本项目</w:t>
            </w:r>
            <w:r>
              <w:rPr>
                <w:rFonts w:hint="default" w:ascii="Times New Roman" w:hAnsi="Times New Roman" w:cs="Times New Roman"/>
                <w:bCs/>
                <w:color w:val="000000" w:themeColor="text1"/>
                <w:kern w:val="28"/>
                <w:sz w:val="24"/>
                <w:highlight w:val="none"/>
                <w:lang w:val="en-US" w:eastAsia="zh-CN"/>
                <w14:textFill>
                  <w14:solidFill>
                    <w14:schemeClr w14:val="tx1"/>
                  </w14:solidFill>
                </w14:textFill>
              </w:rPr>
              <w:t>周边水体</w:t>
            </w:r>
            <w:r>
              <w:rPr>
                <w:rFonts w:hint="default" w:ascii="Times New Roman" w:hAnsi="Times New Roman" w:cs="Times New Roman"/>
                <w:bCs/>
                <w:color w:val="000000" w:themeColor="text1"/>
                <w:kern w:val="28"/>
                <w:sz w:val="24"/>
                <w:highlight w:val="none"/>
                <w14:textFill>
                  <w14:solidFill>
                    <w14:schemeClr w14:val="tx1"/>
                  </w14:solidFill>
                </w14:textFill>
              </w:rPr>
              <w:t>。因此不存在地</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下</w:t>
            </w:r>
            <w:r>
              <w:rPr>
                <w:rFonts w:hint="default" w:ascii="Times New Roman" w:hAnsi="Times New Roman" w:cs="Times New Roman"/>
                <w:bCs/>
                <w:color w:val="000000" w:themeColor="text1"/>
                <w:kern w:val="28"/>
                <w:sz w:val="24"/>
                <w:highlight w:val="none"/>
                <w14:textFill>
                  <w14:solidFill>
                    <w14:schemeClr w14:val="tx1"/>
                  </w14:solidFill>
                </w14:textFill>
              </w:rPr>
              <w:t>水、</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土壤</w:t>
            </w:r>
            <w:r>
              <w:rPr>
                <w:rFonts w:hint="default" w:ascii="Times New Roman" w:hAnsi="Times New Roman" w:cs="Times New Roman"/>
                <w:bCs/>
                <w:color w:val="000000" w:themeColor="text1"/>
                <w:kern w:val="28"/>
                <w:sz w:val="24"/>
                <w:highlight w:val="none"/>
                <w14:textFill>
                  <w14:solidFill>
                    <w14:schemeClr w14:val="tx1"/>
                  </w14:solidFill>
                </w14:textFill>
              </w:rPr>
              <w:t>环境污染途径。其他区域均进行水泥地面硬底化。项目生产经营范围内具有一定的防腐防渗作用，可有效阻断污染物入渗土壤的途径，正常工况下不会对地下水、土壤环境造成显著不良影响，且占地范围内不具备监测条件。因此</w:t>
            </w:r>
            <w:r>
              <w:rPr>
                <w:rFonts w:hint="eastAsia" w:cs="Times New Roman"/>
                <w:bCs/>
                <w:color w:val="000000" w:themeColor="text1"/>
                <w:kern w:val="28"/>
                <w:sz w:val="24"/>
                <w:highlight w:val="none"/>
                <w:lang w:val="en-US" w:eastAsia="zh-CN"/>
                <w14:textFill>
                  <w14:solidFill>
                    <w14:schemeClr w14:val="tx1"/>
                  </w14:solidFill>
                </w14:textFill>
              </w:rPr>
              <w:t>本项目不对地下水、土壤环境质量现状监测</w:t>
            </w:r>
            <w:r>
              <w:rPr>
                <w:rFonts w:hint="default" w:ascii="Times New Roman" w:hAnsi="Times New Roman" w:cs="Times New Roman"/>
                <w:bCs/>
                <w:color w:val="000000" w:themeColor="text1"/>
                <w:kern w:val="28"/>
                <w:sz w:val="24"/>
                <w:highlight w:val="none"/>
                <w:lang w:eastAsia="zh-CN"/>
                <w14:textFill>
                  <w14:solidFill>
                    <w14:schemeClr w14:val="tx1"/>
                  </w14:solidFill>
                </w14:textFill>
              </w:rPr>
              <w:t>。</w:t>
            </w:r>
          </w:p>
        </w:tc>
      </w:tr>
      <w:tr w14:paraId="2C227D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11" w:hRule="atLeast"/>
          <w:jc w:val="center"/>
        </w:trPr>
        <w:tc>
          <w:tcPr>
            <w:tcW w:w="278" w:type="pct"/>
            <w:noWrap w:val="0"/>
            <w:vAlign w:val="center"/>
          </w:tcPr>
          <w:p w14:paraId="044F2BD2">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环境</w:t>
            </w:r>
          </w:p>
          <w:p w14:paraId="46A3D136">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保护</w:t>
            </w:r>
          </w:p>
          <w:p w14:paraId="037D47D5">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目标</w:t>
            </w:r>
          </w:p>
        </w:tc>
        <w:tc>
          <w:tcPr>
            <w:tcW w:w="4721" w:type="pct"/>
            <w:noWrap w:val="0"/>
            <w:vAlign w:val="center"/>
          </w:tcPr>
          <w:p w14:paraId="3943FEF8">
            <w:pPr>
              <w:keepNext w:val="0"/>
              <w:keepLines w:val="0"/>
              <w:pageBreakBefore w:val="0"/>
              <w:widowControl w:val="0"/>
              <w:tabs>
                <w:tab w:val="left" w:pos="1472"/>
              </w:tabs>
              <w:kinsoku/>
              <w:wordWrap/>
              <w:overflowPunct/>
              <w:topLinePunct w:val="0"/>
              <w:autoSpaceDE/>
              <w:autoSpaceDN/>
              <w:bidi w:val="0"/>
              <w:adjustRightInd/>
              <w:snapToGrid/>
              <w:spacing w:line="120" w:lineRule="exact"/>
              <w:ind w:left="771"/>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p>
          <w:p w14:paraId="69F1679B">
            <w:pPr>
              <w:pStyle w:val="39"/>
              <w:spacing w:after="0" w:line="360" w:lineRule="auto"/>
              <w:ind w:firstLine="480"/>
              <w:rPr>
                <w:rFonts w:hint="default" w:ascii="Times New Roman" w:hAnsi="Times New Roman" w:cs="Times New Roman"/>
                <w:b w:val="0"/>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现场调查及结合卫星地图，绘制了</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项目</w:t>
            </w:r>
            <w:r>
              <w:rPr>
                <w:rFonts w:hint="default" w:ascii="Times New Roman" w:hAnsi="Times New Roman" w:cs="Times New Roman"/>
                <w:b w:val="0"/>
                <w:bCs/>
                <w:color w:val="000000" w:themeColor="text1"/>
                <w:sz w:val="24"/>
                <w:highlight w:val="none"/>
                <w14:textFill>
                  <w14:solidFill>
                    <w14:schemeClr w14:val="tx1"/>
                  </w14:solidFill>
                </w14:textFill>
              </w:rPr>
              <w:t>周边环境保护目标</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分布</w:t>
            </w:r>
            <w:r>
              <w:rPr>
                <w:rFonts w:hint="default" w:ascii="Times New Roman" w:hAnsi="Times New Roman" w:cs="Times New Roman"/>
                <w:b w:val="0"/>
                <w:bCs/>
                <w:color w:val="000000" w:themeColor="text1"/>
                <w:sz w:val="24"/>
                <w:highlight w:val="none"/>
                <w14:textFill>
                  <w14:solidFill>
                    <w14:schemeClr w14:val="tx1"/>
                  </w14:solidFill>
                </w14:textFill>
              </w:rPr>
              <w:t>图</w:t>
            </w:r>
            <w:r>
              <w:rPr>
                <w:rFonts w:hint="default" w:ascii="Times New Roman" w:hAnsi="Times New Roman" w:cs="Times New Roman"/>
                <w:b w:val="0"/>
                <w:bCs/>
                <w:color w:val="000000" w:themeColor="text1"/>
                <w:sz w:val="24"/>
                <w:highlight w:val="none"/>
                <w:lang w:eastAsia="zh-CN"/>
                <w14:textFill>
                  <w14:solidFill>
                    <w14:schemeClr w14:val="tx1"/>
                  </w14:solidFill>
                </w14:textFill>
              </w:rPr>
              <w:t>（</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详见附图</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11</w:t>
            </w:r>
            <w:r>
              <w:rPr>
                <w:rFonts w:hint="default" w:ascii="Times New Roman" w:hAnsi="Times New Roman" w:cs="Times New Roman"/>
                <w:b w:val="0"/>
                <w:bCs/>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由此可知</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w:t>
            </w:r>
          </w:p>
          <w:p w14:paraId="27E105F0">
            <w:pPr>
              <w:pStyle w:val="39"/>
              <w:spacing w:after="0" w:line="360" w:lineRule="auto"/>
              <w:ind w:firstLine="48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1、环境空气保护目标</w:t>
            </w:r>
          </w:p>
          <w:p w14:paraId="620DDB3F">
            <w:pPr>
              <w:pStyle w:val="39"/>
              <w:spacing w:after="0"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根据现场调查，项目厂界外500米范围内大气环境保护目标</w:t>
            </w:r>
            <w:r>
              <w:rPr>
                <w:rFonts w:hint="default" w:ascii="Times New Roman" w:hAnsi="Times New Roman" w:cs="Times New Roman"/>
                <w:color w:val="000000" w:themeColor="text1"/>
                <w:sz w:val="24"/>
                <w:highlight w:val="none"/>
                <w:lang w:val="en-US" w:eastAsia="zh-CN"/>
                <w14:textFill>
                  <w14:solidFill>
                    <w14:schemeClr w14:val="tx1"/>
                  </w14:solidFill>
                </w14:textFill>
              </w:rPr>
              <w:t>分布情况见下表</w:t>
            </w:r>
            <w:r>
              <w:rPr>
                <w:rFonts w:hint="default" w:ascii="Times New Roman" w:hAnsi="Times New Roman" w:cs="Times New Roman"/>
                <w:color w:val="000000" w:themeColor="text1"/>
                <w:sz w:val="24"/>
                <w:highlight w:val="none"/>
                <w14:textFill>
                  <w14:solidFill>
                    <w14:schemeClr w14:val="tx1"/>
                  </w14:solidFill>
                </w14:textFill>
              </w:rPr>
              <w:t>。</w:t>
            </w:r>
          </w:p>
          <w:p w14:paraId="44DBF511">
            <w:pPr>
              <w:numPr>
                <w:ilvl w:val="0"/>
                <w:numId w:val="14"/>
              </w:numPr>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项目大气环境保护目标</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分布</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911"/>
              <w:gridCol w:w="983"/>
              <w:gridCol w:w="1103"/>
              <w:gridCol w:w="1105"/>
              <w:gridCol w:w="858"/>
              <w:gridCol w:w="955"/>
              <w:gridCol w:w="1320"/>
            </w:tblGrid>
            <w:tr w14:paraId="01E1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vMerge w:val="restart"/>
                  <w:tcBorders>
                    <w:tl2br w:val="nil"/>
                    <w:tr2bl w:val="nil"/>
                  </w:tcBorders>
                  <w:noWrap/>
                  <w:vAlign w:val="center"/>
                </w:tcPr>
                <w:p w14:paraId="10634577">
                  <w:pPr>
                    <w:pStyle w:val="11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1137" w:type="pct"/>
                  <w:gridSpan w:val="2"/>
                  <w:tcBorders>
                    <w:tl2br w:val="nil"/>
                    <w:tr2bl w:val="nil"/>
                  </w:tcBorders>
                  <w:noWrap/>
                  <w:vAlign w:val="center"/>
                </w:tcPr>
                <w:p w14:paraId="040E0316">
                  <w:pPr>
                    <w:pStyle w:val="11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坐标/m</w:t>
                  </w:r>
                </w:p>
              </w:tc>
              <w:tc>
                <w:tcPr>
                  <w:tcW w:w="662" w:type="pct"/>
                  <w:vMerge w:val="restart"/>
                  <w:tcBorders>
                    <w:tl2br w:val="nil"/>
                    <w:tr2bl w:val="nil"/>
                  </w:tcBorders>
                  <w:noWrap/>
                  <w:vAlign w:val="center"/>
                </w:tcPr>
                <w:p w14:paraId="0A1CE87A">
                  <w:pPr>
                    <w:pStyle w:val="11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保护对象</w:t>
                  </w:r>
                </w:p>
              </w:tc>
              <w:tc>
                <w:tcPr>
                  <w:tcW w:w="663" w:type="pct"/>
                  <w:vMerge w:val="restart"/>
                  <w:tcBorders>
                    <w:tl2br w:val="nil"/>
                    <w:tr2bl w:val="nil"/>
                  </w:tcBorders>
                  <w:noWrap/>
                  <w:vAlign w:val="center"/>
                </w:tcPr>
                <w:p w14:paraId="58F8D990">
                  <w:pPr>
                    <w:pStyle w:val="114"/>
                    <w:spacing w:line="240" w:lineRule="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内容</w:t>
                  </w:r>
                </w:p>
              </w:tc>
              <w:tc>
                <w:tcPr>
                  <w:tcW w:w="515" w:type="pct"/>
                  <w:vMerge w:val="restart"/>
                  <w:tcBorders>
                    <w:tl2br w:val="nil"/>
                    <w:tr2bl w:val="nil"/>
                  </w:tcBorders>
                  <w:noWrap/>
                  <w:vAlign w:val="center"/>
                </w:tcPr>
                <w:p w14:paraId="7E1285D7">
                  <w:pPr>
                    <w:pStyle w:val="11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环境功能区</w:t>
                  </w:r>
                </w:p>
              </w:tc>
              <w:tc>
                <w:tcPr>
                  <w:tcW w:w="573" w:type="pct"/>
                  <w:vMerge w:val="restart"/>
                  <w:tcBorders>
                    <w:tl2br w:val="nil"/>
                    <w:tr2bl w:val="nil"/>
                  </w:tcBorders>
                  <w:noWrap/>
                  <w:vAlign w:val="center"/>
                </w:tcPr>
                <w:p w14:paraId="0805A775">
                  <w:pPr>
                    <w:pStyle w:val="11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相对厂址方位</w:t>
                  </w:r>
                </w:p>
              </w:tc>
              <w:tc>
                <w:tcPr>
                  <w:tcW w:w="789" w:type="pct"/>
                  <w:vMerge w:val="restart"/>
                  <w:tcBorders>
                    <w:tl2br w:val="nil"/>
                    <w:tr2bl w:val="nil"/>
                  </w:tcBorders>
                  <w:noWrap/>
                  <w:vAlign w:val="center"/>
                </w:tcPr>
                <w:p w14:paraId="194B46CD">
                  <w:pPr>
                    <w:pStyle w:val="114"/>
                    <w:spacing w:line="240" w:lineRule="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相对</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厂界</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距离</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p>
              </w:tc>
            </w:tr>
            <w:tr w14:paraId="76BF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vMerge w:val="continue"/>
                  <w:tcBorders>
                    <w:tl2br w:val="nil"/>
                    <w:tr2bl w:val="nil"/>
                  </w:tcBorders>
                  <w:noWrap/>
                  <w:vAlign w:val="center"/>
                </w:tcPr>
                <w:p w14:paraId="3898EE71">
                  <w:pPr>
                    <w:pStyle w:val="114"/>
                    <w:spacing w:line="240" w:lineRule="auto"/>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547" w:type="pct"/>
                  <w:tcBorders>
                    <w:tl2br w:val="nil"/>
                    <w:tr2bl w:val="nil"/>
                  </w:tcBorders>
                  <w:noWrap/>
                  <w:vAlign w:val="center"/>
                </w:tcPr>
                <w:p w14:paraId="2D7D5CFF">
                  <w:pPr>
                    <w:pStyle w:val="11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X</w:t>
                  </w:r>
                </w:p>
              </w:tc>
              <w:tc>
                <w:tcPr>
                  <w:tcW w:w="590" w:type="pct"/>
                  <w:tcBorders>
                    <w:tl2br w:val="nil"/>
                    <w:tr2bl w:val="nil"/>
                  </w:tcBorders>
                  <w:noWrap/>
                  <w:vAlign w:val="center"/>
                </w:tcPr>
                <w:p w14:paraId="50FC6816">
                  <w:pPr>
                    <w:pStyle w:val="11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Y</w:t>
                  </w:r>
                </w:p>
              </w:tc>
              <w:tc>
                <w:tcPr>
                  <w:tcW w:w="662" w:type="pct"/>
                  <w:vMerge w:val="continue"/>
                  <w:tcBorders>
                    <w:tl2br w:val="nil"/>
                    <w:tr2bl w:val="nil"/>
                  </w:tcBorders>
                  <w:noWrap/>
                  <w:vAlign w:val="center"/>
                </w:tcPr>
                <w:p w14:paraId="6003EFBD">
                  <w:pPr>
                    <w:pStyle w:val="114"/>
                    <w:spacing w:line="240" w:lineRule="auto"/>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663" w:type="pct"/>
                  <w:vMerge w:val="continue"/>
                  <w:tcBorders>
                    <w:tl2br w:val="nil"/>
                    <w:tr2bl w:val="nil"/>
                  </w:tcBorders>
                  <w:noWrap/>
                  <w:vAlign w:val="center"/>
                </w:tcPr>
                <w:p w14:paraId="13C4F349">
                  <w:pPr>
                    <w:pStyle w:val="114"/>
                    <w:spacing w:line="240" w:lineRule="auto"/>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515" w:type="pct"/>
                  <w:vMerge w:val="continue"/>
                  <w:tcBorders>
                    <w:tl2br w:val="nil"/>
                    <w:tr2bl w:val="nil"/>
                  </w:tcBorders>
                  <w:noWrap/>
                  <w:vAlign w:val="center"/>
                </w:tcPr>
                <w:p w14:paraId="0C118E26">
                  <w:pPr>
                    <w:pStyle w:val="114"/>
                    <w:spacing w:line="240" w:lineRule="auto"/>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573" w:type="pct"/>
                  <w:vMerge w:val="continue"/>
                  <w:tcBorders>
                    <w:tl2br w:val="nil"/>
                    <w:tr2bl w:val="nil"/>
                  </w:tcBorders>
                  <w:noWrap/>
                  <w:vAlign w:val="center"/>
                </w:tcPr>
                <w:p w14:paraId="6DC8A1DE">
                  <w:pPr>
                    <w:pStyle w:val="114"/>
                    <w:spacing w:line="240" w:lineRule="auto"/>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789" w:type="pct"/>
                  <w:vMerge w:val="continue"/>
                  <w:tcBorders>
                    <w:tl2br w:val="nil"/>
                    <w:tr2bl w:val="nil"/>
                  </w:tcBorders>
                  <w:noWrap/>
                  <w:vAlign w:val="center"/>
                </w:tcPr>
                <w:p w14:paraId="6C965ADD">
                  <w:pPr>
                    <w:pStyle w:val="114"/>
                    <w:spacing w:line="240" w:lineRule="auto"/>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r>
            <w:tr w14:paraId="68DF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tcBorders>
                    <w:tl2br w:val="nil"/>
                    <w:tr2bl w:val="nil"/>
                  </w:tcBorders>
                  <w:noWrap/>
                  <w:vAlign w:val="center"/>
                </w:tcPr>
                <w:p w14:paraId="5D9F0AFA">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王屋小学</w:t>
                  </w:r>
                </w:p>
              </w:tc>
              <w:tc>
                <w:tcPr>
                  <w:tcW w:w="547" w:type="pct"/>
                  <w:tcBorders>
                    <w:tl2br w:val="nil"/>
                    <w:tr2bl w:val="nil"/>
                  </w:tcBorders>
                  <w:noWrap/>
                  <w:vAlign w:val="center"/>
                </w:tcPr>
                <w:p w14:paraId="5BB94E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466.13</w:t>
                  </w:r>
                </w:p>
              </w:tc>
              <w:tc>
                <w:tcPr>
                  <w:tcW w:w="590" w:type="pct"/>
                  <w:tcBorders>
                    <w:tl2br w:val="nil"/>
                    <w:tr2bl w:val="nil"/>
                  </w:tcBorders>
                  <w:noWrap/>
                  <w:vAlign w:val="center"/>
                </w:tcPr>
                <w:p w14:paraId="46D8D6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418.82</w:t>
                  </w:r>
                </w:p>
              </w:tc>
              <w:tc>
                <w:tcPr>
                  <w:tcW w:w="662" w:type="pct"/>
                  <w:tcBorders>
                    <w:tl2br w:val="nil"/>
                    <w:tr2bl w:val="nil"/>
                  </w:tcBorders>
                  <w:noWrap/>
                  <w:vAlign w:val="center"/>
                </w:tcPr>
                <w:p w14:paraId="5BF939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师生</w:t>
                  </w:r>
                </w:p>
              </w:tc>
              <w:tc>
                <w:tcPr>
                  <w:tcW w:w="663" w:type="pct"/>
                  <w:tcBorders>
                    <w:tl2br w:val="nil"/>
                    <w:tr2bl w:val="nil"/>
                  </w:tcBorders>
                  <w:noWrap/>
                  <w:vAlign w:val="center"/>
                </w:tcPr>
                <w:p w14:paraId="20040F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约300人</w:t>
                  </w:r>
                </w:p>
              </w:tc>
              <w:tc>
                <w:tcPr>
                  <w:tcW w:w="515" w:type="pct"/>
                  <w:tcBorders>
                    <w:tl2br w:val="nil"/>
                    <w:tr2bl w:val="nil"/>
                  </w:tcBorders>
                  <w:noWrap/>
                  <w:vAlign w:val="center"/>
                </w:tcPr>
                <w:p w14:paraId="20463FD3">
                  <w:pPr>
                    <w:spacing w:line="240" w:lineRule="auto"/>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二类</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区</w:t>
                  </w:r>
                </w:p>
              </w:tc>
              <w:tc>
                <w:tcPr>
                  <w:tcW w:w="573" w:type="pct"/>
                  <w:tcBorders>
                    <w:tl2br w:val="nil"/>
                    <w:tr2bl w:val="nil"/>
                  </w:tcBorders>
                  <w:noWrap/>
                  <w:vAlign w:val="center"/>
                </w:tcPr>
                <w:p w14:paraId="07F2F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东北</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面</w:t>
                  </w:r>
                </w:p>
              </w:tc>
              <w:tc>
                <w:tcPr>
                  <w:tcW w:w="789" w:type="pct"/>
                  <w:tcBorders>
                    <w:tl2br w:val="nil"/>
                    <w:tr2bl w:val="nil"/>
                  </w:tcBorders>
                  <w:noWrap/>
                  <w:vAlign w:val="center"/>
                </w:tcPr>
                <w:p w14:paraId="0D7342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377</w:t>
                  </w:r>
                </w:p>
              </w:tc>
            </w:tr>
            <w:tr w14:paraId="6F4C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tcBorders>
                    <w:tl2br w:val="nil"/>
                    <w:tr2bl w:val="nil"/>
                  </w:tcBorders>
                  <w:noWrap/>
                  <w:vAlign w:val="center"/>
                </w:tcPr>
                <w:p w14:paraId="215889AF">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村落</w:t>
                  </w:r>
                </w:p>
              </w:tc>
              <w:tc>
                <w:tcPr>
                  <w:tcW w:w="547" w:type="pct"/>
                  <w:tcBorders>
                    <w:tl2br w:val="nil"/>
                    <w:tr2bl w:val="nil"/>
                  </w:tcBorders>
                  <w:noWrap/>
                  <w:vAlign w:val="center"/>
                </w:tcPr>
                <w:p w14:paraId="7EEE9A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97.92</w:t>
                  </w:r>
                </w:p>
              </w:tc>
              <w:tc>
                <w:tcPr>
                  <w:tcW w:w="590" w:type="pct"/>
                  <w:tcBorders>
                    <w:tl2br w:val="nil"/>
                    <w:tr2bl w:val="nil"/>
                  </w:tcBorders>
                  <w:noWrap/>
                  <w:vAlign w:val="center"/>
                </w:tcPr>
                <w:p w14:paraId="73BEF0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431.19</w:t>
                  </w:r>
                </w:p>
              </w:tc>
              <w:tc>
                <w:tcPr>
                  <w:tcW w:w="662" w:type="pct"/>
                  <w:tcBorders>
                    <w:tl2br w:val="nil"/>
                    <w:tr2bl w:val="nil"/>
                  </w:tcBorders>
                  <w:noWrap/>
                  <w:vAlign w:val="center"/>
                </w:tcPr>
                <w:p w14:paraId="3D8750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居民</w:t>
                  </w:r>
                </w:p>
              </w:tc>
              <w:tc>
                <w:tcPr>
                  <w:tcW w:w="663" w:type="pct"/>
                  <w:tcBorders>
                    <w:tl2br w:val="nil"/>
                    <w:tr2bl w:val="nil"/>
                  </w:tcBorders>
                  <w:noWrap/>
                  <w:vAlign w:val="center"/>
                </w:tcPr>
                <w:p w14:paraId="45B0BC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约20人</w:t>
                  </w:r>
                </w:p>
              </w:tc>
              <w:tc>
                <w:tcPr>
                  <w:tcW w:w="515" w:type="pct"/>
                  <w:tcBorders>
                    <w:tl2br w:val="nil"/>
                    <w:tr2bl w:val="nil"/>
                  </w:tcBorders>
                  <w:noWrap/>
                  <w:vAlign w:val="center"/>
                </w:tcPr>
                <w:p w14:paraId="0B3FCA67">
                  <w:pPr>
                    <w:spacing w:line="240" w:lineRule="auto"/>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二类</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区</w:t>
                  </w:r>
                </w:p>
              </w:tc>
              <w:tc>
                <w:tcPr>
                  <w:tcW w:w="573" w:type="pct"/>
                  <w:tcBorders>
                    <w:tl2br w:val="nil"/>
                    <w:tr2bl w:val="nil"/>
                  </w:tcBorders>
                  <w:noWrap/>
                  <w:vAlign w:val="center"/>
                </w:tcPr>
                <w:p w14:paraId="4702CB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东北</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面</w:t>
                  </w:r>
                </w:p>
              </w:tc>
              <w:tc>
                <w:tcPr>
                  <w:tcW w:w="789" w:type="pct"/>
                  <w:tcBorders>
                    <w:tl2br w:val="nil"/>
                    <w:tr2bl w:val="nil"/>
                  </w:tcBorders>
                  <w:noWrap/>
                  <w:vAlign w:val="center"/>
                </w:tcPr>
                <w:p w14:paraId="67AE05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464</w:t>
                  </w:r>
                </w:p>
              </w:tc>
            </w:tr>
            <w:tr w14:paraId="5B1C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tcBorders>
                    <w:tl2br w:val="nil"/>
                    <w:tr2bl w:val="nil"/>
                  </w:tcBorders>
                  <w:noWrap/>
                  <w:vAlign w:val="center"/>
                </w:tcPr>
                <w:p w14:paraId="08D0FFA7">
                  <w:pPr>
                    <w:pStyle w:val="39"/>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注：以</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厂区</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的</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坐标（113°24'30.099" E,25°9'23.358" N）</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为原点（0，0），正东向为X轴正方向、正北向为Y轴正方向建立直角坐标系。</w:t>
                  </w:r>
                </w:p>
              </w:tc>
            </w:tr>
          </w:tbl>
          <w:p w14:paraId="2408362F">
            <w:pPr>
              <w:pStyle w:val="39"/>
              <w:spacing w:after="0" w:line="360" w:lineRule="auto"/>
              <w:ind w:firstLine="48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2、地下水环境保护目标</w:t>
            </w:r>
          </w:p>
          <w:p w14:paraId="10242B16">
            <w:pPr>
              <w:pStyle w:val="39"/>
              <w:spacing w:after="0"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根据现场调查，项目厂界500米范围内无地下集中式饮用水水源和热水、矿泉水、温泉水等特殊地下水资源。</w:t>
            </w:r>
          </w:p>
          <w:p w14:paraId="34284D8A">
            <w:pPr>
              <w:pStyle w:val="39"/>
              <w:spacing w:after="0" w:line="360" w:lineRule="auto"/>
              <w:ind w:firstLine="48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3、声环境保护目标</w:t>
            </w:r>
          </w:p>
          <w:p w14:paraId="06172607">
            <w:pPr>
              <w:pStyle w:val="39"/>
              <w:spacing w:after="0"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根据现场调查，</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项目污水处理厂及泵站</w:t>
            </w:r>
            <w:r>
              <w:rPr>
                <w:rFonts w:hint="default" w:ascii="Times New Roman" w:hAnsi="Times New Roman" w:cs="Times New Roman"/>
                <w:color w:val="000000" w:themeColor="text1"/>
                <w:sz w:val="24"/>
                <w:szCs w:val="24"/>
                <w:highlight w:val="none"/>
                <w14:textFill>
                  <w14:solidFill>
                    <w14:schemeClr w14:val="tx1"/>
                  </w14:solidFill>
                </w14:textFill>
              </w:rPr>
              <w:t>厂界50m范围内无声环境保护目标。</w:t>
            </w:r>
          </w:p>
          <w:p w14:paraId="13E3CB72">
            <w:pPr>
              <w:pStyle w:val="39"/>
              <w:spacing w:after="0" w:line="360" w:lineRule="auto"/>
              <w:ind w:firstLine="48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4、生态环境保护目标</w:t>
            </w:r>
          </w:p>
          <w:p w14:paraId="54E99F19">
            <w:pPr>
              <w:spacing w:line="360" w:lineRule="auto"/>
              <w:ind w:firstLine="48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根据对项目所在地的实地勘察，项目用地范围内无生态环境保护目标。</w:t>
            </w:r>
          </w:p>
        </w:tc>
      </w:tr>
      <w:tr w14:paraId="772F8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78" w:type="pct"/>
            <w:noWrap w:val="0"/>
            <w:tcMar>
              <w:left w:w="28" w:type="dxa"/>
              <w:right w:w="28" w:type="dxa"/>
            </w:tcMar>
            <w:vAlign w:val="center"/>
          </w:tcPr>
          <w:p w14:paraId="4F8EF08F">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污染</w:t>
            </w:r>
          </w:p>
          <w:p w14:paraId="2E879F38">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物排</w:t>
            </w:r>
          </w:p>
          <w:p w14:paraId="320D0FD9">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放控</w:t>
            </w:r>
          </w:p>
          <w:p w14:paraId="42C61871">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制标</w:t>
            </w:r>
          </w:p>
          <w:p w14:paraId="59603B19">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准</w:t>
            </w:r>
          </w:p>
        </w:tc>
        <w:tc>
          <w:tcPr>
            <w:tcW w:w="4721" w:type="pct"/>
            <w:noWrap w:val="0"/>
            <w:vAlign w:val="center"/>
          </w:tcPr>
          <w:p w14:paraId="5BBD923A">
            <w:pPr>
              <w:keepNext w:val="0"/>
              <w:keepLines w:val="0"/>
              <w:pageBreakBefore w:val="0"/>
              <w:widowControl w:val="0"/>
              <w:kinsoku/>
              <w:wordWrap/>
              <w:overflowPunct/>
              <w:topLinePunct w:val="0"/>
              <w:autoSpaceDE/>
              <w:autoSpaceDN/>
              <w:bidi w:val="0"/>
              <w:adjustRightInd/>
              <w:snapToGrid/>
              <w:spacing w:line="100" w:lineRule="exact"/>
              <w:ind w:firstLine="422" w:firstLineChars="200"/>
              <w:textAlignment w:val="auto"/>
              <w:rPr>
                <w:rFonts w:hint="default" w:ascii="Times New Roman" w:hAnsi="Times New Roman" w:cs="Times New Roman"/>
                <w:b/>
                <w:color w:val="000000" w:themeColor="text1"/>
                <w:szCs w:val="21"/>
                <w:highlight w:val="none"/>
                <w14:textFill>
                  <w14:solidFill>
                    <w14:schemeClr w14:val="tx1"/>
                  </w14:solidFill>
                </w14:textFill>
              </w:rPr>
            </w:pPr>
          </w:p>
          <w:p w14:paraId="213A0F39">
            <w:pPr>
              <w:spacing w:line="360" w:lineRule="auto"/>
              <w:ind w:firstLine="482" w:firstLineChars="20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1、大气污染物排放标准</w:t>
            </w:r>
          </w:p>
          <w:p w14:paraId="0CCA3F91">
            <w:pPr>
              <w:spacing w:line="360" w:lineRule="auto"/>
              <w:ind w:firstLine="480" w:firstLineChars="200"/>
              <w:rPr>
                <w:rFonts w:hint="eastAsia" w:ascii="Times New Roman" w:hAnsi="Times New Roman" w:eastAsia="宋体" w:cs="Times New Roman"/>
                <w:color w:val="000000" w:themeColor="text1"/>
                <w:kern w:val="0"/>
                <w:sz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highlight w:val="none"/>
                <w:lang w:bidi="ar"/>
                <w14:textFill>
                  <w14:solidFill>
                    <w14:schemeClr w14:val="tx1"/>
                  </w14:solidFill>
                </w14:textFill>
              </w:rPr>
              <w:t>①</w:t>
            </w:r>
            <w:r>
              <w:rPr>
                <w:rFonts w:hint="eastAsia" w:ascii="Times New Roman" w:hAnsi="Times New Roman" w:eastAsia="宋体" w:cs="Times New Roman"/>
                <w:color w:val="000000" w:themeColor="text1"/>
                <w:kern w:val="0"/>
                <w:sz w:val="24"/>
                <w:highlight w:val="none"/>
                <w:lang w:val="en-US" w:eastAsia="zh-CN" w:bidi="ar"/>
                <w14:textFill>
                  <w14:solidFill>
                    <w14:schemeClr w14:val="tx1"/>
                  </w14:solidFill>
                </w14:textFill>
              </w:rPr>
              <w:t>切割粉尘、</w:t>
            </w:r>
            <w:r>
              <w:rPr>
                <w:rFonts w:hint="default" w:ascii="Times New Roman" w:hAnsi="Times New Roman" w:eastAsia="宋体" w:cs="Times New Roman"/>
                <w:color w:val="000000" w:themeColor="text1"/>
                <w:kern w:val="0"/>
                <w:sz w:val="24"/>
                <w:highlight w:val="none"/>
                <w:lang w:bidi="ar"/>
                <w14:textFill>
                  <w14:solidFill>
                    <w14:schemeClr w14:val="tx1"/>
                  </w14:solidFill>
                </w14:textFill>
              </w:rPr>
              <w:t>焊接烟尘</w:t>
            </w:r>
            <w:r>
              <w:rPr>
                <w:rFonts w:hint="eastAsia" w:ascii="Times New Roman" w:hAnsi="Times New Roman" w:eastAsia="宋体" w:cs="Times New Roman"/>
                <w:color w:val="000000" w:themeColor="text1"/>
                <w:kern w:val="0"/>
                <w:sz w:val="24"/>
                <w:highlight w:val="none"/>
                <w:lang w:val="en-US" w:eastAsia="zh-CN" w:bidi="ar"/>
                <w14:textFill>
                  <w14:solidFill>
                    <w14:schemeClr w14:val="tx1"/>
                  </w14:solidFill>
                </w14:textFill>
              </w:rPr>
              <w:t>以及抛光打磨</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粉尘</w:t>
            </w:r>
          </w:p>
          <w:p w14:paraId="1C8504B2">
            <w:pPr>
              <w:spacing w:line="360" w:lineRule="auto"/>
              <w:ind w:firstLine="480" w:firstLineChars="200"/>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highlight w:val="none"/>
                <w:lang w:bidi="ar"/>
                <w14:textFill>
                  <w14:solidFill>
                    <w14:schemeClr w14:val="tx1"/>
                  </w14:solidFill>
                </w14:textFill>
              </w:rPr>
              <w:t>本项目</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抛光打磨工序产生的粉尘厂界颗粒物无组织排放执行</w:t>
            </w:r>
            <w:r>
              <w:rPr>
                <w:rFonts w:hint="default" w:ascii="Times New Roman" w:hAnsi="Times New Roman" w:eastAsia="宋体" w:cs="Times New Roman"/>
                <w:color w:val="000000" w:themeColor="text1"/>
                <w:kern w:val="0"/>
                <w:sz w:val="24"/>
                <w:highlight w:val="none"/>
                <w:lang w:bidi="ar"/>
                <w14:textFill>
                  <w14:solidFill>
                    <w14:schemeClr w14:val="tx1"/>
                  </w14:solidFill>
                </w14:textFill>
              </w:rPr>
              <w:t>广东省《大气污染物排放限值》（DB44/27-2001）第二时段无组织排放监控浓度限值要求</w:t>
            </w:r>
            <w:r>
              <w:rPr>
                <w:rFonts w:hint="default" w:ascii="Times New Roman" w:hAnsi="Times New Roman" w:eastAsia="宋体" w:cs="Times New Roman"/>
                <w:color w:val="000000" w:themeColor="text1"/>
                <w:kern w:val="0"/>
                <w:sz w:val="24"/>
                <w:highlight w:val="none"/>
                <w:lang w:eastAsia="zh-CN" w:bidi="ar"/>
                <w14:textFill>
                  <w14:solidFill>
                    <w14:schemeClr w14:val="tx1"/>
                  </w14:solidFill>
                </w14:textFill>
              </w:rPr>
              <w:t>。</w:t>
            </w:r>
          </w:p>
          <w:p w14:paraId="76E3A965">
            <w:pPr>
              <w:numPr>
                <w:ilvl w:val="0"/>
                <w:numId w:val="14"/>
              </w:numPr>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广东省《大气污染物排放限值》</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（DB44/27-2001）排放限值标准</w:t>
            </w:r>
          </w:p>
          <w:tbl>
            <w:tblPr>
              <w:tblStyle w:val="44"/>
              <w:tblW w:w="83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7"/>
              <w:gridCol w:w="1831"/>
              <w:gridCol w:w="1100"/>
              <w:gridCol w:w="1309"/>
              <w:gridCol w:w="1614"/>
              <w:gridCol w:w="1556"/>
            </w:tblGrid>
            <w:tr w14:paraId="02BE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56" w:type="pct"/>
                  <w:vMerge w:val="restart"/>
                  <w:tcBorders>
                    <w:top w:val="single" w:color="000000" w:sz="4" w:space="0"/>
                    <w:left w:val="single" w:color="000000" w:sz="4" w:space="0"/>
                    <w:right w:val="single" w:color="000000" w:sz="4" w:space="0"/>
                  </w:tcBorders>
                  <w:noWrap w:val="0"/>
                  <w:vAlign w:val="center"/>
                </w:tcPr>
                <w:p w14:paraId="48FA01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污染物</w:t>
                  </w:r>
                </w:p>
              </w:tc>
              <w:tc>
                <w:tcPr>
                  <w:tcW w:w="1098" w:type="pct"/>
                  <w:vMerge w:val="restart"/>
                  <w:tcBorders>
                    <w:top w:val="single" w:color="000000" w:sz="4" w:space="0"/>
                    <w:left w:val="single" w:color="000000" w:sz="4" w:space="0"/>
                    <w:right w:val="single" w:color="000000" w:sz="4" w:space="0"/>
                  </w:tcBorders>
                  <w:noWrap w:val="0"/>
                  <w:vAlign w:val="center"/>
                </w:tcPr>
                <w:p w14:paraId="711171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排气</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筒</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编号</w:t>
                  </w:r>
                </w:p>
              </w:tc>
              <w:tc>
                <w:tcPr>
                  <w:tcW w:w="660" w:type="pct"/>
                  <w:vMerge w:val="restart"/>
                  <w:tcBorders>
                    <w:top w:val="single" w:color="000000" w:sz="4" w:space="0"/>
                    <w:left w:val="single" w:color="000000" w:sz="4" w:space="0"/>
                    <w:right w:val="single" w:color="000000" w:sz="4" w:space="0"/>
                  </w:tcBorders>
                  <w:noWrap w:val="0"/>
                  <w:vAlign w:val="center"/>
                </w:tcPr>
                <w:p w14:paraId="059832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排气</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筒</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高度/m</w:t>
                  </w:r>
                </w:p>
              </w:tc>
              <w:tc>
                <w:tcPr>
                  <w:tcW w:w="1753" w:type="pct"/>
                  <w:gridSpan w:val="2"/>
                  <w:tcBorders>
                    <w:top w:val="single" w:color="000000" w:sz="4" w:space="0"/>
                    <w:left w:val="single" w:color="000000" w:sz="4" w:space="0"/>
                    <w:bottom w:val="single" w:color="000000" w:sz="4" w:space="0"/>
                    <w:right w:val="single" w:color="000000" w:sz="4" w:space="0"/>
                  </w:tcBorders>
                  <w:noWrap w:val="0"/>
                  <w:vAlign w:val="center"/>
                </w:tcPr>
                <w:p w14:paraId="793E48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有组织排放</w:t>
                  </w:r>
                </w:p>
              </w:tc>
              <w:tc>
                <w:tcPr>
                  <w:tcW w:w="930" w:type="pct"/>
                  <w:vMerge w:val="restart"/>
                  <w:tcBorders>
                    <w:top w:val="single" w:color="000000" w:sz="4" w:space="0"/>
                    <w:left w:val="single" w:color="000000" w:sz="4" w:space="0"/>
                    <w:right w:val="single" w:color="000000" w:sz="4" w:space="0"/>
                  </w:tcBorders>
                  <w:noWrap w:val="0"/>
                  <w:vAlign w:val="center"/>
                </w:tcPr>
                <w:p w14:paraId="47D6AB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无组织排放监控浓度限值(mg/m³)</w:t>
                  </w:r>
                </w:p>
              </w:tc>
            </w:tr>
            <w:tr w14:paraId="1A61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jc w:val="center"/>
              </w:trPr>
              <w:tc>
                <w:tcPr>
                  <w:tcW w:w="556" w:type="pct"/>
                  <w:vMerge w:val="continue"/>
                  <w:tcBorders>
                    <w:left w:val="single" w:color="000000" w:sz="4" w:space="0"/>
                    <w:bottom w:val="single" w:color="000000" w:sz="4" w:space="0"/>
                    <w:right w:val="single" w:color="000000" w:sz="4" w:space="0"/>
                  </w:tcBorders>
                  <w:noWrap w:val="0"/>
                  <w:vAlign w:val="center"/>
                </w:tcPr>
                <w:p w14:paraId="41784E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p>
              </w:tc>
              <w:tc>
                <w:tcPr>
                  <w:tcW w:w="1098" w:type="pct"/>
                  <w:vMerge w:val="continue"/>
                  <w:tcBorders>
                    <w:left w:val="single" w:color="000000" w:sz="4" w:space="0"/>
                    <w:bottom w:val="single" w:color="000000" w:sz="4" w:space="0"/>
                    <w:right w:val="single" w:color="000000" w:sz="4" w:space="0"/>
                  </w:tcBorders>
                  <w:noWrap w:val="0"/>
                  <w:vAlign w:val="center"/>
                </w:tcPr>
                <w:p w14:paraId="02B417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p>
              </w:tc>
              <w:tc>
                <w:tcPr>
                  <w:tcW w:w="660" w:type="pct"/>
                  <w:vMerge w:val="continue"/>
                  <w:tcBorders>
                    <w:left w:val="single" w:color="000000" w:sz="4" w:space="0"/>
                    <w:bottom w:val="single" w:color="000000" w:sz="4" w:space="0"/>
                    <w:right w:val="single" w:color="000000" w:sz="4" w:space="0"/>
                  </w:tcBorders>
                  <w:noWrap w:val="0"/>
                  <w:vAlign w:val="center"/>
                </w:tcPr>
                <w:p w14:paraId="3AB94C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C914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浓度限值(mg/m³)</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14:paraId="11439F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排放速率（kg/h）</w:t>
                  </w:r>
                </w:p>
              </w:tc>
              <w:tc>
                <w:tcPr>
                  <w:tcW w:w="930" w:type="pct"/>
                  <w:vMerge w:val="continue"/>
                  <w:tcBorders>
                    <w:left w:val="single" w:color="000000" w:sz="4" w:space="0"/>
                    <w:bottom w:val="single" w:color="000000" w:sz="4" w:space="0"/>
                    <w:right w:val="single" w:color="000000" w:sz="4" w:space="0"/>
                  </w:tcBorders>
                  <w:noWrap w:val="0"/>
                  <w:vAlign w:val="center"/>
                </w:tcPr>
                <w:p w14:paraId="5AEBEA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p>
              </w:tc>
            </w:tr>
            <w:tr w14:paraId="2399D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56" w:type="pct"/>
                  <w:tcBorders>
                    <w:top w:val="single" w:color="000000" w:sz="4" w:space="0"/>
                    <w:left w:val="single" w:color="000000" w:sz="4" w:space="0"/>
                    <w:bottom w:val="single" w:color="000000" w:sz="4" w:space="0"/>
                    <w:right w:val="single" w:color="000000" w:sz="4" w:space="0"/>
                  </w:tcBorders>
                  <w:noWrap w:val="0"/>
                  <w:vAlign w:val="center"/>
                </w:tcPr>
                <w:p w14:paraId="26E06A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1098" w:type="pct"/>
                  <w:tcBorders>
                    <w:top w:val="single" w:color="000000" w:sz="4" w:space="0"/>
                    <w:left w:val="single" w:color="000000" w:sz="4" w:space="0"/>
                    <w:bottom w:val="single" w:color="000000" w:sz="4" w:space="0"/>
                    <w:right w:val="single" w:color="000000" w:sz="4" w:space="0"/>
                  </w:tcBorders>
                  <w:noWrap w:val="0"/>
                  <w:vAlign w:val="center"/>
                </w:tcPr>
                <w:p w14:paraId="78EFA7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5B2AEA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D4088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120</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14:paraId="5E01D1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1.45*</w:t>
                  </w:r>
                </w:p>
              </w:tc>
              <w:tc>
                <w:tcPr>
                  <w:tcW w:w="930" w:type="pct"/>
                  <w:tcBorders>
                    <w:top w:val="single" w:color="000000" w:sz="4" w:space="0"/>
                    <w:left w:val="single" w:color="000000" w:sz="4" w:space="0"/>
                    <w:bottom w:val="single" w:color="000000" w:sz="4" w:space="0"/>
                    <w:right w:val="single" w:color="000000" w:sz="4" w:space="0"/>
                  </w:tcBorders>
                  <w:noWrap w:val="0"/>
                  <w:vAlign w:val="center"/>
                </w:tcPr>
                <w:p w14:paraId="553642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1.0</w:t>
                  </w:r>
                </w:p>
              </w:tc>
            </w:tr>
            <w:tr w14:paraId="1BA9D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100B59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cente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*本项目排气筒未高于周边200m建筑</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m以上，因此排放速率按50%折算。</w:t>
                  </w:r>
                </w:p>
              </w:tc>
            </w:tr>
          </w:tbl>
          <w:p w14:paraId="0C7730B6">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000000" w:themeColor="text1"/>
                <w:kern w:val="0"/>
                <w:sz w:val="24"/>
                <w:highlight w:val="none"/>
                <w:lang w:bidi="ar"/>
                <w14:textFill>
                  <w14:solidFill>
                    <w14:schemeClr w14:val="tx1"/>
                  </w14:solidFill>
                </w14:textFill>
              </w:rPr>
            </w:pPr>
          </w:p>
          <w:p w14:paraId="0E7E8B0B">
            <w:pPr>
              <w:spacing w:line="360" w:lineRule="auto"/>
              <w:ind w:firstLine="480" w:firstLineChars="200"/>
              <w:rPr>
                <w:rFonts w:hint="eastAsia" w:ascii="Times New Roman" w:hAnsi="Times New Roman" w:eastAsia="宋体" w:cs="Times New Roman"/>
                <w:color w:val="000000" w:themeColor="text1"/>
                <w:kern w:val="0"/>
                <w:sz w:val="24"/>
                <w:highlight w:val="none"/>
                <w:lang w:eastAsia="zh-CN" w:bidi="ar"/>
                <w14:textFill>
                  <w14:solidFill>
                    <w14:schemeClr w14:val="tx1"/>
                  </w14:solidFill>
                </w14:textFill>
              </w:rPr>
            </w:pPr>
            <w:r>
              <w:rPr>
                <w:rFonts w:hint="default" w:ascii="Times New Roman" w:hAnsi="Times New Roman" w:eastAsia="宋体" w:cs="Times New Roman"/>
                <w:color w:val="000000" w:themeColor="text1"/>
                <w:kern w:val="0"/>
                <w:sz w:val="24"/>
                <w:highlight w:val="none"/>
                <w:lang w:bidi="ar"/>
                <w14:textFill>
                  <w14:solidFill>
                    <w14:schemeClr w14:val="tx1"/>
                  </w14:solidFill>
                </w14:textFill>
              </w:rPr>
              <w:t>②</w:t>
            </w:r>
            <w:r>
              <w:rPr>
                <w:rFonts w:hint="eastAsia" w:cs="Times New Roman"/>
                <w:color w:val="000000" w:themeColor="text1"/>
                <w:kern w:val="0"/>
                <w:sz w:val="24"/>
                <w:highlight w:val="none"/>
                <w:lang w:val="en-US" w:eastAsia="zh-CN" w:bidi="ar"/>
                <w14:textFill>
                  <w14:solidFill>
                    <w14:schemeClr w14:val="tx1"/>
                  </w14:solidFill>
                </w14:textFill>
              </w:rPr>
              <w:t>喷漆</w:t>
            </w:r>
            <w:r>
              <w:rPr>
                <w:rFonts w:hint="default" w:ascii="Times New Roman" w:hAnsi="Times New Roman" w:eastAsia="宋体" w:cs="Times New Roman"/>
                <w:color w:val="000000" w:themeColor="text1"/>
                <w:kern w:val="0"/>
                <w:sz w:val="24"/>
                <w:highlight w:val="none"/>
                <w:lang w:bidi="ar"/>
                <w14:textFill>
                  <w14:solidFill>
                    <w14:schemeClr w14:val="tx1"/>
                  </w14:solidFill>
                </w14:textFill>
              </w:rPr>
              <w:t>废气</w:t>
            </w:r>
          </w:p>
          <w:p w14:paraId="4A868A44">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喷</w:t>
            </w:r>
            <w:r>
              <w:rPr>
                <w:rFonts w:hint="eastAsia" w:cs="Times New Roman"/>
                <w:color w:val="000000" w:themeColor="text1"/>
                <w:kern w:val="0"/>
                <w:sz w:val="24"/>
                <w:szCs w:val="24"/>
                <w:lang w:val="en-US" w:eastAsia="zh-CN" w:bidi="ar"/>
                <w14:textFill>
                  <w14:solidFill>
                    <w14:schemeClr w14:val="tx1"/>
                  </w14:solidFill>
                </w14:textFill>
              </w:rPr>
              <w:t>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废气通过排气筒</w:t>
            </w:r>
            <w:r>
              <w:rPr>
                <w:rFonts w:hint="eastAsia" w:cs="Times New Roman"/>
                <w:color w:val="000000" w:themeColor="text1"/>
                <w:sz w:val="24"/>
                <w:szCs w:val="24"/>
                <w:lang w:val="en-US" w:eastAsia="zh-CN"/>
                <w14:textFill>
                  <w14:solidFill>
                    <w14:schemeClr w14:val="tx1"/>
                  </w14:solidFill>
                </w14:textFill>
              </w:rPr>
              <w:t>DA001</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排放，废气排放因子颗粒物、非甲烷总烃（以NMHC表征）、苯系物（二甲苯统一表征为苯系物）执行</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广东省《固定污染源挥发性有机物综合排放标准》（DB44/2367-2022）中表</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1挥发性有机物排放限值。</w:t>
            </w:r>
            <w:r>
              <w:rPr>
                <w:rFonts w:hint="default" w:ascii="Times New Roman" w:hAnsi="Times New Roman" w:eastAsia="宋体" w:cs="Times New Roman"/>
                <w:color w:val="000000" w:themeColor="text1"/>
                <w:sz w:val="24"/>
                <w:szCs w:val="24"/>
                <w14:textFill>
                  <w14:solidFill>
                    <w14:schemeClr w14:val="tx1"/>
                  </w14:solidFill>
                </w14:textFill>
              </w:rPr>
              <w:t>臭气浓度有组织排放执行《恶臭污染物排放标准》（GB14554-93）中表2恶臭污染物排放标准值</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27B8431B">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③</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固化</w:t>
            </w:r>
            <w:r>
              <w:rPr>
                <w:rFonts w:hint="default" w:ascii="Times New Roman" w:hAnsi="Times New Roman" w:eastAsia="宋体" w:cs="Times New Roman"/>
                <w:color w:val="000000" w:themeColor="text1"/>
                <w:sz w:val="24"/>
                <w:szCs w:val="24"/>
                <w14:textFill>
                  <w14:solidFill>
                    <w14:schemeClr w14:val="tx1"/>
                  </w14:solidFill>
                </w14:textFill>
              </w:rPr>
              <w:t>废气</w:t>
            </w:r>
          </w:p>
          <w:p w14:paraId="0C12C1CF">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固化废气</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通过排气筒</w:t>
            </w:r>
            <w:r>
              <w:rPr>
                <w:rFonts w:hint="eastAsia" w:cs="Times New Roman"/>
                <w:color w:val="000000" w:themeColor="text1"/>
                <w:sz w:val="24"/>
                <w:szCs w:val="24"/>
                <w:lang w:val="en-US" w:eastAsia="zh-CN"/>
                <w14:textFill>
                  <w14:solidFill>
                    <w14:schemeClr w14:val="tx1"/>
                  </w14:solidFill>
                </w14:textFill>
              </w:rPr>
              <w:t>DA002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排放，废气排放因子</w:t>
            </w:r>
            <w:r>
              <w:rPr>
                <w:rFonts w:hint="default" w:ascii="Times New Roman" w:hAnsi="Times New Roman" w:eastAsia="宋体" w:cs="Times New Roman"/>
                <w:color w:val="000000" w:themeColor="text1"/>
                <w:sz w:val="24"/>
                <w:szCs w:val="24"/>
                <w14:textFill>
                  <w14:solidFill>
                    <w14:schemeClr w14:val="tx1"/>
                  </w14:solidFill>
                </w14:textFill>
              </w:rPr>
              <w:t>非甲烷总烃、</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苯系物</w:t>
            </w:r>
            <w:r>
              <w:rPr>
                <w:rFonts w:hint="default" w:ascii="Times New Roman" w:hAnsi="Times New Roman" w:eastAsia="宋体" w:cs="Times New Roman"/>
                <w:color w:val="000000" w:themeColor="text1"/>
                <w:sz w:val="24"/>
                <w:szCs w:val="24"/>
                <w14:textFill>
                  <w14:solidFill>
                    <w14:schemeClr w14:val="tx1"/>
                  </w14:solidFill>
                </w14:textFill>
              </w:rPr>
              <w:t>有组织排放执行广东省《固定污染源挥发性有机物综合排放标准》（DB44/2367-2022）表1挥发性有机物排放限值</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臭气浓度有组织排放执行《恶臭污染物排放标准》（GB14554-93）中表2恶臭污染物排放标准值</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2F2D62C7">
            <w:pPr>
              <w:keepNext w:val="0"/>
              <w:keepLines w:val="0"/>
              <w:suppressLineNumbers w:val="0"/>
              <w:tabs>
                <w:tab w:val="left" w:pos="2790"/>
              </w:tabs>
              <w:spacing w:before="0" w:beforeAutospacing="0" w:after="0" w:afterAutospacing="0" w:line="360" w:lineRule="auto"/>
              <w:ind w:left="0" w:right="0" w:firstLine="480" w:firstLineChars="200"/>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厂界无组织：NMHC</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颗粒物、苯系物</w:t>
            </w:r>
            <w:r>
              <w:rPr>
                <w:rFonts w:hint="default" w:ascii="Times New Roman" w:hAnsi="Times New Roman" w:eastAsia="宋体" w:cs="Times New Roman"/>
                <w:color w:val="000000" w:themeColor="text1"/>
                <w:sz w:val="24"/>
                <w:szCs w:val="24"/>
                <w14:textFill>
                  <w14:solidFill>
                    <w14:schemeClr w14:val="tx1"/>
                  </w14:solidFill>
                </w14:textFill>
              </w:rPr>
              <w:t>执行广东省《大气污染物排放限值》（DB44/27-2001）第二时段无组织排放监控浓度限值</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臭气浓度</w:t>
            </w:r>
            <w:r>
              <w:rPr>
                <w:rFonts w:hint="default" w:ascii="Times New Roman" w:hAnsi="Times New Roman" w:eastAsia="宋体" w:cs="Times New Roman"/>
                <w:color w:val="000000" w:themeColor="text1"/>
                <w:sz w:val="24"/>
                <w:szCs w:val="24"/>
                <w14:textFill>
                  <w14:solidFill>
                    <w14:schemeClr w14:val="tx1"/>
                  </w14:solidFill>
                </w14:textFill>
              </w:rPr>
              <w:t>排放执行《恶臭污染物排放标准》（GB14554-93）中表1恶臭污染物厂界标准值二级新扩改建标准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065A8786">
            <w:pPr>
              <w:spacing w:line="360" w:lineRule="auto"/>
              <w:ind w:firstLine="480" w:firstLineChars="200"/>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厂区内</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NMHC</w:t>
            </w:r>
            <w:r>
              <w:rPr>
                <w:rFonts w:hint="default" w:ascii="Times New Roman" w:hAnsi="Times New Roman" w:eastAsia="宋体" w:cs="Times New Roman"/>
                <w:color w:val="000000" w:themeColor="text1"/>
                <w:sz w:val="24"/>
                <w:szCs w:val="24"/>
                <w14:textFill>
                  <w14:solidFill>
                    <w14:schemeClr w14:val="tx1"/>
                  </w14:solidFill>
                </w14:textFill>
              </w:rPr>
              <w:t>执行广东省《固定污染源挥发性有机物综合排放标准》（DB44/2367-2022）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中</w:t>
            </w:r>
            <w:r>
              <w:rPr>
                <w:rFonts w:hint="default" w:ascii="Times New Roman" w:hAnsi="Times New Roman" w:eastAsia="宋体" w:cs="Times New Roman"/>
                <w:color w:val="000000" w:themeColor="text1"/>
                <w:sz w:val="24"/>
                <w:szCs w:val="24"/>
                <w14:textFill>
                  <w14:solidFill>
                    <w14:schemeClr w14:val="tx1"/>
                  </w14:solidFill>
                </w14:textFill>
              </w:rPr>
              <w:t>表3厂区内VOCs无组织排放限值，具体详见下表</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65420FC3">
            <w:pPr>
              <w:numPr>
                <w:ilvl w:val="0"/>
                <w:numId w:val="14"/>
              </w:numPr>
              <w:spacing w:line="240" w:lineRule="auto"/>
              <w:ind w:left="0" w:leftChars="0" w:firstLine="40" w:firstLineChars="0"/>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排气筒</w:t>
            </w:r>
            <w:r>
              <w:rPr>
                <w:rFonts w:hint="eastAsia" w:cs="Times New Roman"/>
                <w:b/>
                <w:color w:val="000000" w:themeColor="text1"/>
                <w:kern w:val="2"/>
                <w:sz w:val="21"/>
                <w:szCs w:val="21"/>
                <w:lang w:val="en-US" w:eastAsia="zh-CN" w:bidi="ar-SA"/>
                <w14:textFill>
                  <w14:solidFill>
                    <w14:schemeClr w14:val="tx1"/>
                  </w14:solidFill>
                </w14:textFill>
              </w:rPr>
              <w:t>DA001</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废气有组织排放执行标准（单位：</w:t>
            </w:r>
            <w:r>
              <w:rPr>
                <w:rFonts w:hint="default" w:ascii="Times New Roman" w:hAnsi="Times New Roman" w:eastAsia="宋体" w:cs="Times New Roman"/>
                <w:b/>
                <w:bCs/>
                <w:color w:val="000000" w:themeColor="text1"/>
                <w:sz w:val="21"/>
                <w:szCs w:val="21"/>
                <w14:textFill>
                  <w14:solidFill>
                    <w14:schemeClr w14:val="tx1"/>
                  </w14:solidFill>
                </w14:textFill>
              </w:rPr>
              <w:t>mg/m</w:t>
            </w:r>
            <w:r>
              <w:rPr>
                <w:rFonts w:hint="eastAsia" w:ascii="Times New Roman" w:hAnsi="Times New Roman" w:eastAsia="宋体" w:cs="Times New Roman"/>
                <w:b/>
                <w:bCs/>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w:t>
            </w:r>
          </w:p>
          <w:tbl>
            <w:tblPr>
              <w:tblStyle w:val="44"/>
              <w:tblW w:w="47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74"/>
              <w:gridCol w:w="1604"/>
              <w:gridCol w:w="2446"/>
              <w:gridCol w:w="782"/>
              <w:gridCol w:w="1033"/>
              <w:gridCol w:w="957"/>
            </w:tblGrid>
            <w:tr w14:paraId="23C1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680" w:type="pct"/>
                  <w:noWrap w:val="0"/>
                  <w:vAlign w:val="center"/>
                </w:tcPr>
                <w:p w14:paraId="05DDCF63">
                  <w:pPr>
                    <w:autoSpaceDE w:val="0"/>
                    <w:autoSpaceDN w:val="0"/>
                    <w:adjustRightInd w:val="0"/>
                    <w:snapToGrid w:val="0"/>
                    <w:jc w:val="center"/>
                    <w:rPr>
                      <w:rFonts w:ascii="Times New Roman" w:hAnsi="Times New Roman" w:eastAsia="宋体" w:cs="Times New Roman"/>
                      <w:b/>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生产工序</w:t>
                  </w:r>
                </w:p>
              </w:tc>
              <w:tc>
                <w:tcPr>
                  <w:tcW w:w="1016" w:type="pct"/>
                  <w:noWrap w:val="0"/>
                  <w:vAlign w:val="center"/>
                </w:tcPr>
                <w:p w14:paraId="13879E3B">
                  <w:pPr>
                    <w:autoSpaceDE w:val="0"/>
                    <w:autoSpaceDN w:val="0"/>
                    <w:adjustRightInd w:val="0"/>
                    <w:snapToGrid w:val="0"/>
                    <w:jc w:val="center"/>
                    <w:rPr>
                      <w:rFonts w:ascii="Times New Roman" w:hAnsi="Times New Roman" w:eastAsia="宋体" w:cs="Times New Roman"/>
                      <w:b/>
                      <w:color w:val="000000" w:themeColor="text1"/>
                      <w:spacing w:val="-2"/>
                      <w:sz w:val="21"/>
                      <w:szCs w:val="21"/>
                      <w:highlight w:val="none"/>
                      <w:lang w:val="en-US" w:eastAsia="en-US"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污染物名称</w:t>
                  </w:r>
                </w:p>
              </w:tc>
              <w:tc>
                <w:tcPr>
                  <w:tcW w:w="1549" w:type="pct"/>
                  <w:noWrap w:val="0"/>
                  <w:vAlign w:val="center"/>
                </w:tcPr>
                <w:p w14:paraId="7AA38634">
                  <w:pPr>
                    <w:autoSpaceDE w:val="0"/>
                    <w:autoSpaceDN w:val="0"/>
                    <w:adjustRightInd w:val="0"/>
                    <w:snapToGrid w:val="0"/>
                    <w:jc w:val="center"/>
                    <w:rPr>
                      <w:rFonts w:hint="eastAsia" w:ascii="Times New Roman" w:hAnsi="Times New Roman" w:eastAsia="宋体" w:cs="Times New Roman"/>
                      <w:b/>
                      <w:color w:val="000000" w:themeColor="text1"/>
                      <w:spacing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执行标准</w:t>
                  </w:r>
                </w:p>
              </w:tc>
              <w:tc>
                <w:tcPr>
                  <w:tcW w:w="495" w:type="pct"/>
                  <w:noWrap w:val="0"/>
                  <w:vAlign w:val="center"/>
                </w:tcPr>
                <w:p w14:paraId="36AD8F62">
                  <w:pPr>
                    <w:autoSpaceDE w:val="0"/>
                    <w:autoSpaceDN w:val="0"/>
                    <w:adjustRightInd w:val="0"/>
                    <w:snapToGrid w:val="0"/>
                    <w:jc w:val="center"/>
                    <w:rPr>
                      <w:rFonts w:ascii="Times New Roman" w:hAnsi="Times New Roman" w:eastAsia="宋体" w:cs="Times New Roman"/>
                      <w:b/>
                      <w:color w:val="000000" w:themeColor="text1"/>
                      <w:spacing w:val="-2"/>
                      <w:sz w:val="21"/>
                      <w:szCs w:val="21"/>
                      <w:highlight w:val="none"/>
                      <w:lang w:val="en-US" w:eastAsia="en-US"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排放高度</w:t>
                  </w:r>
                  <w:r>
                    <w:rPr>
                      <w:rFonts w:ascii="Times New Roman" w:hAnsi="Times New Roman" w:eastAsia="宋体" w:cs="Times New Roman"/>
                      <w:b/>
                      <w:color w:val="000000" w:themeColor="text1"/>
                      <w:sz w:val="21"/>
                      <w:szCs w:val="21"/>
                      <w:highlight w:val="none"/>
                      <w:lang w:eastAsia="en-US"/>
                      <w14:textFill>
                        <w14:solidFill>
                          <w14:schemeClr w14:val="tx1"/>
                        </w14:solidFill>
                      </w14:textFill>
                    </w:rPr>
                    <w:t>（m）</w:t>
                  </w:r>
                </w:p>
              </w:tc>
              <w:tc>
                <w:tcPr>
                  <w:tcW w:w="654" w:type="pct"/>
                  <w:noWrap w:val="0"/>
                  <w:vAlign w:val="center"/>
                </w:tcPr>
                <w:p w14:paraId="7918ECEB">
                  <w:pPr>
                    <w:tabs>
                      <w:tab w:val="left" w:pos="552"/>
                    </w:tabs>
                    <w:autoSpaceDE w:val="0"/>
                    <w:autoSpaceDN w:val="0"/>
                    <w:adjustRightInd w:val="0"/>
                    <w:snapToGrid w:val="0"/>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浓度</w:t>
                  </w:r>
                </w:p>
                <w:p w14:paraId="043B1158">
                  <w:pPr>
                    <w:autoSpaceDE w:val="0"/>
                    <w:autoSpaceDN w:val="0"/>
                    <w:adjustRightInd w:val="0"/>
                    <w:snapToGrid w:val="0"/>
                    <w:jc w:val="center"/>
                    <w:rPr>
                      <w:rFonts w:ascii="Times New Roman" w:hAnsi="Times New Roman" w:eastAsia="宋体" w:cs="Times New Roman"/>
                      <w:b/>
                      <w:color w:val="000000" w:themeColor="text1"/>
                      <w:sz w:val="21"/>
                      <w:szCs w:val="21"/>
                      <w:highlight w:val="none"/>
                      <w:lang w:eastAsia="en-US"/>
                      <w14:textFill>
                        <w14:solidFill>
                          <w14:schemeClr w14:val="tx1"/>
                        </w14:solidFill>
                      </w14:textFill>
                    </w:rPr>
                  </w:pPr>
                  <w:r>
                    <w:rPr>
                      <w:rFonts w:ascii="Times New Roman" w:hAnsi="Times New Roman" w:eastAsia="宋体" w:cs="Times New Roman"/>
                      <w:b/>
                      <w:color w:val="000000" w:themeColor="text1"/>
                      <w:sz w:val="21"/>
                      <w:szCs w:val="21"/>
                      <w:highlight w:val="none"/>
                      <w:lang w:eastAsia="en-US"/>
                      <w14:textFill>
                        <w14:solidFill>
                          <w14:schemeClr w14:val="tx1"/>
                        </w14:solidFill>
                      </w14:textFill>
                    </w:rPr>
                    <w:t>（mg/m</w:t>
                  </w:r>
                  <w:r>
                    <w:rPr>
                      <w:rFonts w:ascii="Times New Roman" w:hAnsi="Times New Roman" w:eastAsia="宋体" w:cs="Times New Roman"/>
                      <w:b/>
                      <w:color w:val="000000" w:themeColor="text1"/>
                      <w:sz w:val="21"/>
                      <w:szCs w:val="21"/>
                      <w:highlight w:val="none"/>
                      <w:vertAlign w:val="superscript"/>
                      <w:lang w:eastAsia="en-US"/>
                      <w14:textFill>
                        <w14:solidFill>
                          <w14:schemeClr w14:val="tx1"/>
                        </w14:solidFill>
                      </w14:textFill>
                    </w:rPr>
                    <w:t>3</w:t>
                  </w:r>
                  <w:r>
                    <w:rPr>
                      <w:rFonts w:ascii="Times New Roman" w:hAnsi="Times New Roman" w:eastAsia="宋体" w:cs="Times New Roman"/>
                      <w:b/>
                      <w:color w:val="000000" w:themeColor="text1"/>
                      <w:sz w:val="21"/>
                      <w:szCs w:val="21"/>
                      <w:highlight w:val="none"/>
                      <w:lang w:eastAsia="en-US"/>
                      <w14:textFill>
                        <w14:solidFill>
                          <w14:schemeClr w14:val="tx1"/>
                        </w14:solidFill>
                      </w14:textFill>
                    </w:rPr>
                    <w:t>）</w:t>
                  </w:r>
                </w:p>
              </w:tc>
              <w:tc>
                <w:tcPr>
                  <w:tcW w:w="605" w:type="pct"/>
                  <w:noWrap w:val="0"/>
                  <w:vAlign w:val="center"/>
                </w:tcPr>
                <w:p w14:paraId="4438F06B">
                  <w:pPr>
                    <w:autoSpaceDE w:val="0"/>
                    <w:autoSpaceDN w:val="0"/>
                    <w:adjustRightInd w:val="0"/>
                    <w:snapToGrid w:val="0"/>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速率</w:t>
                  </w:r>
                </w:p>
                <w:p w14:paraId="53558C30">
                  <w:pPr>
                    <w:autoSpaceDE w:val="0"/>
                    <w:autoSpaceDN w:val="0"/>
                    <w:adjustRightInd w:val="0"/>
                    <w:snapToGrid w:val="0"/>
                    <w:jc w:val="center"/>
                    <w:rPr>
                      <w:rFonts w:ascii="Times New Roman" w:hAnsi="Times New Roman" w:eastAsia="宋体" w:cs="Times New Roman"/>
                      <w:b/>
                      <w:color w:val="000000" w:themeColor="text1"/>
                      <w:sz w:val="21"/>
                      <w:szCs w:val="21"/>
                      <w:highlight w:val="none"/>
                      <w:lang w:eastAsia="en-US"/>
                      <w14:textFill>
                        <w14:solidFill>
                          <w14:schemeClr w14:val="tx1"/>
                        </w14:solidFill>
                      </w14:textFill>
                    </w:rPr>
                  </w:pPr>
                  <w:r>
                    <w:rPr>
                      <w:rFonts w:ascii="Times New Roman" w:hAnsi="Times New Roman" w:eastAsia="宋体" w:cs="Times New Roman"/>
                      <w:b/>
                      <w:color w:val="000000" w:themeColor="text1"/>
                      <w:sz w:val="21"/>
                      <w:szCs w:val="21"/>
                      <w:highlight w:val="none"/>
                      <w:lang w:eastAsia="en-US"/>
                      <w14:textFill>
                        <w14:solidFill>
                          <w14:schemeClr w14:val="tx1"/>
                        </w14:solidFill>
                      </w14:textFill>
                    </w:rPr>
                    <w:t>（kg/h）</w:t>
                  </w:r>
                </w:p>
              </w:tc>
            </w:tr>
            <w:tr w14:paraId="1E9C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680" w:type="pct"/>
                  <w:vMerge w:val="restart"/>
                  <w:noWrap w:val="0"/>
                  <w:vAlign w:val="center"/>
                </w:tcPr>
                <w:p w14:paraId="6BE73945">
                  <w:pPr>
                    <w:autoSpaceDE w:val="0"/>
                    <w:autoSpaceDN w:val="0"/>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喷漆</w:t>
                  </w:r>
                </w:p>
              </w:tc>
              <w:tc>
                <w:tcPr>
                  <w:tcW w:w="1016" w:type="pct"/>
                  <w:noWrap w:val="0"/>
                  <w:vAlign w:val="center"/>
                </w:tcPr>
                <w:p w14:paraId="50500408">
                  <w:pPr>
                    <w:widowControl/>
                    <w:wordWrap w:val="0"/>
                    <w:topLinePunct/>
                    <w:jc w:val="center"/>
                    <w:textAlignment w:val="center"/>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t>颗粒物</w:t>
                  </w:r>
                </w:p>
              </w:tc>
              <w:tc>
                <w:tcPr>
                  <w:tcW w:w="1549" w:type="pct"/>
                  <w:noWrap w:val="0"/>
                  <w:vAlign w:val="center"/>
                </w:tcPr>
                <w:p w14:paraId="1A292075">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广东省《大气污染物排放限值》（DB44/27-2001）第二时段</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二级</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排放限值</w:t>
                  </w:r>
                </w:p>
              </w:tc>
              <w:tc>
                <w:tcPr>
                  <w:tcW w:w="495" w:type="pct"/>
                  <w:vMerge w:val="restart"/>
                  <w:noWrap w:val="0"/>
                  <w:vAlign w:val="center"/>
                </w:tcPr>
                <w:p w14:paraId="54C68737">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15</w:t>
                  </w:r>
                </w:p>
              </w:tc>
              <w:tc>
                <w:tcPr>
                  <w:tcW w:w="654" w:type="pct"/>
                  <w:noWrap w:val="0"/>
                  <w:vAlign w:val="center"/>
                </w:tcPr>
                <w:p w14:paraId="71293E9F">
                  <w:pPr>
                    <w:autoSpaceDE w:val="0"/>
                    <w:autoSpaceDN w:val="0"/>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w:t>
                  </w:r>
                </w:p>
              </w:tc>
              <w:tc>
                <w:tcPr>
                  <w:tcW w:w="605" w:type="pct"/>
                  <w:noWrap w:val="0"/>
                  <w:vAlign w:val="center"/>
                </w:tcPr>
                <w:p w14:paraId="452F5457">
                  <w:pPr>
                    <w:autoSpaceDE w:val="0"/>
                    <w:autoSpaceDN w:val="0"/>
                    <w:adjustRightInd w:val="0"/>
                    <w:snapToGrid w:val="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1.45*</w:t>
                  </w:r>
                </w:p>
              </w:tc>
            </w:tr>
            <w:tr w14:paraId="62AD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680" w:type="pct"/>
                  <w:vMerge w:val="continue"/>
                  <w:noWrap w:val="0"/>
                  <w:vAlign w:val="center"/>
                </w:tcPr>
                <w:p w14:paraId="6A633AE1">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6" w:type="pct"/>
                  <w:noWrap w:val="0"/>
                  <w:vAlign w:val="center"/>
                </w:tcPr>
                <w:p w14:paraId="746249A5">
                  <w:pPr>
                    <w:widowControl/>
                    <w:wordWrap w:val="0"/>
                    <w:topLinePunct/>
                    <w:jc w:val="center"/>
                    <w:textAlignment w:val="center"/>
                    <w:rPr>
                      <w:rFonts w:ascii="Times New Roman" w:hAnsi="Times New Roman" w:eastAsia="宋体" w:cs="Times New Roman"/>
                      <w:color w:val="000000" w:themeColor="text1"/>
                      <w:sz w:val="21"/>
                      <w:szCs w:val="21"/>
                      <w:highlight w:val="none"/>
                      <w:lang w:bidi="ar"/>
                      <w14:textFill>
                        <w14:solidFill>
                          <w14:schemeClr w14:val="tx1"/>
                        </w14:solidFill>
                      </w14:textFill>
                    </w:rPr>
                  </w:pPr>
                  <w:r>
                    <w:rPr>
                      <w:rFonts w:ascii="Times New Roman" w:hAnsi="Times New Roman" w:eastAsia="宋体" w:cs="Times New Roman"/>
                      <w:color w:val="000000" w:themeColor="text1"/>
                      <w:sz w:val="21"/>
                      <w:szCs w:val="21"/>
                      <w:highlight w:val="none"/>
                      <w:lang w:bidi="ar"/>
                      <w14:textFill>
                        <w14:solidFill>
                          <w14:schemeClr w14:val="tx1"/>
                        </w14:solidFill>
                      </w14:textFill>
                    </w:rPr>
                    <w:t>NMHC</w:t>
                  </w:r>
                </w:p>
              </w:tc>
              <w:tc>
                <w:tcPr>
                  <w:tcW w:w="1549" w:type="pct"/>
                  <w:vMerge w:val="restart"/>
                  <w:noWrap w:val="0"/>
                  <w:vAlign w:val="center"/>
                </w:tcPr>
                <w:p w14:paraId="0D5F4665">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sz w:val="21"/>
                      <w:szCs w:val="21"/>
                      <w:highlight w:val="none"/>
                      <w:lang w:bidi="ar"/>
                      <w14:textFill>
                        <w14:solidFill>
                          <w14:schemeClr w14:val="tx1"/>
                        </w14:solidFill>
                      </w14:textFill>
                    </w:rPr>
                    <w:t>广东省《固定污染源挥发性有机物综合排放标准》（DB44/2367-2022）表1挥发性有机物排放限值</w:t>
                  </w:r>
                </w:p>
              </w:tc>
              <w:tc>
                <w:tcPr>
                  <w:tcW w:w="495" w:type="pct"/>
                  <w:vMerge w:val="continue"/>
                  <w:noWrap w:val="0"/>
                  <w:vAlign w:val="center"/>
                </w:tcPr>
                <w:p w14:paraId="247DA758">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54" w:type="pct"/>
                  <w:noWrap w:val="0"/>
                  <w:vAlign w:val="center"/>
                </w:tcPr>
                <w:p w14:paraId="7172186C">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w:t>
                  </w:r>
                  <w:r>
                    <w:rPr>
                      <w:rFonts w:ascii="Times New Roman" w:hAnsi="Times New Roman" w:eastAsia="宋体" w:cs="Times New Roman"/>
                      <w:color w:val="000000" w:themeColor="text1"/>
                      <w:sz w:val="21"/>
                      <w:szCs w:val="21"/>
                      <w:highlight w:val="none"/>
                      <w14:textFill>
                        <w14:solidFill>
                          <w14:schemeClr w14:val="tx1"/>
                        </w14:solidFill>
                      </w14:textFill>
                    </w:rPr>
                    <w:t>0</w:t>
                  </w:r>
                </w:p>
              </w:tc>
              <w:tc>
                <w:tcPr>
                  <w:tcW w:w="605" w:type="pct"/>
                  <w:noWrap w:val="0"/>
                  <w:vAlign w:val="center"/>
                </w:tcPr>
                <w:p w14:paraId="7657DF3D">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w:t>
                  </w:r>
                </w:p>
              </w:tc>
            </w:tr>
            <w:tr w14:paraId="49EB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680" w:type="pct"/>
                  <w:vMerge w:val="continue"/>
                  <w:noWrap w:val="0"/>
                  <w:vAlign w:val="center"/>
                </w:tcPr>
                <w:p w14:paraId="231AD6D2">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6" w:type="pct"/>
                  <w:noWrap w:val="0"/>
                  <w:vAlign w:val="center"/>
                </w:tcPr>
                <w:p w14:paraId="6B64655F">
                  <w:pPr>
                    <w:widowControl/>
                    <w:wordWrap w:val="0"/>
                    <w:topLinePunct/>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苯系物</w:t>
                  </w:r>
                </w:p>
              </w:tc>
              <w:tc>
                <w:tcPr>
                  <w:tcW w:w="1549" w:type="pct"/>
                  <w:vMerge w:val="continue"/>
                  <w:noWrap w:val="0"/>
                  <w:vAlign w:val="center"/>
                </w:tcPr>
                <w:p w14:paraId="6CBAA128">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p>
              </w:tc>
              <w:tc>
                <w:tcPr>
                  <w:tcW w:w="495" w:type="pct"/>
                  <w:vMerge w:val="continue"/>
                  <w:noWrap w:val="0"/>
                  <w:vAlign w:val="center"/>
                </w:tcPr>
                <w:p w14:paraId="5C6CF93C">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54" w:type="pct"/>
                  <w:noWrap w:val="0"/>
                  <w:vAlign w:val="center"/>
                </w:tcPr>
                <w:p w14:paraId="5B3273B2">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40</w:t>
                  </w:r>
                </w:p>
              </w:tc>
              <w:tc>
                <w:tcPr>
                  <w:tcW w:w="605" w:type="pct"/>
                  <w:noWrap w:val="0"/>
                  <w:vAlign w:val="center"/>
                </w:tcPr>
                <w:p w14:paraId="0CA5B80E">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w:t>
                  </w:r>
                </w:p>
              </w:tc>
            </w:tr>
            <w:tr w14:paraId="6C98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4" w:hRule="atLeast"/>
                <w:jc w:val="center"/>
              </w:trPr>
              <w:tc>
                <w:tcPr>
                  <w:tcW w:w="680" w:type="pct"/>
                  <w:vMerge w:val="continue"/>
                  <w:noWrap w:val="0"/>
                  <w:vAlign w:val="center"/>
                </w:tcPr>
                <w:p w14:paraId="66925F31">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6" w:type="pct"/>
                  <w:noWrap w:val="0"/>
                  <w:vAlign w:val="center"/>
                </w:tcPr>
                <w:p w14:paraId="4DFAC45D">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臭气浓度</w:t>
                  </w:r>
                </w:p>
              </w:tc>
              <w:tc>
                <w:tcPr>
                  <w:tcW w:w="1549" w:type="pct"/>
                  <w:noWrap w:val="0"/>
                  <w:vAlign w:val="center"/>
                </w:tcPr>
                <w:p w14:paraId="3CF2BC19">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《恶臭污染物排放标准》（GB14554-93）表2恶臭污染物排放标准及表1新扩改建二级厂界标准值</w:t>
                  </w:r>
                </w:p>
              </w:tc>
              <w:tc>
                <w:tcPr>
                  <w:tcW w:w="495" w:type="pct"/>
                  <w:vMerge w:val="continue"/>
                  <w:noWrap w:val="0"/>
                  <w:vAlign w:val="center"/>
                </w:tcPr>
                <w:p w14:paraId="2897FD2A">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54" w:type="pct"/>
                  <w:noWrap w:val="0"/>
                  <w:vAlign w:val="center"/>
                </w:tcPr>
                <w:p w14:paraId="6EDD668C">
                  <w:pPr>
                    <w:wordWrap w:val="0"/>
                    <w:topLinePun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2000（无量纲）</w:t>
                  </w:r>
                </w:p>
              </w:tc>
              <w:tc>
                <w:tcPr>
                  <w:tcW w:w="605" w:type="pct"/>
                  <w:noWrap w:val="0"/>
                  <w:vAlign w:val="center"/>
                </w:tcPr>
                <w:p w14:paraId="7CA80EEE">
                  <w:pPr>
                    <w:wordWrap w:val="0"/>
                    <w:topLinePun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w:t>
                  </w:r>
                </w:p>
              </w:tc>
            </w:tr>
            <w:tr w14:paraId="5620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00" w:type="pct"/>
                  <w:gridSpan w:val="6"/>
                  <w:noWrap w:val="0"/>
                  <w:vAlign w:val="center"/>
                </w:tcPr>
                <w:p w14:paraId="004AED6F">
                  <w:pPr>
                    <w:wordWrap w:val="0"/>
                    <w:topLinePun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*本项目排气筒未高于周边200m建筑</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m以上，因此排放速率按50%折算。</w:t>
                  </w:r>
                </w:p>
              </w:tc>
            </w:tr>
          </w:tbl>
          <w:p w14:paraId="056AE537">
            <w:pPr>
              <w:numPr>
                <w:ilvl w:val="0"/>
                <w:numId w:val="14"/>
              </w:numPr>
              <w:spacing w:line="240" w:lineRule="auto"/>
              <w:ind w:left="0" w:leftChars="0" w:firstLine="40" w:firstLineChars="0"/>
              <w:jc w:val="cente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排气筒</w:t>
            </w:r>
            <w:r>
              <w:rPr>
                <w:rFonts w:hint="eastAsia" w:cs="Times New Roman"/>
                <w:b/>
                <w:color w:val="000000" w:themeColor="text1"/>
                <w:kern w:val="2"/>
                <w:sz w:val="21"/>
                <w:szCs w:val="21"/>
                <w:lang w:val="en-US" w:eastAsia="zh-CN" w:bidi="ar-SA"/>
                <w14:textFill>
                  <w14:solidFill>
                    <w14:schemeClr w14:val="tx1"/>
                  </w14:solidFill>
                </w14:textFill>
              </w:rPr>
              <w:t>DA002</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废气有组织排放执行标准（单位：</w:t>
            </w:r>
            <w:r>
              <w:rPr>
                <w:rFonts w:hint="default" w:ascii="Times New Roman" w:hAnsi="Times New Roman" w:eastAsia="宋体" w:cs="Times New Roman"/>
                <w:b/>
                <w:bCs/>
                <w:color w:val="000000" w:themeColor="text1"/>
                <w:sz w:val="21"/>
                <w:szCs w:val="21"/>
                <w14:textFill>
                  <w14:solidFill>
                    <w14:schemeClr w14:val="tx1"/>
                  </w14:solidFill>
                </w14:textFill>
              </w:rPr>
              <w:t>mg/m</w:t>
            </w:r>
            <w:r>
              <w:rPr>
                <w:rFonts w:hint="eastAsia" w:ascii="Times New Roman" w:hAnsi="Times New Roman" w:eastAsia="宋体" w:cs="Times New Roman"/>
                <w:b/>
                <w:bCs/>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w:t>
            </w:r>
          </w:p>
          <w:tbl>
            <w:tblPr>
              <w:tblStyle w:val="44"/>
              <w:tblW w:w="48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93"/>
              <w:gridCol w:w="1635"/>
              <w:gridCol w:w="2496"/>
              <w:gridCol w:w="798"/>
              <w:gridCol w:w="1054"/>
              <w:gridCol w:w="980"/>
            </w:tblGrid>
            <w:tr w14:paraId="1E95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679" w:type="pct"/>
                  <w:noWrap w:val="0"/>
                  <w:vAlign w:val="center"/>
                </w:tcPr>
                <w:p w14:paraId="683A8BDF">
                  <w:pPr>
                    <w:autoSpaceDE w:val="0"/>
                    <w:autoSpaceDN w:val="0"/>
                    <w:adjustRightInd w:val="0"/>
                    <w:snapToGrid w:val="0"/>
                    <w:jc w:val="center"/>
                    <w:rPr>
                      <w:rFonts w:ascii="Times New Roman" w:hAnsi="Times New Roman" w:eastAsia="宋体" w:cs="Times New Roman"/>
                      <w:b/>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生产工序</w:t>
                  </w:r>
                </w:p>
              </w:tc>
              <w:tc>
                <w:tcPr>
                  <w:tcW w:w="1015" w:type="pct"/>
                  <w:noWrap w:val="0"/>
                  <w:vAlign w:val="center"/>
                </w:tcPr>
                <w:p w14:paraId="2A6D98F0">
                  <w:pPr>
                    <w:autoSpaceDE w:val="0"/>
                    <w:autoSpaceDN w:val="0"/>
                    <w:adjustRightInd w:val="0"/>
                    <w:snapToGrid w:val="0"/>
                    <w:jc w:val="center"/>
                    <w:rPr>
                      <w:rFonts w:ascii="Times New Roman" w:hAnsi="Times New Roman" w:eastAsia="宋体" w:cs="Times New Roman"/>
                      <w:b/>
                      <w:color w:val="000000" w:themeColor="text1"/>
                      <w:spacing w:val="-2"/>
                      <w:sz w:val="21"/>
                      <w:szCs w:val="21"/>
                      <w:highlight w:val="none"/>
                      <w:lang w:val="en-US" w:eastAsia="en-US"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污染物名称</w:t>
                  </w:r>
                </w:p>
              </w:tc>
              <w:tc>
                <w:tcPr>
                  <w:tcW w:w="1549" w:type="pct"/>
                  <w:noWrap w:val="0"/>
                  <w:vAlign w:val="center"/>
                </w:tcPr>
                <w:p w14:paraId="169B9E51">
                  <w:pPr>
                    <w:autoSpaceDE w:val="0"/>
                    <w:autoSpaceDN w:val="0"/>
                    <w:adjustRightInd w:val="0"/>
                    <w:snapToGrid w:val="0"/>
                    <w:jc w:val="center"/>
                    <w:rPr>
                      <w:rFonts w:hint="eastAsia" w:ascii="Times New Roman" w:hAnsi="Times New Roman" w:eastAsia="宋体" w:cs="Times New Roman"/>
                      <w:b/>
                      <w:color w:val="000000" w:themeColor="text1"/>
                      <w:spacing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执行标准</w:t>
                  </w:r>
                </w:p>
              </w:tc>
              <w:tc>
                <w:tcPr>
                  <w:tcW w:w="495" w:type="pct"/>
                  <w:noWrap w:val="0"/>
                  <w:vAlign w:val="center"/>
                </w:tcPr>
                <w:p w14:paraId="4AF26D6D">
                  <w:pPr>
                    <w:autoSpaceDE w:val="0"/>
                    <w:autoSpaceDN w:val="0"/>
                    <w:adjustRightInd w:val="0"/>
                    <w:snapToGrid w:val="0"/>
                    <w:jc w:val="center"/>
                    <w:rPr>
                      <w:rFonts w:ascii="Times New Roman" w:hAnsi="Times New Roman" w:eastAsia="宋体" w:cs="Times New Roman"/>
                      <w:b/>
                      <w:color w:val="000000" w:themeColor="text1"/>
                      <w:spacing w:val="-2"/>
                      <w:sz w:val="21"/>
                      <w:szCs w:val="21"/>
                      <w:highlight w:val="none"/>
                      <w:lang w:val="en-US" w:eastAsia="en-US" w:bidi="ar-SA"/>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排放高度</w:t>
                  </w:r>
                  <w:r>
                    <w:rPr>
                      <w:rFonts w:ascii="Times New Roman" w:hAnsi="Times New Roman" w:eastAsia="宋体" w:cs="Times New Roman"/>
                      <w:b/>
                      <w:color w:val="000000" w:themeColor="text1"/>
                      <w:sz w:val="21"/>
                      <w:szCs w:val="21"/>
                      <w:highlight w:val="none"/>
                      <w:lang w:eastAsia="en-US"/>
                      <w14:textFill>
                        <w14:solidFill>
                          <w14:schemeClr w14:val="tx1"/>
                        </w14:solidFill>
                      </w14:textFill>
                    </w:rPr>
                    <w:t>（m）</w:t>
                  </w:r>
                </w:p>
              </w:tc>
              <w:tc>
                <w:tcPr>
                  <w:tcW w:w="654" w:type="pct"/>
                  <w:noWrap w:val="0"/>
                  <w:vAlign w:val="center"/>
                </w:tcPr>
                <w:p w14:paraId="73E4AE4B">
                  <w:pPr>
                    <w:tabs>
                      <w:tab w:val="left" w:pos="552"/>
                    </w:tabs>
                    <w:autoSpaceDE w:val="0"/>
                    <w:autoSpaceDN w:val="0"/>
                    <w:adjustRightInd w:val="0"/>
                    <w:snapToGrid w:val="0"/>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浓度</w:t>
                  </w:r>
                </w:p>
                <w:p w14:paraId="7DD827C2">
                  <w:pPr>
                    <w:autoSpaceDE w:val="0"/>
                    <w:autoSpaceDN w:val="0"/>
                    <w:adjustRightInd w:val="0"/>
                    <w:snapToGrid w:val="0"/>
                    <w:jc w:val="center"/>
                    <w:rPr>
                      <w:rFonts w:ascii="Times New Roman" w:hAnsi="Times New Roman" w:eastAsia="宋体" w:cs="Times New Roman"/>
                      <w:b/>
                      <w:color w:val="000000" w:themeColor="text1"/>
                      <w:sz w:val="21"/>
                      <w:szCs w:val="21"/>
                      <w:highlight w:val="none"/>
                      <w:lang w:eastAsia="en-US"/>
                      <w14:textFill>
                        <w14:solidFill>
                          <w14:schemeClr w14:val="tx1"/>
                        </w14:solidFill>
                      </w14:textFill>
                    </w:rPr>
                  </w:pPr>
                  <w:r>
                    <w:rPr>
                      <w:rFonts w:ascii="Times New Roman" w:hAnsi="Times New Roman" w:eastAsia="宋体" w:cs="Times New Roman"/>
                      <w:b/>
                      <w:color w:val="000000" w:themeColor="text1"/>
                      <w:sz w:val="21"/>
                      <w:szCs w:val="21"/>
                      <w:highlight w:val="none"/>
                      <w:lang w:eastAsia="en-US"/>
                      <w14:textFill>
                        <w14:solidFill>
                          <w14:schemeClr w14:val="tx1"/>
                        </w14:solidFill>
                      </w14:textFill>
                    </w:rPr>
                    <w:t>（mg/m</w:t>
                  </w:r>
                  <w:r>
                    <w:rPr>
                      <w:rFonts w:ascii="Times New Roman" w:hAnsi="Times New Roman" w:eastAsia="宋体" w:cs="Times New Roman"/>
                      <w:b/>
                      <w:color w:val="000000" w:themeColor="text1"/>
                      <w:sz w:val="21"/>
                      <w:szCs w:val="21"/>
                      <w:highlight w:val="none"/>
                      <w:vertAlign w:val="superscript"/>
                      <w:lang w:eastAsia="en-US"/>
                      <w14:textFill>
                        <w14:solidFill>
                          <w14:schemeClr w14:val="tx1"/>
                        </w14:solidFill>
                      </w14:textFill>
                    </w:rPr>
                    <w:t>3</w:t>
                  </w:r>
                  <w:r>
                    <w:rPr>
                      <w:rFonts w:ascii="Times New Roman" w:hAnsi="Times New Roman" w:eastAsia="宋体" w:cs="Times New Roman"/>
                      <w:b/>
                      <w:color w:val="000000" w:themeColor="text1"/>
                      <w:sz w:val="21"/>
                      <w:szCs w:val="21"/>
                      <w:highlight w:val="none"/>
                      <w:lang w:eastAsia="en-US"/>
                      <w14:textFill>
                        <w14:solidFill>
                          <w14:schemeClr w14:val="tx1"/>
                        </w14:solidFill>
                      </w14:textFill>
                    </w:rPr>
                    <w:t>）</w:t>
                  </w:r>
                </w:p>
              </w:tc>
              <w:tc>
                <w:tcPr>
                  <w:tcW w:w="605" w:type="pct"/>
                  <w:noWrap w:val="0"/>
                  <w:vAlign w:val="center"/>
                </w:tcPr>
                <w:p w14:paraId="658237E3">
                  <w:pPr>
                    <w:autoSpaceDE w:val="0"/>
                    <w:autoSpaceDN w:val="0"/>
                    <w:adjustRightInd w:val="0"/>
                    <w:snapToGrid w:val="0"/>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cs="Times New Roman"/>
                      <w:b/>
                      <w:color w:val="000000" w:themeColor="text1"/>
                      <w:sz w:val="21"/>
                      <w:szCs w:val="21"/>
                      <w:highlight w:val="none"/>
                      <w14:textFill>
                        <w14:solidFill>
                          <w14:schemeClr w14:val="tx1"/>
                        </w14:solidFill>
                      </w14:textFill>
                    </w:rPr>
                    <w:t>速率</w:t>
                  </w:r>
                </w:p>
                <w:p w14:paraId="69180A53">
                  <w:pPr>
                    <w:autoSpaceDE w:val="0"/>
                    <w:autoSpaceDN w:val="0"/>
                    <w:adjustRightInd w:val="0"/>
                    <w:snapToGrid w:val="0"/>
                    <w:jc w:val="center"/>
                    <w:rPr>
                      <w:rFonts w:ascii="Times New Roman" w:hAnsi="Times New Roman" w:eastAsia="宋体" w:cs="Times New Roman"/>
                      <w:b/>
                      <w:color w:val="000000" w:themeColor="text1"/>
                      <w:sz w:val="21"/>
                      <w:szCs w:val="21"/>
                      <w:highlight w:val="none"/>
                      <w:lang w:eastAsia="en-US"/>
                      <w14:textFill>
                        <w14:solidFill>
                          <w14:schemeClr w14:val="tx1"/>
                        </w14:solidFill>
                      </w14:textFill>
                    </w:rPr>
                  </w:pPr>
                  <w:r>
                    <w:rPr>
                      <w:rFonts w:ascii="Times New Roman" w:hAnsi="Times New Roman" w:eastAsia="宋体" w:cs="Times New Roman"/>
                      <w:b/>
                      <w:color w:val="000000" w:themeColor="text1"/>
                      <w:sz w:val="21"/>
                      <w:szCs w:val="21"/>
                      <w:highlight w:val="none"/>
                      <w:lang w:eastAsia="en-US"/>
                      <w14:textFill>
                        <w14:solidFill>
                          <w14:schemeClr w14:val="tx1"/>
                        </w14:solidFill>
                      </w14:textFill>
                    </w:rPr>
                    <w:t>（kg/h）</w:t>
                  </w:r>
                </w:p>
              </w:tc>
            </w:tr>
            <w:tr w14:paraId="35C3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9" w:type="pct"/>
                  <w:vMerge w:val="restart"/>
                  <w:noWrap w:val="0"/>
                  <w:vAlign w:val="center"/>
                </w:tcPr>
                <w:p w14:paraId="2B10F937">
                  <w:pPr>
                    <w:autoSpaceDE w:val="0"/>
                    <w:autoSpaceDN w:val="0"/>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固化</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烘干</w:t>
                  </w:r>
                </w:p>
              </w:tc>
              <w:tc>
                <w:tcPr>
                  <w:tcW w:w="1015" w:type="pct"/>
                  <w:noWrap w:val="0"/>
                  <w:vAlign w:val="center"/>
                </w:tcPr>
                <w:p w14:paraId="014A9462">
                  <w:pPr>
                    <w:widowControl/>
                    <w:wordWrap w:val="0"/>
                    <w:topLinePunct/>
                    <w:jc w:val="center"/>
                    <w:textAlignment w:val="center"/>
                    <w:rPr>
                      <w:rFonts w:ascii="Times New Roman" w:hAnsi="Times New Roman" w:eastAsia="宋体" w:cs="Times New Roman"/>
                      <w:color w:val="000000" w:themeColor="text1"/>
                      <w:sz w:val="21"/>
                      <w:szCs w:val="21"/>
                      <w:highlight w:val="none"/>
                      <w:lang w:bidi="ar"/>
                      <w14:textFill>
                        <w14:solidFill>
                          <w14:schemeClr w14:val="tx1"/>
                        </w14:solidFill>
                      </w14:textFill>
                    </w:rPr>
                  </w:pPr>
                  <w:r>
                    <w:rPr>
                      <w:rFonts w:ascii="Times New Roman" w:hAnsi="Times New Roman" w:eastAsia="宋体" w:cs="Times New Roman"/>
                      <w:color w:val="000000" w:themeColor="text1"/>
                      <w:sz w:val="21"/>
                      <w:szCs w:val="21"/>
                      <w:highlight w:val="none"/>
                      <w:lang w:bidi="ar"/>
                      <w14:textFill>
                        <w14:solidFill>
                          <w14:schemeClr w14:val="tx1"/>
                        </w14:solidFill>
                      </w14:textFill>
                    </w:rPr>
                    <w:t>NMHC</w:t>
                  </w:r>
                </w:p>
              </w:tc>
              <w:tc>
                <w:tcPr>
                  <w:tcW w:w="1549" w:type="pct"/>
                  <w:vMerge w:val="restart"/>
                  <w:noWrap w:val="0"/>
                  <w:vAlign w:val="center"/>
                </w:tcPr>
                <w:p w14:paraId="771D5DAF">
                  <w:pPr>
                    <w:widowControl/>
                    <w:wordWrap w:val="0"/>
                    <w:topLinePunct/>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sz w:val="21"/>
                      <w:szCs w:val="21"/>
                      <w:highlight w:val="none"/>
                      <w:lang w:bidi="ar"/>
                      <w14:textFill>
                        <w14:solidFill>
                          <w14:schemeClr w14:val="tx1"/>
                        </w14:solidFill>
                      </w14:textFill>
                    </w:rPr>
                    <w:t>广东省《固定污染源挥发性有机物综合排放标准》（DB44/2367-2022）表1挥发性有机物排放限值；</w:t>
                  </w:r>
                </w:p>
              </w:tc>
              <w:tc>
                <w:tcPr>
                  <w:tcW w:w="495" w:type="pct"/>
                  <w:vMerge w:val="restart"/>
                  <w:noWrap w:val="0"/>
                  <w:vAlign w:val="center"/>
                </w:tcPr>
                <w:p w14:paraId="025A63CF">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15</w:t>
                  </w:r>
                </w:p>
              </w:tc>
              <w:tc>
                <w:tcPr>
                  <w:tcW w:w="654" w:type="pct"/>
                  <w:noWrap w:val="0"/>
                  <w:vAlign w:val="center"/>
                </w:tcPr>
                <w:p w14:paraId="07C1BFB3">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80</w:t>
                  </w:r>
                </w:p>
              </w:tc>
              <w:tc>
                <w:tcPr>
                  <w:tcW w:w="605" w:type="pct"/>
                  <w:noWrap w:val="0"/>
                  <w:vAlign w:val="center"/>
                </w:tcPr>
                <w:p w14:paraId="13BADD20">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w:t>
                  </w:r>
                </w:p>
              </w:tc>
            </w:tr>
            <w:tr w14:paraId="35D5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9" w:type="pct"/>
                  <w:vMerge w:val="continue"/>
                  <w:noWrap w:val="0"/>
                  <w:vAlign w:val="center"/>
                </w:tcPr>
                <w:p w14:paraId="62AE226E">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5" w:type="pct"/>
                  <w:noWrap w:val="0"/>
                  <w:vAlign w:val="center"/>
                </w:tcPr>
                <w:p w14:paraId="22A31ECD">
                  <w:pPr>
                    <w:widowControl/>
                    <w:wordWrap w:val="0"/>
                    <w:topLinePunct/>
                    <w:jc w:val="center"/>
                    <w:textAlignment w:val="center"/>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bidi="ar"/>
                      <w14:textFill>
                        <w14:solidFill>
                          <w14:schemeClr w14:val="tx1"/>
                        </w14:solidFill>
                      </w14:textFill>
                    </w:rPr>
                    <w:t>苯系物</w:t>
                  </w:r>
                </w:p>
              </w:tc>
              <w:tc>
                <w:tcPr>
                  <w:tcW w:w="1549" w:type="pct"/>
                  <w:vMerge w:val="continue"/>
                  <w:noWrap w:val="0"/>
                  <w:vAlign w:val="center"/>
                </w:tcPr>
                <w:p w14:paraId="33B18FAD">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p>
              </w:tc>
              <w:tc>
                <w:tcPr>
                  <w:tcW w:w="495" w:type="pct"/>
                  <w:vMerge w:val="continue"/>
                  <w:noWrap w:val="0"/>
                  <w:vAlign w:val="center"/>
                </w:tcPr>
                <w:p w14:paraId="49615715">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54" w:type="pct"/>
                  <w:noWrap w:val="0"/>
                  <w:vAlign w:val="center"/>
                </w:tcPr>
                <w:p w14:paraId="66DCB6D7">
                  <w:pPr>
                    <w:autoSpaceDE w:val="0"/>
                    <w:autoSpaceDN w:val="0"/>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w:t>
                  </w:r>
                </w:p>
              </w:tc>
              <w:tc>
                <w:tcPr>
                  <w:tcW w:w="605" w:type="pct"/>
                  <w:noWrap w:val="0"/>
                  <w:vAlign w:val="center"/>
                </w:tcPr>
                <w:p w14:paraId="5B0541BE">
                  <w:pPr>
                    <w:autoSpaceDE w:val="0"/>
                    <w:autoSpaceDN w:val="0"/>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7663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679" w:type="pct"/>
                  <w:vMerge w:val="continue"/>
                  <w:noWrap w:val="0"/>
                  <w:vAlign w:val="center"/>
                </w:tcPr>
                <w:p w14:paraId="6ACCBC7C">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5" w:type="pct"/>
                  <w:noWrap w:val="0"/>
                  <w:vAlign w:val="center"/>
                </w:tcPr>
                <w:p w14:paraId="1C35EA8C">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颗粒物</w:t>
                  </w:r>
                </w:p>
              </w:tc>
              <w:tc>
                <w:tcPr>
                  <w:tcW w:w="1549" w:type="pct"/>
                  <w:vMerge w:val="restart"/>
                  <w:noWrap w:val="0"/>
                  <w:vAlign w:val="center"/>
                </w:tcPr>
                <w:p w14:paraId="17F80B09">
                  <w:pPr>
                    <w:autoSpaceDE w:val="0"/>
                    <w:autoSpaceDN w:val="0"/>
                    <w:adjustRightInd w:val="0"/>
                    <w:snapToGrid w:val="0"/>
                    <w:jc w:val="left"/>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关于印发&lt;工业炉窑大气污染综合治理方案&gt;的通知》（环大气〔2019〕56号）和《关于贯彻落实&lt;工业炉窑大气污染物综合治理方案&gt;的实施意见》（粤环函〔2019〕1112号）中颗粒物、二氧化硫、氮氧化物排放限值较严值</w:t>
                  </w:r>
                </w:p>
                <w:p w14:paraId="688D8D84">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烟气黑度执行《工业炉窑大气污染物排放标准》（GB 9078-1996）</w:t>
                  </w:r>
                </w:p>
              </w:tc>
              <w:tc>
                <w:tcPr>
                  <w:tcW w:w="495" w:type="pct"/>
                  <w:vMerge w:val="continue"/>
                  <w:noWrap w:val="0"/>
                  <w:vAlign w:val="center"/>
                </w:tcPr>
                <w:p w14:paraId="0CA01A31">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54" w:type="pct"/>
                  <w:noWrap w:val="0"/>
                  <w:vAlign w:val="center"/>
                </w:tcPr>
                <w:p w14:paraId="03B7C0D3">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30</w:t>
                  </w:r>
                </w:p>
              </w:tc>
              <w:tc>
                <w:tcPr>
                  <w:tcW w:w="605" w:type="pct"/>
                  <w:noWrap w:val="0"/>
                  <w:vAlign w:val="center"/>
                </w:tcPr>
                <w:p w14:paraId="05057204">
                  <w:pPr>
                    <w:autoSpaceDE w:val="0"/>
                    <w:autoSpaceDN w:val="0"/>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7B44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3" w:hRule="atLeast"/>
                <w:jc w:val="center"/>
              </w:trPr>
              <w:tc>
                <w:tcPr>
                  <w:tcW w:w="679" w:type="pct"/>
                  <w:vMerge w:val="continue"/>
                  <w:noWrap w:val="0"/>
                  <w:vAlign w:val="center"/>
                </w:tcPr>
                <w:p w14:paraId="1C904815">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5" w:type="pct"/>
                  <w:noWrap w:val="0"/>
                  <w:vAlign w:val="center"/>
                </w:tcPr>
                <w:p w14:paraId="0604CFA7">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SO</w:t>
                  </w:r>
                  <w:r>
                    <w:rPr>
                      <w:rFonts w:ascii="Times New Roman" w:hAnsi="Times New Roman" w:eastAsia="宋体" w:cs="Times New Roman"/>
                      <w:color w:val="000000" w:themeColor="text1"/>
                      <w:sz w:val="21"/>
                      <w:szCs w:val="21"/>
                      <w:highlight w:val="none"/>
                      <w:vertAlign w:val="subscript"/>
                      <w14:textFill>
                        <w14:solidFill>
                          <w14:schemeClr w14:val="tx1"/>
                        </w14:solidFill>
                      </w14:textFill>
                    </w:rPr>
                    <w:t>2</w:t>
                  </w:r>
                </w:p>
              </w:tc>
              <w:tc>
                <w:tcPr>
                  <w:tcW w:w="1549" w:type="pct"/>
                  <w:vMerge w:val="continue"/>
                  <w:noWrap w:val="0"/>
                  <w:vAlign w:val="center"/>
                </w:tcPr>
                <w:p w14:paraId="60B89AEE">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p>
              </w:tc>
              <w:tc>
                <w:tcPr>
                  <w:tcW w:w="495" w:type="pct"/>
                  <w:vMerge w:val="continue"/>
                  <w:noWrap w:val="0"/>
                  <w:vAlign w:val="center"/>
                </w:tcPr>
                <w:p w14:paraId="7CDE19CC">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54" w:type="pct"/>
                  <w:noWrap w:val="0"/>
                  <w:vAlign w:val="center"/>
                </w:tcPr>
                <w:p w14:paraId="5AAC0677">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200</w:t>
                  </w:r>
                </w:p>
              </w:tc>
              <w:tc>
                <w:tcPr>
                  <w:tcW w:w="605" w:type="pct"/>
                  <w:noWrap w:val="0"/>
                  <w:vAlign w:val="center"/>
                </w:tcPr>
                <w:p w14:paraId="71ED46A2">
                  <w:pPr>
                    <w:autoSpaceDE w:val="0"/>
                    <w:autoSpaceDN w:val="0"/>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4FF7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679" w:type="pct"/>
                  <w:vMerge w:val="continue"/>
                  <w:noWrap w:val="0"/>
                  <w:vAlign w:val="center"/>
                </w:tcPr>
                <w:p w14:paraId="5C2650F6">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5" w:type="pct"/>
                  <w:noWrap w:val="0"/>
                  <w:vAlign w:val="center"/>
                </w:tcPr>
                <w:p w14:paraId="5861E582">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NOx</w:t>
                  </w:r>
                </w:p>
              </w:tc>
              <w:tc>
                <w:tcPr>
                  <w:tcW w:w="1549" w:type="pct"/>
                  <w:vMerge w:val="continue"/>
                  <w:noWrap w:val="0"/>
                  <w:vAlign w:val="center"/>
                </w:tcPr>
                <w:p w14:paraId="2F1C7F23">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p>
              </w:tc>
              <w:tc>
                <w:tcPr>
                  <w:tcW w:w="495" w:type="pct"/>
                  <w:vMerge w:val="continue"/>
                  <w:noWrap w:val="0"/>
                  <w:vAlign w:val="center"/>
                </w:tcPr>
                <w:p w14:paraId="40638584">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54" w:type="pct"/>
                  <w:noWrap w:val="0"/>
                  <w:vAlign w:val="center"/>
                </w:tcPr>
                <w:p w14:paraId="627CE65F">
                  <w:pPr>
                    <w:autoSpaceDE w:val="0"/>
                    <w:autoSpaceDN w:val="0"/>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300</w:t>
                  </w:r>
                </w:p>
              </w:tc>
              <w:tc>
                <w:tcPr>
                  <w:tcW w:w="605" w:type="pct"/>
                  <w:noWrap w:val="0"/>
                  <w:vAlign w:val="center"/>
                </w:tcPr>
                <w:p w14:paraId="5F94BE74">
                  <w:pPr>
                    <w:autoSpaceDE w:val="0"/>
                    <w:autoSpaceDN w:val="0"/>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2E02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jc w:val="center"/>
              </w:trPr>
              <w:tc>
                <w:tcPr>
                  <w:tcW w:w="679" w:type="pct"/>
                  <w:vMerge w:val="continue"/>
                  <w:noWrap w:val="0"/>
                  <w:vAlign w:val="center"/>
                </w:tcPr>
                <w:p w14:paraId="037234A6">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015" w:type="pct"/>
                  <w:noWrap w:val="0"/>
                  <w:vAlign w:val="center"/>
                </w:tcPr>
                <w:p w14:paraId="089991A2">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臭气浓度</w:t>
                  </w:r>
                </w:p>
              </w:tc>
              <w:tc>
                <w:tcPr>
                  <w:tcW w:w="1549" w:type="pct"/>
                  <w:noWrap w:val="0"/>
                  <w:vAlign w:val="center"/>
                </w:tcPr>
                <w:p w14:paraId="29FB4FAD">
                  <w:pPr>
                    <w:autoSpaceDE w:val="0"/>
                    <w:autoSpaceDN w:val="0"/>
                    <w:adjustRightInd w:val="0"/>
                    <w:snapToGrid w:val="0"/>
                    <w:jc w:val="left"/>
                    <w:rPr>
                      <w:rFonts w:ascii="Times New Roman" w:hAnsi="Times New Roman" w:eastAsia="宋体" w:cs="Times New Roman"/>
                      <w:color w:val="000000" w:themeColor="text1"/>
                      <w:spacing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《恶臭污染物排放标准》（GB14554-93）表2恶臭污染物排放标准及表1新扩改建二级厂界标准值</w:t>
                  </w:r>
                </w:p>
              </w:tc>
              <w:tc>
                <w:tcPr>
                  <w:tcW w:w="495" w:type="pct"/>
                  <w:vMerge w:val="continue"/>
                  <w:noWrap w:val="0"/>
                  <w:vAlign w:val="center"/>
                </w:tcPr>
                <w:p w14:paraId="36D9BF7F">
                  <w:pPr>
                    <w:autoSpaceDE w:val="0"/>
                    <w:autoSpaceDN w:val="0"/>
                    <w:adjustRightInd w:val="0"/>
                    <w:snapToGrid w:val="0"/>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654" w:type="pct"/>
                  <w:noWrap w:val="0"/>
                  <w:vAlign w:val="center"/>
                </w:tcPr>
                <w:p w14:paraId="772D9F3F">
                  <w:pPr>
                    <w:wordWrap w:val="0"/>
                    <w:topLinePun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2000（无量纲）</w:t>
                  </w:r>
                </w:p>
              </w:tc>
              <w:tc>
                <w:tcPr>
                  <w:tcW w:w="605" w:type="pct"/>
                  <w:noWrap w:val="0"/>
                  <w:vAlign w:val="center"/>
                </w:tcPr>
                <w:p w14:paraId="5615F353">
                  <w:pPr>
                    <w:wordWrap w:val="0"/>
                    <w:topLinePun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w:t>
                  </w:r>
                </w:p>
              </w:tc>
            </w:tr>
            <w:tr w14:paraId="623A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00" w:type="pct"/>
                  <w:gridSpan w:val="6"/>
                  <w:noWrap w:val="0"/>
                  <w:vAlign w:val="center"/>
                </w:tcPr>
                <w:p w14:paraId="22A0EE4C">
                  <w:pPr>
                    <w:wordWrap w:val="0"/>
                    <w:topLinePun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*本项目排气筒未高于周边200m建筑</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m以上，因此排放速率按50%折算。</w:t>
                  </w:r>
                </w:p>
              </w:tc>
            </w:tr>
          </w:tbl>
          <w:p w14:paraId="56101925">
            <w:pPr>
              <w:numPr>
                <w:ilvl w:val="0"/>
                <w:numId w:val="14"/>
              </w:numPr>
              <w:spacing w:line="240" w:lineRule="auto"/>
              <w:ind w:left="0" w:leftChars="0" w:firstLine="40" w:firstLineChars="0"/>
              <w:jc w:val="cente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 无</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组织排放执行标准（单位：</w:t>
            </w:r>
            <w:r>
              <w:rPr>
                <w:rFonts w:hint="default" w:ascii="Times New Roman" w:hAnsi="Times New Roman" w:eastAsia="宋体" w:cs="Times New Roman"/>
                <w:b/>
                <w:bCs/>
                <w:color w:val="000000" w:themeColor="text1"/>
                <w:sz w:val="21"/>
                <w:szCs w:val="21"/>
                <w14:textFill>
                  <w14:solidFill>
                    <w14:schemeClr w14:val="tx1"/>
                  </w14:solidFill>
                </w14:textFill>
              </w:rPr>
              <w:t>mg/m</w:t>
            </w:r>
            <w:r>
              <w:rPr>
                <w:rFonts w:hint="eastAsia" w:ascii="Times New Roman" w:hAnsi="Times New Roman" w:eastAsia="宋体" w:cs="Times New Roman"/>
                <w:b/>
                <w:bCs/>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1"/>
              <w:gridCol w:w="803"/>
              <w:gridCol w:w="1575"/>
              <w:gridCol w:w="1512"/>
              <w:gridCol w:w="786"/>
              <w:gridCol w:w="692"/>
              <w:gridCol w:w="452"/>
            </w:tblGrid>
            <w:tr w14:paraId="2324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3" w:hRule="atLeast"/>
                <w:jc w:val="center"/>
              </w:trPr>
              <w:tc>
                <w:tcPr>
                  <w:tcW w:w="1507" w:type="pct"/>
                  <w:tcBorders>
                    <w:tl2br w:val="nil"/>
                    <w:tr2bl w:val="nil"/>
                  </w:tcBorders>
                  <w:noWrap/>
                  <w:tcMar>
                    <w:left w:w="0" w:type="dxa"/>
                    <w:right w:w="0" w:type="dxa"/>
                  </w:tcMar>
                  <w:vAlign w:val="center"/>
                </w:tcPr>
                <w:p w14:paraId="77F79FB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污染物</w:t>
                  </w:r>
                </w:p>
              </w:tc>
              <w:tc>
                <w:tcPr>
                  <w:tcW w:w="481" w:type="pct"/>
                  <w:tcBorders>
                    <w:tl2br w:val="nil"/>
                    <w:tr2bl w:val="nil"/>
                  </w:tcBorders>
                  <w:noWrap/>
                  <w:tcMar>
                    <w:left w:w="0" w:type="dxa"/>
                    <w:right w:w="0" w:type="dxa"/>
                  </w:tcMar>
                  <w:vAlign w:val="center"/>
                </w:tcPr>
                <w:p w14:paraId="610439C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颗粒物</w:t>
                  </w:r>
                </w:p>
              </w:tc>
              <w:tc>
                <w:tcPr>
                  <w:tcW w:w="1852" w:type="pct"/>
                  <w:gridSpan w:val="2"/>
                  <w:tcBorders>
                    <w:tl2br w:val="nil"/>
                    <w:tr2bl w:val="nil"/>
                  </w:tcBorders>
                  <w:noWrap/>
                  <w:vAlign w:val="center"/>
                </w:tcPr>
                <w:p w14:paraId="6E22496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非甲烷总烃</w:t>
                  </w:r>
                </w:p>
              </w:tc>
              <w:tc>
                <w:tcPr>
                  <w:tcW w:w="471" w:type="pct"/>
                  <w:tcBorders>
                    <w:tl2br w:val="nil"/>
                    <w:tr2bl w:val="nil"/>
                  </w:tcBorders>
                  <w:noWrap/>
                  <w:vAlign w:val="center"/>
                </w:tcPr>
                <w:p w14:paraId="6C019D0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苯</w:t>
                  </w:r>
                  <w:r>
                    <w:rPr>
                      <w:rFonts w:hint="eastAsia"/>
                      <w:b/>
                      <w:bCs/>
                      <w:color w:val="000000" w:themeColor="text1"/>
                      <w:lang w:val="en-US" w:eastAsia="zh-CN"/>
                      <w14:textFill>
                        <w14:solidFill>
                          <w14:schemeClr w14:val="tx1"/>
                        </w14:solidFill>
                      </w14:textFill>
                    </w:rPr>
                    <w:t>系物</w:t>
                  </w:r>
                </w:p>
              </w:tc>
              <w:tc>
                <w:tcPr>
                  <w:tcW w:w="415" w:type="pct"/>
                  <w:tcBorders>
                    <w:tl2br w:val="nil"/>
                    <w:tr2bl w:val="nil"/>
                  </w:tcBorders>
                  <w:noWrap/>
                  <w:vAlign w:val="center"/>
                </w:tcPr>
                <w:p w14:paraId="17C5B32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臭气浓度</w:t>
                  </w:r>
                </w:p>
              </w:tc>
              <w:tc>
                <w:tcPr>
                  <w:tcW w:w="271" w:type="pct"/>
                  <w:tcBorders>
                    <w:tl2br w:val="nil"/>
                    <w:tr2bl w:val="nil"/>
                  </w:tcBorders>
                  <w:noWrap/>
                  <w:vAlign w:val="center"/>
                </w:tcPr>
                <w:p w14:paraId="04F920B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氟化物</w:t>
                  </w:r>
                </w:p>
              </w:tc>
            </w:tr>
            <w:tr w14:paraId="6F46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507" w:type="pct"/>
                  <w:vMerge w:val="restart"/>
                  <w:tcBorders>
                    <w:tl2br w:val="nil"/>
                    <w:tr2bl w:val="nil"/>
                  </w:tcBorders>
                  <w:noWrap/>
                  <w:tcMar>
                    <w:left w:w="0" w:type="dxa"/>
                    <w:right w:w="0" w:type="dxa"/>
                  </w:tcMar>
                  <w:vAlign w:val="center"/>
                </w:tcPr>
                <w:p w14:paraId="6B672C65">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《固定污染源挥发性有机物综合排放标准》（DB44/2367-2022）中表</w:t>
                  </w:r>
                  <w:r>
                    <w:rPr>
                      <w:rFonts w:hint="eastAsia" w:cs="Times New Roman"/>
                      <w:color w:val="000000" w:themeColor="text1"/>
                      <w:sz w:val="21"/>
                      <w:szCs w:val="21"/>
                      <w:lang w:val="en-US" w:eastAsia="zh-CN"/>
                      <w14:textFill>
                        <w14:solidFill>
                          <w14:schemeClr w14:val="tx1"/>
                        </w14:solidFill>
                      </w14:textFill>
                    </w:rPr>
                    <w:t>1挥发性有机物排放限值</w:t>
                  </w:r>
                </w:p>
              </w:tc>
              <w:tc>
                <w:tcPr>
                  <w:tcW w:w="481" w:type="pct"/>
                  <w:vMerge w:val="restart"/>
                  <w:tcBorders>
                    <w:tl2br w:val="nil"/>
                    <w:tr2bl w:val="nil"/>
                  </w:tcBorders>
                  <w:noWrap/>
                  <w:tcMar>
                    <w:left w:w="0" w:type="dxa"/>
                    <w:right w:w="0" w:type="dxa"/>
                  </w:tcMar>
                  <w:vAlign w:val="center"/>
                </w:tcPr>
                <w:p w14:paraId="03BF7B4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w:t>
                  </w:r>
                </w:p>
              </w:tc>
              <w:tc>
                <w:tcPr>
                  <w:tcW w:w="1852" w:type="pct"/>
                  <w:gridSpan w:val="2"/>
                  <w:tcBorders>
                    <w:tl2br w:val="nil"/>
                    <w:tr2bl w:val="nil"/>
                  </w:tcBorders>
                  <w:noWrap/>
                  <w:vAlign w:val="center"/>
                </w:tcPr>
                <w:p w14:paraId="1C4068C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厂内NMHC</w:t>
                  </w:r>
                </w:p>
              </w:tc>
              <w:tc>
                <w:tcPr>
                  <w:tcW w:w="471" w:type="pct"/>
                  <w:vMerge w:val="restart"/>
                  <w:tcBorders>
                    <w:tl2br w:val="nil"/>
                    <w:tr2bl w:val="nil"/>
                  </w:tcBorders>
                  <w:noWrap/>
                  <w:vAlign w:val="center"/>
                </w:tcPr>
                <w:p w14:paraId="141ECC6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415" w:type="pct"/>
                  <w:vMerge w:val="restart"/>
                  <w:tcBorders>
                    <w:tl2br w:val="nil"/>
                    <w:tr2bl w:val="nil"/>
                  </w:tcBorders>
                  <w:noWrap/>
                  <w:vAlign w:val="center"/>
                </w:tcPr>
                <w:p w14:paraId="64409FC6">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271" w:type="pct"/>
                  <w:vMerge w:val="restart"/>
                  <w:tcBorders>
                    <w:tl2br w:val="nil"/>
                    <w:tr2bl w:val="nil"/>
                  </w:tcBorders>
                  <w:noWrap/>
                  <w:vAlign w:val="center"/>
                </w:tcPr>
                <w:p w14:paraId="0E44FB6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r>
            <w:tr w14:paraId="467F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07" w:type="pct"/>
                  <w:vMerge w:val="continue"/>
                  <w:tcBorders>
                    <w:tl2br w:val="nil"/>
                    <w:tr2bl w:val="nil"/>
                  </w:tcBorders>
                  <w:noWrap/>
                  <w:tcMar>
                    <w:left w:w="0" w:type="dxa"/>
                    <w:right w:w="0" w:type="dxa"/>
                  </w:tcMar>
                  <w:vAlign w:val="center"/>
                </w:tcPr>
                <w:p w14:paraId="37DC50F6">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14:textFill>
                        <w14:solidFill>
                          <w14:schemeClr w14:val="tx1"/>
                        </w14:solidFill>
                      </w14:textFill>
                    </w:rPr>
                  </w:pPr>
                </w:p>
              </w:tc>
              <w:tc>
                <w:tcPr>
                  <w:tcW w:w="481" w:type="pct"/>
                  <w:vMerge w:val="continue"/>
                  <w:tcBorders>
                    <w:tl2br w:val="nil"/>
                    <w:tr2bl w:val="nil"/>
                  </w:tcBorders>
                  <w:noWrap/>
                  <w:tcMar>
                    <w:left w:w="0" w:type="dxa"/>
                    <w:right w:w="0" w:type="dxa"/>
                  </w:tcMar>
                  <w:vAlign w:val="center"/>
                </w:tcPr>
                <w:p w14:paraId="113DF0B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000000" w:themeColor="text1"/>
                      <w:sz w:val="21"/>
                      <w:szCs w:val="21"/>
                      <w:lang w:val="en-US" w:eastAsia="zh-CN"/>
                      <w14:textFill>
                        <w14:solidFill>
                          <w14:schemeClr w14:val="tx1"/>
                        </w14:solidFill>
                      </w14:textFill>
                    </w:rPr>
                  </w:pPr>
                </w:p>
              </w:tc>
              <w:tc>
                <w:tcPr>
                  <w:tcW w:w="945" w:type="pct"/>
                  <w:tcBorders>
                    <w:tl2br w:val="nil"/>
                    <w:tr2bl w:val="nil"/>
                  </w:tcBorders>
                  <w:noWrap/>
                  <w:vAlign w:val="center"/>
                </w:tcPr>
                <w:p w14:paraId="4B7427F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14:textFill>
                        <w14:solidFill>
                          <w14:schemeClr w14:val="tx1"/>
                        </w14:solidFill>
                      </w14:textFill>
                    </w:rPr>
                    <w:t>监控点处1h平均浓度值</w:t>
                  </w:r>
                  <w:r>
                    <w:rPr>
                      <w:rFonts w:hint="eastAsia"/>
                      <w:color w:val="000000" w:themeColor="text1"/>
                      <w:sz w:val="21"/>
                      <w:szCs w:val="21"/>
                      <w:lang w:val="en-US" w:eastAsia="zh-CN"/>
                      <w14:textFill>
                        <w14:solidFill>
                          <w14:schemeClr w14:val="tx1"/>
                        </w14:solidFill>
                      </w14:textFill>
                    </w:rPr>
                    <w:t>）</w:t>
                  </w:r>
                </w:p>
              </w:tc>
              <w:tc>
                <w:tcPr>
                  <w:tcW w:w="907" w:type="pct"/>
                  <w:tcBorders>
                    <w:tl2br w:val="nil"/>
                    <w:tr2bl w:val="nil"/>
                  </w:tcBorders>
                  <w:noWrap/>
                  <w:vAlign w:val="center"/>
                </w:tcPr>
                <w:p w14:paraId="4190DC6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20（</w:t>
                  </w:r>
                  <w:r>
                    <w:rPr>
                      <w:rFonts w:hint="default" w:ascii="Times New Roman" w:hAnsi="Times New Roman" w:eastAsia="宋体" w:cs="Times New Roman"/>
                      <w:color w:val="000000" w:themeColor="text1"/>
                      <w:sz w:val="21"/>
                      <w:szCs w:val="21"/>
                      <w14:textFill>
                        <w14:solidFill>
                          <w14:schemeClr w14:val="tx1"/>
                        </w14:solidFill>
                      </w14:textFill>
                    </w:rPr>
                    <w:t>监控点处任意一次浓度值</w:t>
                  </w:r>
                  <w:r>
                    <w:rPr>
                      <w:rFonts w:hint="eastAsia"/>
                      <w:color w:val="000000" w:themeColor="text1"/>
                      <w:sz w:val="21"/>
                      <w:szCs w:val="21"/>
                      <w:lang w:val="en-US" w:eastAsia="zh-CN"/>
                      <w14:textFill>
                        <w14:solidFill>
                          <w14:schemeClr w14:val="tx1"/>
                        </w14:solidFill>
                      </w14:textFill>
                    </w:rPr>
                    <w:t>）</w:t>
                  </w:r>
                </w:p>
              </w:tc>
              <w:tc>
                <w:tcPr>
                  <w:tcW w:w="471" w:type="pct"/>
                  <w:vMerge w:val="continue"/>
                  <w:tcBorders>
                    <w:tl2br w:val="nil"/>
                    <w:tr2bl w:val="nil"/>
                  </w:tcBorders>
                  <w:noWrap/>
                  <w:vAlign w:val="center"/>
                </w:tcPr>
                <w:p w14:paraId="3C9B87A4">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14:textFill>
                        <w14:solidFill>
                          <w14:schemeClr w14:val="tx1"/>
                        </w14:solidFill>
                      </w14:textFill>
                    </w:rPr>
                  </w:pPr>
                </w:p>
              </w:tc>
              <w:tc>
                <w:tcPr>
                  <w:tcW w:w="415" w:type="pct"/>
                  <w:vMerge w:val="continue"/>
                  <w:tcBorders>
                    <w:tl2br w:val="nil"/>
                    <w:tr2bl w:val="nil"/>
                  </w:tcBorders>
                  <w:noWrap/>
                  <w:vAlign w:val="center"/>
                </w:tcPr>
                <w:p w14:paraId="6AF67800">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14:textFill>
                        <w14:solidFill>
                          <w14:schemeClr w14:val="tx1"/>
                        </w14:solidFill>
                      </w14:textFill>
                    </w:rPr>
                  </w:pPr>
                </w:p>
              </w:tc>
              <w:tc>
                <w:tcPr>
                  <w:tcW w:w="271" w:type="pct"/>
                  <w:vMerge w:val="continue"/>
                  <w:tcBorders>
                    <w:tl2br w:val="nil"/>
                    <w:tr2bl w:val="nil"/>
                  </w:tcBorders>
                  <w:noWrap/>
                  <w:vAlign w:val="center"/>
                </w:tcPr>
                <w:p w14:paraId="0050B40A">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14:textFill>
                        <w14:solidFill>
                          <w14:schemeClr w14:val="tx1"/>
                        </w14:solidFill>
                      </w14:textFill>
                    </w:rPr>
                  </w:pPr>
                </w:p>
              </w:tc>
            </w:tr>
            <w:tr w14:paraId="7B25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3" w:hRule="atLeast"/>
                <w:jc w:val="center"/>
              </w:trPr>
              <w:tc>
                <w:tcPr>
                  <w:tcW w:w="1507" w:type="pct"/>
                  <w:tcBorders>
                    <w:tl2br w:val="nil"/>
                    <w:tr2bl w:val="nil"/>
                  </w:tcBorders>
                  <w:noWrap/>
                  <w:tcMar>
                    <w:left w:w="0" w:type="dxa"/>
                    <w:right w:w="0" w:type="dxa"/>
                  </w:tcMar>
                  <w:vAlign w:val="center"/>
                </w:tcPr>
                <w:p w14:paraId="7452F8E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《恶臭污染物排放标准》（GB14554-93）</w:t>
                  </w:r>
                  <w:r>
                    <w:rPr>
                      <w:rFonts w:hint="default" w:ascii="Times New Roman" w:hAnsi="Times New Roman" w:eastAsia="宋体" w:cs="Times New Roman"/>
                      <w:b w:val="0"/>
                      <w:bCs w:val="0"/>
                      <w:color w:val="000000" w:themeColor="text1"/>
                      <w:sz w:val="21"/>
                      <w:szCs w:val="21"/>
                      <w14:textFill>
                        <w14:solidFill>
                          <w14:schemeClr w14:val="tx1"/>
                        </w14:solidFill>
                      </w14:textFill>
                    </w:rPr>
                    <w:t>表1恶臭污染物厂界标准值二级新扩改建标准</w:t>
                  </w:r>
                </w:p>
              </w:tc>
              <w:tc>
                <w:tcPr>
                  <w:tcW w:w="481" w:type="pct"/>
                  <w:tcBorders>
                    <w:tl2br w:val="nil"/>
                    <w:tr2bl w:val="nil"/>
                  </w:tcBorders>
                  <w:noWrap/>
                  <w:tcMar>
                    <w:left w:w="0" w:type="dxa"/>
                    <w:right w:w="0" w:type="dxa"/>
                  </w:tcMar>
                  <w:vAlign w:val="center"/>
                </w:tcPr>
                <w:p w14:paraId="05D2EC0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w:t>
                  </w:r>
                </w:p>
              </w:tc>
              <w:tc>
                <w:tcPr>
                  <w:tcW w:w="1852" w:type="pct"/>
                  <w:gridSpan w:val="2"/>
                  <w:tcBorders>
                    <w:tl2br w:val="nil"/>
                    <w:tr2bl w:val="nil"/>
                  </w:tcBorders>
                  <w:noWrap/>
                  <w:vAlign w:val="center"/>
                </w:tcPr>
                <w:p w14:paraId="25AD600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471" w:type="pct"/>
                  <w:tcBorders>
                    <w:tl2br w:val="nil"/>
                    <w:tr2bl w:val="nil"/>
                  </w:tcBorders>
                  <w:noWrap/>
                  <w:vAlign w:val="center"/>
                </w:tcPr>
                <w:p w14:paraId="54E847D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415" w:type="pct"/>
                  <w:tcBorders>
                    <w:tl2br w:val="nil"/>
                    <w:tr2bl w:val="nil"/>
                  </w:tcBorders>
                  <w:noWrap/>
                  <w:vAlign w:val="center"/>
                </w:tcPr>
                <w:p w14:paraId="49177B1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20</w:t>
                  </w:r>
                </w:p>
              </w:tc>
              <w:tc>
                <w:tcPr>
                  <w:tcW w:w="271" w:type="pct"/>
                  <w:tcBorders>
                    <w:tl2br w:val="nil"/>
                    <w:tr2bl w:val="nil"/>
                  </w:tcBorders>
                  <w:noWrap/>
                  <w:vAlign w:val="center"/>
                </w:tcPr>
                <w:p w14:paraId="526D02B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r>
            <w:tr w14:paraId="2A5E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507" w:type="pct"/>
                  <w:tcBorders>
                    <w:tl2br w:val="nil"/>
                    <w:tr2bl w:val="nil"/>
                  </w:tcBorders>
                  <w:noWrap/>
                  <w:tcMar>
                    <w:left w:w="0" w:type="dxa"/>
                    <w:right w:w="0" w:type="dxa"/>
                  </w:tcMar>
                  <w:vAlign w:val="center"/>
                </w:tcPr>
                <w:p w14:paraId="29F4B48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b w:val="0"/>
                      <w:bCs/>
                      <w:color w:val="000000" w:themeColor="text1"/>
                      <w:spacing w:val="-2"/>
                      <w:sz w:val="21"/>
                      <w:szCs w:val="21"/>
                      <w:highlight w:val="none"/>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《大气污染物排放限值》(DB44/27-2001)第二时段无组织排放监控浓度限值</w:t>
                  </w:r>
                </w:p>
              </w:tc>
              <w:tc>
                <w:tcPr>
                  <w:tcW w:w="481" w:type="pct"/>
                  <w:tcBorders>
                    <w:tl2br w:val="nil"/>
                    <w:tr2bl w:val="nil"/>
                  </w:tcBorders>
                  <w:noWrap/>
                  <w:tcMar>
                    <w:left w:w="0" w:type="dxa"/>
                    <w:right w:w="0" w:type="dxa"/>
                  </w:tcMar>
                  <w:vAlign w:val="center"/>
                </w:tcPr>
                <w:p w14:paraId="311D98F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1.0</w:t>
                  </w:r>
                </w:p>
              </w:tc>
              <w:tc>
                <w:tcPr>
                  <w:tcW w:w="1852" w:type="pct"/>
                  <w:gridSpan w:val="2"/>
                  <w:tcBorders>
                    <w:tl2br w:val="nil"/>
                    <w:tr2bl w:val="nil"/>
                  </w:tcBorders>
                  <w:noWrap/>
                  <w:vAlign w:val="center"/>
                </w:tcPr>
                <w:p w14:paraId="5E3C22E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4.0</w:t>
                  </w:r>
                </w:p>
              </w:tc>
              <w:tc>
                <w:tcPr>
                  <w:tcW w:w="471" w:type="pct"/>
                  <w:tcBorders>
                    <w:tl2br w:val="nil"/>
                    <w:tr2bl w:val="nil"/>
                  </w:tcBorders>
                  <w:noWrap/>
                  <w:vAlign w:val="center"/>
                </w:tcPr>
                <w:p w14:paraId="1685392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二甲苯1.2</w:t>
                  </w:r>
                </w:p>
              </w:tc>
              <w:tc>
                <w:tcPr>
                  <w:tcW w:w="415" w:type="pct"/>
                  <w:tcBorders>
                    <w:tl2br w:val="nil"/>
                    <w:tr2bl w:val="nil"/>
                  </w:tcBorders>
                  <w:noWrap/>
                  <w:vAlign w:val="center"/>
                </w:tcPr>
                <w:p w14:paraId="239747F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271" w:type="pct"/>
                  <w:tcBorders>
                    <w:tl2br w:val="nil"/>
                    <w:tr2bl w:val="nil"/>
                  </w:tcBorders>
                  <w:noWrap/>
                  <w:vAlign w:val="center"/>
                </w:tcPr>
                <w:p w14:paraId="3E4152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0.02</w:t>
                  </w:r>
                </w:p>
              </w:tc>
            </w:tr>
            <w:tr w14:paraId="1C8E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 w:hRule="atLeast"/>
                <w:jc w:val="center"/>
              </w:trPr>
              <w:tc>
                <w:tcPr>
                  <w:tcW w:w="1507" w:type="pct"/>
                  <w:vMerge w:val="restart"/>
                  <w:tcBorders>
                    <w:tl2br w:val="nil"/>
                    <w:tr2bl w:val="nil"/>
                  </w:tcBorders>
                  <w:noWrap/>
                  <w:tcMar>
                    <w:left w:w="0" w:type="dxa"/>
                    <w:right w:w="0" w:type="dxa"/>
                  </w:tcMar>
                  <w:vAlign w:val="center"/>
                </w:tcPr>
                <w:p w14:paraId="1209621A">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w:t>
                  </w:r>
                  <w:r>
                    <w:rPr>
                      <w:color w:val="000000" w:themeColor="text1"/>
                      <w:sz w:val="21"/>
                      <w:szCs w:val="21"/>
                      <w14:textFill>
                        <w14:solidFill>
                          <w14:schemeClr w14:val="tx1"/>
                        </w14:solidFill>
                      </w14:textFill>
                    </w:rPr>
                    <w:t>执行限值</w:t>
                  </w:r>
                </w:p>
              </w:tc>
              <w:tc>
                <w:tcPr>
                  <w:tcW w:w="481" w:type="pct"/>
                  <w:vMerge w:val="restart"/>
                  <w:tcBorders>
                    <w:tl2br w:val="nil"/>
                    <w:tr2bl w:val="nil"/>
                  </w:tcBorders>
                  <w:noWrap/>
                  <w:tcMar>
                    <w:left w:w="0" w:type="dxa"/>
                    <w:right w:w="0" w:type="dxa"/>
                  </w:tcMar>
                  <w:vAlign w:val="center"/>
                </w:tcPr>
                <w:p w14:paraId="32DFE25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w:t>
                  </w:r>
                </w:p>
              </w:tc>
              <w:tc>
                <w:tcPr>
                  <w:tcW w:w="945" w:type="pct"/>
                  <w:tcBorders>
                    <w:tl2br w:val="nil"/>
                    <w:tr2bl w:val="nil"/>
                  </w:tcBorders>
                  <w:noWrap/>
                  <w:vAlign w:val="center"/>
                </w:tcPr>
                <w:p w14:paraId="6163B58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厂内：6（</w:t>
                  </w:r>
                  <w:r>
                    <w:rPr>
                      <w:rFonts w:hint="default" w:ascii="Times New Roman" w:hAnsi="Times New Roman" w:eastAsia="宋体" w:cs="Times New Roman"/>
                      <w:color w:val="000000" w:themeColor="text1"/>
                      <w:sz w:val="21"/>
                      <w:szCs w:val="21"/>
                      <w14:textFill>
                        <w14:solidFill>
                          <w14:schemeClr w14:val="tx1"/>
                        </w14:solidFill>
                      </w14:textFill>
                    </w:rPr>
                    <w:t>监控点处1h平均浓度值</w:t>
                  </w:r>
                  <w:r>
                    <w:rPr>
                      <w:rFonts w:hint="eastAsia"/>
                      <w:color w:val="000000" w:themeColor="text1"/>
                      <w:sz w:val="21"/>
                      <w:szCs w:val="21"/>
                      <w:lang w:val="en-US" w:eastAsia="zh-CN"/>
                      <w14:textFill>
                        <w14:solidFill>
                          <w14:schemeClr w14:val="tx1"/>
                        </w14:solidFill>
                      </w14:textFill>
                    </w:rPr>
                    <w:t>）</w:t>
                  </w:r>
                </w:p>
              </w:tc>
              <w:tc>
                <w:tcPr>
                  <w:tcW w:w="907" w:type="pct"/>
                  <w:tcBorders>
                    <w:tl2br w:val="nil"/>
                    <w:tr2bl w:val="nil"/>
                  </w:tcBorders>
                  <w:noWrap/>
                  <w:vAlign w:val="center"/>
                </w:tcPr>
                <w:p w14:paraId="31947B5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厂内：20（</w:t>
                  </w:r>
                  <w:r>
                    <w:rPr>
                      <w:rFonts w:hint="default" w:ascii="Times New Roman" w:hAnsi="Times New Roman" w:eastAsia="宋体" w:cs="Times New Roman"/>
                      <w:color w:val="000000" w:themeColor="text1"/>
                      <w:sz w:val="21"/>
                      <w:szCs w:val="21"/>
                      <w14:textFill>
                        <w14:solidFill>
                          <w14:schemeClr w14:val="tx1"/>
                        </w14:solidFill>
                      </w14:textFill>
                    </w:rPr>
                    <w:t>监控点处任意一次浓度值</w:t>
                  </w:r>
                  <w:r>
                    <w:rPr>
                      <w:rFonts w:hint="eastAsia"/>
                      <w:color w:val="000000" w:themeColor="text1"/>
                      <w:sz w:val="21"/>
                      <w:szCs w:val="21"/>
                      <w:lang w:val="en-US" w:eastAsia="zh-CN"/>
                      <w14:textFill>
                        <w14:solidFill>
                          <w14:schemeClr w14:val="tx1"/>
                        </w14:solidFill>
                      </w14:textFill>
                    </w:rPr>
                    <w:t>）</w:t>
                  </w:r>
                </w:p>
              </w:tc>
              <w:tc>
                <w:tcPr>
                  <w:tcW w:w="471" w:type="pct"/>
                  <w:vMerge w:val="restart"/>
                  <w:tcBorders>
                    <w:tl2br w:val="nil"/>
                    <w:tr2bl w:val="nil"/>
                  </w:tcBorders>
                  <w:noWrap/>
                  <w:vAlign w:val="center"/>
                </w:tcPr>
                <w:p w14:paraId="0751780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1.2</w:t>
                  </w:r>
                </w:p>
              </w:tc>
              <w:tc>
                <w:tcPr>
                  <w:tcW w:w="415" w:type="pct"/>
                  <w:vMerge w:val="restart"/>
                  <w:tcBorders>
                    <w:tl2br w:val="nil"/>
                    <w:tr2bl w:val="nil"/>
                  </w:tcBorders>
                  <w:noWrap/>
                  <w:vAlign w:val="center"/>
                </w:tcPr>
                <w:p w14:paraId="0094788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20（无量纲）</w:t>
                  </w:r>
                </w:p>
              </w:tc>
              <w:tc>
                <w:tcPr>
                  <w:tcW w:w="271" w:type="pct"/>
                  <w:vMerge w:val="restart"/>
                  <w:tcBorders>
                    <w:tl2br w:val="nil"/>
                    <w:tr2bl w:val="nil"/>
                  </w:tcBorders>
                  <w:noWrap/>
                  <w:vAlign w:val="center"/>
                </w:tcPr>
                <w:p w14:paraId="37A90A9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0.02</w:t>
                  </w:r>
                </w:p>
              </w:tc>
            </w:tr>
            <w:tr w14:paraId="44F4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07" w:type="pct"/>
                  <w:vMerge w:val="continue"/>
                  <w:tcBorders>
                    <w:tl2br w:val="nil"/>
                    <w:tr2bl w:val="nil"/>
                  </w:tcBorders>
                  <w:noWrap/>
                  <w:tcMar>
                    <w:left w:w="0" w:type="dxa"/>
                    <w:right w:w="0" w:type="dxa"/>
                  </w:tcMar>
                  <w:vAlign w:val="center"/>
                </w:tcPr>
                <w:p w14:paraId="4A1061E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000000" w:themeColor="text1"/>
                      <w:sz w:val="21"/>
                      <w:szCs w:val="21"/>
                      <w:lang w:val="en-US" w:eastAsia="zh-CN"/>
                      <w14:textFill>
                        <w14:solidFill>
                          <w14:schemeClr w14:val="tx1"/>
                        </w14:solidFill>
                      </w14:textFill>
                    </w:rPr>
                  </w:pPr>
                </w:p>
              </w:tc>
              <w:tc>
                <w:tcPr>
                  <w:tcW w:w="481" w:type="pct"/>
                  <w:vMerge w:val="continue"/>
                  <w:tcBorders>
                    <w:tl2br w:val="nil"/>
                    <w:tr2bl w:val="nil"/>
                  </w:tcBorders>
                  <w:noWrap/>
                  <w:tcMar>
                    <w:left w:w="0" w:type="dxa"/>
                    <w:right w:w="0" w:type="dxa"/>
                  </w:tcMar>
                  <w:vAlign w:val="center"/>
                </w:tcPr>
                <w:p w14:paraId="09E9C7B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000000" w:themeColor="text1"/>
                      <w:sz w:val="21"/>
                      <w:szCs w:val="21"/>
                      <w:lang w:val="en-US" w:eastAsia="zh-CN"/>
                      <w14:textFill>
                        <w14:solidFill>
                          <w14:schemeClr w14:val="tx1"/>
                        </w14:solidFill>
                      </w14:textFill>
                    </w:rPr>
                  </w:pPr>
                </w:p>
              </w:tc>
              <w:tc>
                <w:tcPr>
                  <w:tcW w:w="1852" w:type="pct"/>
                  <w:gridSpan w:val="2"/>
                  <w:tcBorders>
                    <w:tl2br w:val="nil"/>
                    <w:tr2bl w:val="nil"/>
                  </w:tcBorders>
                  <w:noWrap/>
                  <w:vAlign w:val="center"/>
                </w:tcPr>
                <w:p w14:paraId="6FC91D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厂界：</w:t>
                  </w:r>
                  <w:r>
                    <w:rPr>
                      <w:rFonts w:hint="eastAsia"/>
                      <w:b w:val="0"/>
                      <w:bCs/>
                      <w:color w:val="000000" w:themeColor="text1"/>
                      <w:sz w:val="21"/>
                      <w:szCs w:val="21"/>
                      <w:lang w:val="en-US" w:eastAsia="zh-CN"/>
                      <w14:textFill>
                        <w14:solidFill>
                          <w14:schemeClr w14:val="tx1"/>
                        </w14:solidFill>
                      </w14:textFill>
                    </w:rPr>
                    <w:t>4.0（周界外浓度最高点）</w:t>
                  </w:r>
                </w:p>
              </w:tc>
              <w:tc>
                <w:tcPr>
                  <w:tcW w:w="471" w:type="pct"/>
                  <w:vMerge w:val="continue"/>
                  <w:tcBorders>
                    <w:tl2br w:val="nil"/>
                    <w:tr2bl w:val="nil"/>
                  </w:tcBorders>
                  <w:noWrap/>
                  <w:vAlign w:val="center"/>
                </w:tcPr>
                <w:p w14:paraId="373EFC4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000000" w:themeColor="text1"/>
                      <w:sz w:val="21"/>
                      <w:szCs w:val="21"/>
                      <w:lang w:val="en-US" w:eastAsia="zh-CN"/>
                      <w14:textFill>
                        <w14:solidFill>
                          <w14:schemeClr w14:val="tx1"/>
                        </w14:solidFill>
                      </w14:textFill>
                    </w:rPr>
                  </w:pPr>
                </w:p>
              </w:tc>
              <w:tc>
                <w:tcPr>
                  <w:tcW w:w="415" w:type="pct"/>
                  <w:vMerge w:val="continue"/>
                  <w:tcBorders>
                    <w:tl2br w:val="nil"/>
                    <w:tr2bl w:val="nil"/>
                  </w:tcBorders>
                  <w:noWrap/>
                  <w:vAlign w:val="center"/>
                </w:tcPr>
                <w:p w14:paraId="7F143DD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000000" w:themeColor="text1"/>
                      <w:sz w:val="21"/>
                      <w:szCs w:val="21"/>
                      <w:lang w:val="en-US" w:eastAsia="zh-CN"/>
                      <w14:textFill>
                        <w14:solidFill>
                          <w14:schemeClr w14:val="tx1"/>
                        </w14:solidFill>
                      </w14:textFill>
                    </w:rPr>
                  </w:pPr>
                </w:p>
              </w:tc>
              <w:tc>
                <w:tcPr>
                  <w:tcW w:w="271" w:type="pct"/>
                  <w:vMerge w:val="continue"/>
                  <w:tcBorders>
                    <w:tl2br w:val="nil"/>
                    <w:tr2bl w:val="nil"/>
                  </w:tcBorders>
                  <w:noWrap/>
                  <w:vAlign w:val="center"/>
                </w:tcPr>
                <w:p w14:paraId="6A42759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000000" w:themeColor="text1"/>
                      <w:sz w:val="21"/>
                      <w:szCs w:val="21"/>
                      <w:lang w:val="en-US" w:eastAsia="zh-CN"/>
                      <w14:textFill>
                        <w14:solidFill>
                          <w14:schemeClr w14:val="tx1"/>
                        </w14:solidFill>
                      </w14:textFill>
                    </w:rPr>
                  </w:pPr>
                </w:p>
              </w:tc>
            </w:tr>
          </w:tbl>
          <w:p w14:paraId="4536F276">
            <w:pPr>
              <w:pStyle w:val="2"/>
              <w:rPr>
                <w:rFonts w:hint="default"/>
                <w:color w:val="000000" w:themeColor="text1"/>
                <w:lang w:val="en-US" w:eastAsia="zh-CN"/>
                <w14:textFill>
                  <w14:solidFill>
                    <w14:schemeClr w14:val="tx1"/>
                  </w14:solidFill>
                </w14:textFill>
              </w:rPr>
            </w:pPr>
          </w:p>
          <w:p w14:paraId="34789723">
            <w:pPr>
              <w:spacing w:line="360" w:lineRule="auto"/>
              <w:ind w:firstLine="482" w:firstLineChars="200"/>
              <w:rPr>
                <w:rFonts w:hint="eastAsia" w:ascii="Times New Roman" w:hAnsi="Times New Roman" w:eastAsia="宋体" w:cs="Times New Roman"/>
                <w:b/>
                <w:bCs/>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④</w:t>
            </w:r>
            <w:r>
              <w:rPr>
                <w:rFonts w:hint="eastAsia" w:ascii="Times New Roman" w:hAnsi="Times New Roman" w:eastAsia="宋体" w:cs="Times New Roman"/>
                <w:b/>
                <w:bCs/>
                <w:color w:val="000000" w:themeColor="text1"/>
                <w:kern w:val="0"/>
                <w:sz w:val="24"/>
                <w:highlight w:val="none"/>
                <w:lang w:val="en-US" w:eastAsia="zh-CN" w:bidi="ar"/>
                <w14:textFill>
                  <w14:solidFill>
                    <w14:schemeClr w14:val="tx1"/>
                  </w14:solidFill>
                </w14:textFill>
              </w:rPr>
              <w:t>污水处理站恶臭</w:t>
            </w:r>
          </w:p>
          <w:p w14:paraId="5A0FFB57">
            <w:pPr>
              <w:spacing w:line="360" w:lineRule="auto"/>
              <w:ind w:firstLine="480" w:firstLineChars="200"/>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highlight w:val="none"/>
                <w:lang w:val="en-US" w:eastAsia="zh-CN" w:bidi="ar"/>
                <w14:textFill>
                  <w14:solidFill>
                    <w14:schemeClr w14:val="tx1"/>
                  </w14:solidFill>
                </w14:textFill>
              </w:rPr>
              <w:t>本项目</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厂界氨气、硫化氢、臭气浓度排放浓度执行《恶臭污染物排放标准》（GB14554-93）中表1二级标准中“新改扩建”限值要求。</w:t>
            </w:r>
          </w:p>
          <w:p w14:paraId="2C3898D7">
            <w:pPr>
              <w:numPr>
                <w:ilvl w:val="0"/>
                <w:numId w:val="14"/>
              </w:numPr>
              <w:spacing w:line="240" w:lineRule="auto"/>
              <w:ind w:left="0" w:leftChars="0" w:firstLine="40" w:firstLineChars="0"/>
              <w:jc w:val="center"/>
              <w:rPr>
                <w:rFonts w:hint="default"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污水处理站恶臭排放标准（单位：mg/m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w:t>
            </w:r>
          </w:p>
          <w:tbl>
            <w:tblPr>
              <w:tblStyle w:val="4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63"/>
              <w:gridCol w:w="1625"/>
              <w:gridCol w:w="1898"/>
              <w:gridCol w:w="3152"/>
            </w:tblGrid>
            <w:tr w14:paraId="32C9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657900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污染物类别</w:t>
                  </w:r>
                </w:p>
              </w:tc>
              <w:tc>
                <w:tcPr>
                  <w:tcW w:w="974" w:type="pct"/>
                  <w:tcBorders>
                    <w:top w:val="single" w:color="000000" w:sz="4" w:space="0"/>
                    <w:left w:val="single" w:color="000000" w:sz="4" w:space="0"/>
                    <w:bottom w:val="single" w:color="000000" w:sz="4" w:space="0"/>
                    <w:right w:val="single" w:color="000000" w:sz="4" w:space="0"/>
                  </w:tcBorders>
                  <w:noWrap w:val="0"/>
                  <w:vAlign w:val="center"/>
                </w:tcPr>
                <w:p w14:paraId="3518AF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位置</w:t>
                  </w: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3ED4FA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污染因子</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361A49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无组织排放限值</w:t>
                  </w:r>
                </w:p>
              </w:tc>
            </w:tr>
            <w:tr w14:paraId="2628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restart"/>
                  <w:tcBorders>
                    <w:top w:val="single" w:color="000000" w:sz="4" w:space="0"/>
                    <w:left w:val="single" w:color="000000" w:sz="4" w:space="0"/>
                    <w:bottom w:val="single" w:color="000000" w:sz="4" w:space="0"/>
                    <w:right w:val="single" w:color="000000" w:sz="4" w:space="0"/>
                  </w:tcBorders>
                  <w:noWrap w:val="0"/>
                  <w:vAlign w:val="center"/>
                </w:tcPr>
                <w:p w14:paraId="27FEC3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恶臭污染物</w:t>
                  </w:r>
                </w:p>
              </w:tc>
              <w:tc>
                <w:tcPr>
                  <w:tcW w:w="9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64723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厂界</w:t>
                  </w: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0A1CA2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氨</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766A09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w:t>
                  </w:r>
                </w:p>
              </w:tc>
            </w:tr>
            <w:tr w14:paraId="7233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5A1FB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17B9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3569D5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硫化氢</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292593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0.06</w:t>
                  </w:r>
                </w:p>
              </w:tc>
            </w:tr>
            <w:tr w14:paraId="2EFBD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A8B59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9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F4C9A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77B7C5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臭气浓度</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29CB4D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20（无量纲）</w:t>
                  </w:r>
                </w:p>
              </w:tc>
            </w:tr>
          </w:tbl>
          <w:p w14:paraId="4A0055A5">
            <w:pPr>
              <w:spacing w:line="120" w:lineRule="auto"/>
              <w:rPr>
                <w:rFonts w:hint="default" w:ascii="Times New Roman" w:hAnsi="Times New Roman" w:cs="Times New Roman"/>
                <w:color w:val="000000" w:themeColor="text1"/>
                <w:sz w:val="20"/>
                <w:szCs w:val="20"/>
                <w:highlight w:val="none"/>
                <w14:textFill>
                  <w14:solidFill>
                    <w14:schemeClr w14:val="tx1"/>
                  </w14:solidFill>
                </w14:textFill>
              </w:rPr>
            </w:pPr>
          </w:p>
          <w:p w14:paraId="4253A943">
            <w:pPr>
              <w:spacing w:line="360" w:lineRule="auto"/>
              <w:ind w:firstLine="482" w:firstLineChars="200"/>
              <w:rPr>
                <w:rFonts w:hint="default" w:ascii="Times New Roman" w:hAnsi="Times New Roman" w:eastAsia="宋体" w:cs="Times New Roman"/>
                <w:b/>
                <w:bCs/>
                <w:color w:val="000000" w:themeColor="text1"/>
                <w:kern w:val="0"/>
                <w:sz w:val="24"/>
                <w:highlight w:val="none"/>
                <w:lang w:val="en-US" w:eastAsia="zh-CN" w:bidi="ar"/>
                <w14:textFill>
                  <w14:solidFill>
                    <w14:schemeClr w14:val="tx1"/>
                  </w14:solidFill>
                </w14:textFill>
              </w:rPr>
            </w:pPr>
            <w:r>
              <w:rPr>
                <w:rFonts w:hint="eastAsia" w:cs="Times New Roman"/>
                <w:b/>
                <w:bCs/>
                <w:color w:val="000000" w:themeColor="text1"/>
                <w:kern w:val="0"/>
                <w:sz w:val="24"/>
                <w:highlight w:val="none"/>
                <w:lang w:val="en-US" w:eastAsia="zh-CN" w:bidi="ar"/>
                <w14:textFill>
                  <w14:solidFill>
                    <w14:schemeClr w14:val="tx1"/>
                  </w14:solidFill>
                </w14:textFill>
              </w:rPr>
              <w:t>⑤</w:t>
            </w:r>
            <w:r>
              <w:rPr>
                <w:rFonts w:hint="default" w:ascii="Times New Roman" w:hAnsi="Times New Roman" w:eastAsia="宋体" w:cs="Times New Roman"/>
                <w:b/>
                <w:bCs/>
                <w:color w:val="000000" w:themeColor="text1"/>
                <w:kern w:val="0"/>
                <w:sz w:val="24"/>
                <w:highlight w:val="none"/>
                <w:lang w:val="en-US" w:eastAsia="zh-CN" w:bidi="ar"/>
                <w14:textFill>
                  <w14:solidFill>
                    <w14:schemeClr w14:val="tx1"/>
                  </w14:solidFill>
                </w14:textFill>
              </w:rPr>
              <w:t>食堂油烟</w:t>
            </w:r>
          </w:p>
          <w:p w14:paraId="5E11A4D1">
            <w:pPr>
              <w:spacing w:line="360" w:lineRule="auto"/>
              <w:ind w:firstLine="480" w:firstLineChars="200"/>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执行《饮食业油烟排放标准（试行）》（GB 18483-2001）</w:t>
            </w:r>
            <w:r>
              <w:rPr>
                <w:rFonts w:hint="eastAsia" w:cs="Times New Roman"/>
                <w:color w:val="000000" w:themeColor="text1"/>
                <w:kern w:val="0"/>
                <w:sz w:val="24"/>
                <w:highlight w:val="none"/>
                <w:lang w:val="en-US" w:eastAsia="zh-CN" w:bidi="ar"/>
                <w14:textFill>
                  <w14:solidFill>
                    <w14:schemeClr w14:val="tx1"/>
                  </w14:solidFill>
                </w14:textFill>
              </w:rPr>
              <w:t>中型标准</w:t>
            </w:r>
            <w:r>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t>。</w:t>
            </w:r>
          </w:p>
          <w:p w14:paraId="1B94CC7E">
            <w:pPr>
              <w:numPr>
                <w:ilvl w:val="0"/>
                <w:numId w:val="14"/>
              </w:numPr>
              <w:spacing w:line="240" w:lineRule="auto"/>
              <w:ind w:left="0" w:leftChars="0" w:firstLine="40" w:firstLineChars="0"/>
              <w:jc w:val="cente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饮食业油烟排放标准</w:t>
            </w:r>
          </w:p>
          <w:p w14:paraId="0C1DA991">
            <w:pPr>
              <w:keepNext w:val="0"/>
              <w:keepLines w:val="0"/>
              <w:pageBreakBefore w:val="0"/>
              <w:widowControl w:val="0"/>
              <w:bidi w:val="0"/>
              <w:spacing w:line="26" w:lineRule="exact"/>
              <w:rPr>
                <w:rFonts w:hint="default" w:ascii="Times New Roman" w:hAnsi="Times New Roman" w:eastAsia="宋体" w:cs="Times New Roman"/>
                <w:color w:val="000000" w:themeColor="text1"/>
                <w:sz w:val="21"/>
                <w:szCs w:val="21"/>
                <w:highlight w:val="none"/>
                <w14:textFill>
                  <w14:solidFill>
                    <w14:schemeClr w14:val="tx1"/>
                  </w14:solidFill>
                </w14:textFill>
              </w:rPr>
            </w:pPr>
          </w:p>
          <w:tbl>
            <w:tblPr>
              <w:tblStyle w:val="132"/>
              <w:tblW w:w="501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93"/>
              <w:gridCol w:w="1951"/>
              <w:gridCol w:w="1801"/>
              <w:gridCol w:w="1513"/>
            </w:tblGrid>
            <w:tr w14:paraId="63C43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29EFD576">
                  <w:pPr>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3"/>
                      <w:sz w:val="21"/>
                      <w:szCs w:val="21"/>
                      <w:highlight w:val="none"/>
                      <w14:textFill>
                        <w14:solidFill>
                          <w14:schemeClr w14:val="tx1"/>
                        </w14:solidFill>
                      </w14:textFill>
                    </w:rPr>
                    <w:t>规模</w:t>
                  </w:r>
                </w:p>
              </w:tc>
              <w:tc>
                <w:tcPr>
                  <w:tcW w:w="1167" w:type="pct"/>
                  <w:noWrap w:val="0"/>
                  <w:vAlign w:val="center"/>
                </w:tcPr>
                <w:p w14:paraId="3F1EDE55">
                  <w:pPr>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1"/>
                      <w:sz w:val="21"/>
                      <w:szCs w:val="21"/>
                      <w:highlight w:val="none"/>
                      <w14:textFill>
                        <w14:solidFill>
                          <w14:schemeClr w14:val="tx1"/>
                        </w14:solidFill>
                      </w14:textFill>
                    </w:rPr>
                    <w:t>小型</w:t>
                  </w:r>
                </w:p>
              </w:tc>
              <w:tc>
                <w:tcPr>
                  <w:tcW w:w="1077" w:type="pct"/>
                  <w:noWrap w:val="0"/>
                  <w:vAlign w:val="center"/>
                </w:tcPr>
                <w:p w14:paraId="1D0FBE1E">
                  <w:pPr>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6"/>
                      <w:sz w:val="21"/>
                      <w:szCs w:val="21"/>
                      <w:highlight w:val="none"/>
                      <w14:textFill>
                        <w14:solidFill>
                          <w14:schemeClr w14:val="tx1"/>
                        </w14:solidFill>
                      </w14:textFill>
                    </w:rPr>
                    <w:t>中型</w:t>
                  </w:r>
                </w:p>
              </w:tc>
              <w:tc>
                <w:tcPr>
                  <w:tcW w:w="904" w:type="pct"/>
                  <w:noWrap w:val="0"/>
                  <w:vAlign w:val="center"/>
                </w:tcPr>
                <w:p w14:paraId="56803D1E">
                  <w:pPr>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2"/>
                      <w:sz w:val="21"/>
                      <w:szCs w:val="21"/>
                      <w:highlight w:val="none"/>
                      <w14:textFill>
                        <w14:solidFill>
                          <w14:schemeClr w14:val="tx1"/>
                        </w14:solidFill>
                      </w14:textFill>
                    </w:rPr>
                    <w:t>大型</w:t>
                  </w:r>
                </w:p>
              </w:tc>
            </w:tr>
            <w:tr w14:paraId="57DAF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1DC23223">
                  <w:pPr>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基准灶头数</w:t>
                  </w:r>
                </w:p>
              </w:tc>
              <w:tc>
                <w:tcPr>
                  <w:tcW w:w="1167" w:type="pct"/>
                  <w:noWrap w:val="0"/>
                  <w:vAlign w:val="center"/>
                </w:tcPr>
                <w:p w14:paraId="0745C08D">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r>
                    <w:rPr>
                      <w:rFonts w:hint="default" w:ascii="Times New Roman" w:hAnsi="Times New Roman" w:eastAsia="宋体" w:cs="Times New Roman"/>
                      <w:color w:val="000000" w:themeColor="text1"/>
                      <w:spacing w:val="-2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&lt;3</w:t>
                  </w:r>
                </w:p>
              </w:tc>
              <w:tc>
                <w:tcPr>
                  <w:tcW w:w="1077" w:type="pct"/>
                  <w:noWrap w:val="0"/>
                  <w:vAlign w:val="center"/>
                </w:tcPr>
                <w:p w14:paraId="4AAE662E">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≥3</w:t>
                  </w:r>
                  <w:r>
                    <w:rPr>
                      <w:rFonts w:hint="default" w:ascii="Times New Roman" w:hAnsi="Times New Roman" w:eastAsia="宋体" w:cs="Times New Roman"/>
                      <w:b/>
                      <w:bCs/>
                      <w:color w:val="000000" w:themeColor="text1"/>
                      <w:spacing w:val="-24"/>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&lt;6</w:t>
                  </w:r>
                </w:p>
              </w:tc>
              <w:tc>
                <w:tcPr>
                  <w:tcW w:w="904" w:type="pct"/>
                  <w:noWrap w:val="0"/>
                  <w:vAlign w:val="center"/>
                </w:tcPr>
                <w:p w14:paraId="10C18F56">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≥6</w:t>
                  </w:r>
                </w:p>
              </w:tc>
            </w:tr>
            <w:tr w14:paraId="7FA05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5B34C01E">
                  <w:pPr>
                    <w:pStyle w:val="136"/>
                    <w:keepNext w:val="0"/>
                    <w:keepLines w:val="0"/>
                    <w:pageBreakBefore w:val="0"/>
                    <w:widowControl w:val="0"/>
                    <w:bidi w:val="0"/>
                    <w:spacing w:before="0" w:line="240" w:lineRule="auto"/>
                    <w:ind w:left="0" w:leftChars="0"/>
                    <w:jc w:val="center"/>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最高允许排放浓度（</w:t>
                  </w:r>
                  <w:r>
                    <w:rPr>
                      <w:rFonts w:hint="default" w:ascii="Times New Roman" w:hAnsi="Times New Roman" w:eastAsia="宋体" w:cs="Times New Roman"/>
                      <w:color w:val="000000" w:themeColor="text1"/>
                      <w:sz w:val="21"/>
                      <w:szCs w:val="21"/>
                      <w:highlight w:val="none"/>
                      <w14:textFill>
                        <w14:solidFill>
                          <w14:schemeClr w14:val="tx1"/>
                        </w14:solidFill>
                      </w14:textFill>
                    </w:rPr>
                    <w:t>mg</w:t>
                  </w: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bidi="ar"/>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lang w:val="en-US" w:bidi="ar"/>
                      <w14:textFill>
                        <w14:solidFill>
                          <w14:schemeClr w14:val="tx1"/>
                        </w14:solidFill>
                      </w14:textFill>
                    </w:rPr>
                    <w:t>3</w:t>
                  </w: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w:t>
                  </w:r>
                </w:p>
              </w:tc>
              <w:tc>
                <w:tcPr>
                  <w:tcW w:w="3149" w:type="pct"/>
                  <w:gridSpan w:val="3"/>
                  <w:noWrap w:val="0"/>
                  <w:vAlign w:val="center"/>
                </w:tcPr>
                <w:p w14:paraId="5A880670">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2"/>
                      <w:sz w:val="21"/>
                      <w:szCs w:val="21"/>
                      <w:highlight w:val="none"/>
                      <w14:textFill>
                        <w14:solidFill>
                          <w14:schemeClr w14:val="tx1"/>
                        </w14:solidFill>
                      </w14:textFill>
                    </w:rPr>
                    <w:t>2.0</w:t>
                  </w:r>
                </w:p>
              </w:tc>
            </w:tr>
            <w:tr w14:paraId="67BAF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5B2A8A88">
                  <w:pPr>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净化设施最低去除效率（%）</w:t>
                  </w:r>
                </w:p>
              </w:tc>
              <w:tc>
                <w:tcPr>
                  <w:tcW w:w="1167" w:type="pct"/>
                  <w:noWrap w:val="0"/>
                  <w:vAlign w:val="center"/>
                </w:tcPr>
                <w:p w14:paraId="00A0411F">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60</w:t>
                  </w:r>
                </w:p>
              </w:tc>
              <w:tc>
                <w:tcPr>
                  <w:tcW w:w="1077" w:type="pct"/>
                  <w:noWrap w:val="0"/>
                  <w:vAlign w:val="center"/>
                </w:tcPr>
                <w:p w14:paraId="00637BBE">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75</w:t>
                  </w:r>
                </w:p>
              </w:tc>
              <w:tc>
                <w:tcPr>
                  <w:tcW w:w="904" w:type="pct"/>
                  <w:noWrap w:val="0"/>
                  <w:vAlign w:val="center"/>
                </w:tcPr>
                <w:p w14:paraId="0D92B098">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t>85</w:t>
                  </w:r>
                </w:p>
              </w:tc>
            </w:tr>
          </w:tbl>
          <w:p w14:paraId="464B709F">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000000" w:themeColor="text1"/>
                <w:kern w:val="0"/>
                <w:sz w:val="24"/>
                <w:highlight w:val="none"/>
                <w:lang w:val="en-US" w:eastAsia="zh-CN" w:bidi="ar"/>
                <w14:textFill>
                  <w14:solidFill>
                    <w14:schemeClr w14:val="tx1"/>
                  </w14:solidFill>
                </w14:textFill>
              </w:rPr>
            </w:pPr>
          </w:p>
          <w:p w14:paraId="3148896F">
            <w:pPr>
              <w:spacing w:line="360" w:lineRule="auto"/>
              <w:ind w:firstLine="482" w:firstLineChars="200"/>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2、</w:t>
            </w:r>
            <w:r>
              <w:rPr>
                <w:rFonts w:hint="default" w:ascii="Times New Roman" w:hAnsi="Times New Roman" w:cs="Times New Roman"/>
                <w:b/>
                <w:bCs/>
                <w:color w:val="000000" w:themeColor="text1"/>
                <w:sz w:val="24"/>
                <w:highlight w:val="none"/>
                <w14:textFill>
                  <w14:solidFill>
                    <w14:schemeClr w14:val="tx1"/>
                  </w14:solidFill>
                </w14:textFill>
              </w:rPr>
              <w:t>水污染物排放标准</w:t>
            </w:r>
          </w:p>
          <w:p w14:paraId="5F1555E9">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本项目运营期废水主要为员工生活污水</w:t>
            </w:r>
            <w:r>
              <w:rPr>
                <w:rFonts w:hint="eastAsia" w:cs="Times New Roman"/>
                <w:snapToGrid w:val="0"/>
                <w:color w:val="000000" w:themeColor="text1"/>
                <w:kern w:val="0"/>
                <w:sz w:val="24"/>
                <w:szCs w:val="21"/>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前处理废水</w:t>
            </w:r>
            <w:r>
              <w:rPr>
                <w:rFonts w:hint="eastAsia" w:cs="Times New Roman"/>
                <w:snapToGrid w:val="0"/>
                <w:color w:val="000000" w:themeColor="text1"/>
                <w:kern w:val="0"/>
                <w:sz w:val="24"/>
                <w:szCs w:val="21"/>
                <w:highlight w:val="none"/>
                <w:lang w:val="en-US" w:eastAsia="zh-CN" w:bidi="ar-SA"/>
                <w14:textFill>
                  <w14:solidFill>
                    <w14:schemeClr w14:val="tx1"/>
                  </w14:solidFill>
                </w14:textFill>
              </w:rPr>
              <w:t>、水帘柜废水和喷淋废水</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w:t>
            </w:r>
          </w:p>
          <w:p w14:paraId="4733D4B4">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生活污水经“三级化粪池+隔油隔渣池”处理达到广东省地方标准《水污染物排放限值》（DB44/26-2001）第二时段三级标准</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以及</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园区污水处理厂接管水质要求</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两</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者较严值后，</w:t>
            </w:r>
            <w:r>
              <w:rPr>
                <w:rFonts w:hint="default" w:ascii="Times New Roman" w:hAnsi="Times New Roman" w:cs="Times New Roman"/>
                <w:color w:val="000000" w:themeColor="text1"/>
                <w:sz w:val="24"/>
                <w:szCs w:val="24"/>
                <w:highlight w:val="none"/>
                <w14:textFill>
                  <w14:solidFill>
                    <w14:schemeClr w14:val="tx1"/>
                  </w14:solidFill>
                </w14:textFill>
              </w:rPr>
              <w:t>排入园区污水处理厂处理</w:t>
            </w:r>
            <w:r>
              <w:rPr>
                <w:rFonts w:hint="eastAsia"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根据《电镀水污染物排放标准》（DB44/1597-2015），钝化工艺属于化学转移膜类，适用电镀行业标准，根据标准“4.2.7 企业（含电镀专业园区）向公共污水处理系统排放废水时，总铬、六价铬、总镍、总镉、总银、总铅、总汞等第一类污染物执行表 1、表 2 相应的排放限值；pH 排放限值为 6～9，其他污染物的排放不超过本标准现有项目相应排放限值的200%。”，生产废水应满足中间接排放标准，因此前处理废水经自建污水处理站处理，园区污水处理厂接管水质要求、广东省《水污染物排放限值》（DB44/26-2001）第二时段三级标准以及《电镀水污染物排放标准》（DB44/1597-2015）</w:t>
            </w:r>
            <w:r>
              <w:rPr>
                <w:rFonts w:hint="eastAsia" w:cs="Times New Roman"/>
                <w:snapToGrid w:val="0"/>
                <w:color w:val="000000" w:themeColor="text1"/>
                <w:kern w:val="0"/>
                <w:sz w:val="24"/>
                <w:szCs w:val="21"/>
                <w:highlight w:val="none"/>
                <w:lang w:val="en-US" w:eastAsia="zh-CN" w:bidi="ar-SA"/>
                <w14:textFill>
                  <w14:solidFill>
                    <w14:schemeClr w14:val="tx1"/>
                  </w14:solidFill>
                </w14:textFill>
              </w:rPr>
              <w:t>表1现有项目水污染物非珠三角排放限值200%（其中总铝按</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表2新建项目水污染物排放限值-非珠三角地区执行</w:t>
            </w:r>
            <w:r>
              <w:rPr>
                <w:rFonts w:hint="eastAsia" w:cs="Times New Roman"/>
                <w:snapToGrid w:val="0"/>
                <w:color w:val="000000" w:themeColor="text1"/>
                <w:kern w:val="0"/>
                <w:sz w:val="24"/>
                <w:szCs w:val="21"/>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三者较严值要求，</w:t>
            </w:r>
            <w:r>
              <w:rPr>
                <w:rFonts w:hint="eastAsia" w:cs="Times New Roman"/>
                <w:snapToGrid w:val="0"/>
                <w:color w:val="000000" w:themeColor="text1"/>
                <w:kern w:val="0"/>
                <w:sz w:val="24"/>
                <w:szCs w:val="21"/>
                <w:highlight w:val="none"/>
                <w:lang w:val="en-US" w:eastAsia="zh-CN" w:bidi="ar-SA"/>
                <w14:textFill>
                  <w14:solidFill>
                    <w14:schemeClr w14:val="tx1"/>
                  </w14:solidFill>
                </w14:textFill>
              </w:rPr>
              <w:t>经处理的废水最后</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排入园区污水处理厂处理。</w:t>
            </w:r>
          </w:p>
          <w:p w14:paraId="35348C11">
            <w:pPr>
              <w:widowControl w:val="0"/>
              <w:kinsoku/>
              <w:autoSpaceDE/>
              <w:autoSpaceDN/>
              <w:adjustRightInd/>
              <w:snapToGrid/>
              <w:spacing w:line="360" w:lineRule="auto"/>
              <w:ind w:firstLine="480" w:firstLineChars="200"/>
              <w:jc w:val="both"/>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园区污水处理厂出水水质标准执行广东省《</w:t>
            </w:r>
            <w:r>
              <w:rPr>
                <w:rFonts w:hint="eastAsia"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水污染物排放限值</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》（DB44/26-2001）第二时段一级标准和《城镇污水处理厂污染物排放标准》（</w:t>
            </w:r>
            <w:r>
              <w:rPr>
                <w:rFonts w:hint="eastAsia" w:cs="Times New Roman"/>
                <w:snapToGrid w:val="0"/>
                <w:color w:val="000000" w:themeColor="text1"/>
                <w:kern w:val="0"/>
                <w:sz w:val="24"/>
                <w:szCs w:val="21"/>
                <w:highlight w:val="none"/>
                <w:lang w:val="en-US" w:eastAsia="zh-CN" w:bidi="ar-SA"/>
                <w14:textFill>
                  <w14:solidFill>
                    <w14:schemeClr w14:val="tx1"/>
                  </w14:solidFill>
                </w14:textFill>
              </w:rPr>
              <w:t>GB18918-2002</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）一级B标准中严者。</w:t>
            </w:r>
            <w:r>
              <w:rPr>
                <w:rFonts w:hint="default" w:ascii="Times New Roman" w:hAnsi="Times New Roman" w:eastAsia="宋体" w:cs="Times New Roman"/>
                <w:snapToGrid w:val="0"/>
                <w:color w:val="000000" w:themeColor="text1"/>
                <w:kern w:val="0"/>
                <w:sz w:val="24"/>
                <w:szCs w:val="21"/>
                <w:highlight w:val="none"/>
                <w:lang w:val="zh-CN" w:eastAsia="zh-CN" w:bidi="ar-SA"/>
                <w14:textFill>
                  <w14:solidFill>
                    <w14:schemeClr w14:val="tx1"/>
                  </w14:solidFill>
                </w14:textFill>
              </w:rPr>
              <w:t>相关排放标准情况</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见下表</w:t>
            </w:r>
            <w:r>
              <w:rPr>
                <w:rFonts w:hint="eastAsia" w:cs="Times New Roman"/>
                <w:snapToGrid w:val="0"/>
                <w:color w:val="000000" w:themeColor="text1"/>
                <w:kern w:val="0"/>
                <w:sz w:val="24"/>
                <w:szCs w:val="21"/>
                <w:highlight w:val="none"/>
                <w:lang w:val="en-US" w:eastAsia="zh-CN" w:bidi="ar-SA"/>
                <w14:textFill>
                  <w14:solidFill>
                    <w14:schemeClr w14:val="tx1"/>
                  </w14:solidFill>
                </w14:textFill>
              </w:rPr>
              <w:t>。</w:t>
            </w:r>
          </w:p>
          <w:p w14:paraId="37F905F6">
            <w:pPr>
              <w:numPr>
                <w:ilvl w:val="0"/>
                <w:numId w:val="14"/>
              </w:numPr>
              <w:spacing w:line="240" w:lineRule="auto"/>
              <w:ind w:left="0" w:lef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本项目水污染物排放标准</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单位：</w:t>
            </w:r>
            <w:r>
              <w:rPr>
                <w:rFonts w:hint="default" w:ascii="Times New Roman" w:hAnsi="Times New Roman" w:cs="Times New Roman"/>
                <w:b/>
                <w:bCs/>
                <w:color w:val="000000" w:themeColor="text1"/>
                <w:sz w:val="21"/>
                <w:szCs w:val="21"/>
                <w:highlight w:val="none"/>
                <w14:textFill>
                  <w14:solidFill>
                    <w14:schemeClr w14:val="tx1"/>
                  </w14:solidFill>
                </w14:textFill>
              </w:rPr>
              <w:t>mg/L，pH为无量纲</w:t>
            </w:r>
          </w:p>
          <w:tbl>
            <w:tblPr>
              <w:tblStyle w:val="44"/>
              <w:tblW w:w="8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0"/>
              <w:gridCol w:w="465"/>
              <w:gridCol w:w="660"/>
              <w:gridCol w:w="720"/>
              <w:gridCol w:w="600"/>
              <w:gridCol w:w="615"/>
              <w:gridCol w:w="675"/>
              <w:gridCol w:w="630"/>
              <w:gridCol w:w="585"/>
              <w:gridCol w:w="652"/>
              <w:gridCol w:w="600"/>
              <w:gridCol w:w="638"/>
              <w:gridCol w:w="434"/>
            </w:tblGrid>
            <w:tr w14:paraId="3BCD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1240" w:type="dxa"/>
                  <w:tcBorders>
                    <w:tl2br w:val="nil"/>
                    <w:tr2bl w:val="nil"/>
                  </w:tcBorders>
                  <w:noWrap/>
                  <w:tcMar>
                    <w:left w:w="0" w:type="dxa"/>
                    <w:right w:w="0" w:type="dxa"/>
                  </w:tcMar>
                  <w:vAlign w:val="center"/>
                </w:tcPr>
                <w:p w14:paraId="308ACF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465" w:type="dxa"/>
                  <w:tcBorders>
                    <w:tl2br w:val="nil"/>
                    <w:tr2bl w:val="nil"/>
                  </w:tcBorders>
                  <w:noWrap/>
                  <w:tcMar>
                    <w:left w:w="0" w:type="dxa"/>
                    <w:right w:w="0" w:type="dxa"/>
                  </w:tcMar>
                  <w:vAlign w:val="center"/>
                </w:tcPr>
                <w:p w14:paraId="2244B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pH</w:t>
                  </w:r>
                </w:p>
              </w:tc>
              <w:tc>
                <w:tcPr>
                  <w:tcW w:w="660" w:type="dxa"/>
                  <w:tcBorders>
                    <w:tl2br w:val="nil"/>
                    <w:tr2bl w:val="nil"/>
                  </w:tcBorders>
                  <w:noWrap/>
                  <w:tcMar>
                    <w:left w:w="0" w:type="dxa"/>
                    <w:right w:w="0" w:type="dxa"/>
                  </w:tcMar>
                  <w:vAlign w:val="center"/>
                </w:tcPr>
                <w:p w14:paraId="52FB0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vertAlign w:val="subscript"/>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COD</w:t>
                  </w:r>
                  <w:r>
                    <w:rPr>
                      <w:rFonts w:hint="default" w:ascii="Times New Roman" w:hAnsi="Times New Roman" w:cs="Times New Roman"/>
                      <w:b/>
                      <w:bCs/>
                      <w:color w:val="000000" w:themeColor="text1"/>
                      <w:sz w:val="21"/>
                      <w:szCs w:val="21"/>
                      <w:highlight w:val="none"/>
                      <w:vertAlign w:val="subscript"/>
                      <w14:textFill>
                        <w14:solidFill>
                          <w14:schemeClr w14:val="tx1"/>
                        </w14:solidFill>
                      </w14:textFill>
                    </w:rPr>
                    <w:t>Cr</w:t>
                  </w:r>
                </w:p>
              </w:tc>
              <w:tc>
                <w:tcPr>
                  <w:tcW w:w="720" w:type="dxa"/>
                  <w:tcBorders>
                    <w:tl2br w:val="nil"/>
                    <w:tr2bl w:val="nil"/>
                  </w:tcBorders>
                  <w:noWrap/>
                  <w:vAlign w:val="center"/>
                </w:tcPr>
                <w:p w14:paraId="74B83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vertAlign w:val="subscript"/>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BOD</w:t>
                  </w:r>
                  <w:r>
                    <w:rPr>
                      <w:rFonts w:hint="default" w:ascii="Times New Roman" w:hAnsi="Times New Roman" w:cs="Times New Roman"/>
                      <w:b/>
                      <w:bCs/>
                      <w:color w:val="000000" w:themeColor="text1"/>
                      <w:sz w:val="21"/>
                      <w:szCs w:val="21"/>
                      <w:highlight w:val="none"/>
                      <w:vertAlign w:val="subscript"/>
                      <w14:textFill>
                        <w14:solidFill>
                          <w14:schemeClr w14:val="tx1"/>
                        </w14:solidFill>
                      </w14:textFill>
                    </w:rPr>
                    <w:t>5</w:t>
                  </w:r>
                </w:p>
              </w:tc>
              <w:tc>
                <w:tcPr>
                  <w:tcW w:w="600" w:type="dxa"/>
                  <w:tcBorders>
                    <w:tl2br w:val="nil"/>
                    <w:tr2bl w:val="nil"/>
                  </w:tcBorders>
                  <w:noWrap/>
                  <w:vAlign w:val="center"/>
                </w:tcPr>
                <w:p w14:paraId="15A9F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SS</w:t>
                  </w:r>
                </w:p>
              </w:tc>
              <w:tc>
                <w:tcPr>
                  <w:tcW w:w="615" w:type="dxa"/>
                  <w:tcBorders>
                    <w:tl2br w:val="nil"/>
                    <w:tr2bl w:val="nil"/>
                  </w:tcBorders>
                  <w:noWrap/>
                  <w:vAlign w:val="center"/>
                </w:tcPr>
                <w:p w14:paraId="37C13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氨氮</w:t>
                  </w:r>
                </w:p>
              </w:tc>
              <w:tc>
                <w:tcPr>
                  <w:tcW w:w="675" w:type="dxa"/>
                  <w:tcBorders>
                    <w:tl2br w:val="nil"/>
                    <w:tr2bl w:val="nil"/>
                  </w:tcBorders>
                  <w:noWrap/>
                  <w:vAlign w:val="center"/>
                </w:tcPr>
                <w:p w14:paraId="78F157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LAS</w:t>
                  </w:r>
                </w:p>
              </w:tc>
              <w:tc>
                <w:tcPr>
                  <w:tcW w:w="630" w:type="dxa"/>
                  <w:tcBorders>
                    <w:tl2br w:val="nil"/>
                    <w:tr2bl w:val="nil"/>
                  </w:tcBorders>
                  <w:noWrap/>
                  <w:vAlign w:val="center"/>
                </w:tcPr>
                <w:p w14:paraId="49267A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氟化物</w:t>
                  </w:r>
                </w:p>
              </w:tc>
              <w:tc>
                <w:tcPr>
                  <w:tcW w:w="585" w:type="dxa"/>
                  <w:tcBorders>
                    <w:tl2br w:val="nil"/>
                    <w:tr2bl w:val="nil"/>
                  </w:tcBorders>
                  <w:noWrap/>
                  <w:vAlign w:val="center"/>
                </w:tcPr>
                <w:p w14:paraId="3BBC6F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石油类</w:t>
                  </w:r>
                </w:p>
              </w:tc>
              <w:tc>
                <w:tcPr>
                  <w:tcW w:w="652" w:type="dxa"/>
                  <w:tcBorders>
                    <w:tl2br w:val="nil"/>
                    <w:tr2bl w:val="nil"/>
                  </w:tcBorders>
                  <w:noWrap/>
                  <w:vAlign w:val="center"/>
                </w:tcPr>
                <w:p w14:paraId="6F433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总磷</w:t>
                  </w:r>
                </w:p>
              </w:tc>
              <w:tc>
                <w:tcPr>
                  <w:tcW w:w="600" w:type="dxa"/>
                  <w:tcBorders>
                    <w:tl2br w:val="nil"/>
                    <w:tr2bl w:val="nil"/>
                  </w:tcBorders>
                  <w:noWrap/>
                  <w:vAlign w:val="center"/>
                </w:tcPr>
                <w:p w14:paraId="60C7D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动植物油</w:t>
                  </w:r>
                </w:p>
              </w:tc>
              <w:tc>
                <w:tcPr>
                  <w:tcW w:w="638" w:type="dxa"/>
                  <w:tcBorders>
                    <w:tl2br w:val="nil"/>
                    <w:tr2bl w:val="nil"/>
                  </w:tcBorders>
                  <w:noWrap/>
                  <w:vAlign w:val="center"/>
                </w:tcPr>
                <w:p w14:paraId="6FF56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总铝</w:t>
                  </w:r>
                </w:p>
              </w:tc>
              <w:tc>
                <w:tcPr>
                  <w:tcW w:w="434" w:type="dxa"/>
                  <w:tcBorders>
                    <w:tl2br w:val="nil"/>
                    <w:tr2bl w:val="nil"/>
                  </w:tcBorders>
                  <w:noWrap/>
                  <w:vAlign w:val="center"/>
                </w:tcPr>
                <w:p w14:paraId="16C016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TN</w:t>
                  </w:r>
                </w:p>
              </w:tc>
            </w:tr>
            <w:tr w14:paraId="7C04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240" w:type="dxa"/>
                  <w:tcBorders>
                    <w:tl2br w:val="nil"/>
                    <w:tr2bl w:val="nil"/>
                  </w:tcBorders>
                  <w:noWrap/>
                  <w:tcMar>
                    <w:left w:w="0" w:type="dxa"/>
                    <w:right w:w="0" w:type="dxa"/>
                  </w:tcMar>
                  <w:vAlign w:val="center"/>
                </w:tcPr>
                <w:p w14:paraId="18DB4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园区污水处理厂接管水质要求</w:t>
                  </w:r>
                </w:p>
              </w:tc>
              <w:tc>
                <w:tcPr>
                  <w:tcW w:w="465" w:type="dxa"/>
                  <w:tcBorders>
                    <w:tl2br w:val="nil"/>
                    <w:tr2bl w:val="nil"/>
                  </w:tcBorders>
                  <w:noWrap/>
                  <w:tcMar>
                    <w:left w:w="0" w:type="dxa"/>
                    <w:right w:w="0" w:type="dxa"/>
                  </w:tcMar>
                  <w:vAlign w:val="center"/>
                </w:tcPr>
                <w:p w14:paraId="3F1983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6-9</w:t>
                  </w:r>
                </w:p>
              </w:tc>
              <w:tc>
                <w:tcPr>
                  <w:tcW w:w="660" w:type="dxa"/>
                  <w:tcBorders>
                    <w:tl2br w:val="nil"/>
                    <w:tr2bl w:val="nil"/>
                  </w:tcBorders>
                  <w:noWrap/>
                  <w:tcMar>
                    <w:left w:w="0" w:type="dxa"/>
                    <w:right w:w="0" w:type="dxa"/>
                  </w:tcMar>
                  <w:vAlign w:val="center"/>
                </w:tcPr>
                <w:p w14:paraId="1C174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300</w:t>
                  </w:r>
                </w:p>
              </w:tc>
              <w:tc>
                <w:tcPr>
                  <w:tcW w:w="720" w:type="dxa"/>
                  <w:tcBorders>
                    <w:tl2br w:val="nil"/>
                    <w:tr2bl w:val="nil"/>
                  </w:tcBorders>
                  <w:noWrap/>
                  <w:vAlign w:val="center"/>
                </w:tcPr>
                <w:p w14:paraId="3B73C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150</w:t>
                  </w:r>
                </w:p>
              </w:tc>
              <w:tc>
                <w:tcPr>
                  <w:tcW w:w="600" w:type="dxa"/>
                  <w:tcBorders>
                    <w:tl2br w:val="nil"/>
                    <w:tr2bl w:val="nil"/>
                  </w:tcBorders>
                  <w:noWrap/>
                  <w:vAlign w:val="center"/>
                </w:tcPr>
                <w:p w14:paraId="0CAFE3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250</w:t>
                  </w:r>
                </w:p>
              </w:tc>
              <w:tc>
                <w:tcPr>
                  <w:tcW w:w="615" w:type="dxa"/>
                  <w:tcBorders>
                    <w:tl2br w:val="nil"/>
                    <w:tr2bl w:val="nil"/>
                  </w:tcBorders>
                  <w:noWrap/>
                  <w:vAlign w:val="center"/>
                </w:tcPr>
                <w:p w14:paraId="3D482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w:t>
                  </w:r>
                </w:p>
              </w:tc>
              <w:tc>
                <w:tcPr>
                  <w:tcW w:w="675" w:type="dxa"/>
                  <w:tcBorders>
                    <w:tl2br w:val="nil"/>
                    <w:tr2bl w:val="nil"/>
                  </w:tcBorders>
                  <w:noWrap/>
                  <w:vAlign w:val="center"/>
                </w:tcPr>
                <w:p w14:paraId="1E357A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630" w:type="dxa"/>
                  <w:tcBorders>
                    <w:tl2br w:val="nil"/>
                    <w:tr2bl w:val="nil"/>
                  </w:tcBorders>
                  <w:noWrap/>
                  <w:vAlign w:val="center"/>
                </w:tcPr>
                <w:p w14:paraId="0CC2BC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585" w:type="dxa"/>
                  <w:tcBorders>
                    <w:tl2br w:val="nil"/>
                    <w:tr2bl w:val="nil"/>
                  </w:tcBorders>
                  <w:noWrap/>
                  <w:vAlign w:val="center"/>
                </w:tcPr>
                <w:p w14:paraId="033DC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652" w:type="dxa"/>
                  <w:tcBorders>
                    <w:tl2br w:val="nil"/>
                    <w:tr2bl w:val="nil"/>
                  </w:tcBorders>
                  <w:noWrap/>
                  <w:vAlign w:val="center"/>
                </w:tcPr>
                <w:p w14:paraId="413344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600" w:type="dxa"/>
                  <w:tcBorders>
                    <w:tl2br w:val="nil"/>
                    <w:tr2bl w:val="nil"/>
                  </w:tcBorders>
                  <w:noWrap/>
                  <w:vAlign w:val="center"/>
                </w:tcPr>
                <w:p w14:paraId="3B8905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638" w:type="dxa"/>
                  <w:tcBorders>
                    <w:tl2br w:val="nil"/>
                    <w:tr2bl w:val="nil"/>
                  </w:tcBorders>
                  <w:noWrap/>
                  <w:vAlign w:val="center"/>
                </w:tcPr>
                <w:p w14:paraId="10208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434" w:type="dxa"/>
                  <w:tcBorders>
                    <w:tl2br w:val="nil"/>
                    <w:tr2bl w:val="nil"/>
                  </w:tcBorders>
                  <w:noWrap/>
                  <w:vAlign w:val="center"/>
                </w:tcPr>
                <w:p w14:paraId="43EA5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4656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58" w:hRule="atLeast"/>
                <w:jc w:val="center"/>
              </w:trPr>
              <w:tc>
                <w:tcPr>
                  <w:tcW w:w="1240" w:type="dxa"/>
                  <w:tcBorders>
                    <w:tl2br w:val="nil"/>
                    <w:tr2bl w:val="nil"/>
                  </w:tcBorders>
                  <w:noWrap/>
                  <w:tcMar>
                    <w:left w:w="0" w:type="dxa"/>
                    <w:right w:w="0" w:type="dxa"/>
                  </w:tcMar>
                  <w:vAlign w:val="center"/>
                </w:tcPr>
                <w:p w14:paraId="4DA46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DB44/26-2001第二时段三级标准</w:t>
                  </w:r>
                </w:p>
              </w:tc>
              <w:tc>
                <w:tcPr>
                  <w:tcW w:w="465" w:type="dxa"/>
                  <w:tcBorders>
                    <w:tl2br w:val="nil"/>
                    <w:tr2bl w:val="nil"/>
                  </w:tcBorders>
                  <w:noWrap/>
                  <w:tcMar>
                    <w:left w:w="0" w:type="dxa"/>
                    <w:right w:w="0" w:type="dxa"/>
                  </w:tcMar>
                  <w:vAlign w:val="center"/>
                </w:tcPr>
                <w:p w14:paraId="629B8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6-9</w:t>
                  </w:r>
                </w:p>
              </w:tc>
              <w:tc>
                <w:tcPr>
                  <w:tcW w:w="660" w:type="dxa"/>
                  <w:tcBorders>
                    <w:tl2br w:val="nil"/>
                    <w:tr2bl w:val="nil"/>
                  </w:tcBorders>
                  <w:noWrap/>
                  <w:tcMar>
                    <w:left w:w="0" w:type="dxa"/>
                    <w:right w:w="0" w:type="dxa"/>
                  </w:tcMar>
                  <w:vAlign w:val="center"/>
                </w:tcPr>
                <w:p w14:paraId="2D9DF2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500</w:t>
                  </w:r>
                </w:p>
              </w:tc>
              <w:tc>
                <w:tcPr>
                  <w:tcW w:w="720" w:type="dxa"/>
                  <w:tcBorders>
                    <w:tl2br w:val="nil"/>
                    <w:tr2bl w:val="nil"/>
                  </w:tcBorders>
                  <w:noWrap/>
                  <w:vAlign w:val="center"/>
                </w:tcPr>
                <w:p w14:paraId="244B62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300</w:t>
                  </w:r>
                </w:p>
              </w:tc>
              <w:tc>
                <w:tcPr>
                  <w:tcW w:w="600" w:type="dxa"/>
                  <w:tcBorders>
                    <w:tl2br w:val="nil"/>
                    <w:tr2bl w:val="nil"/>
                  </w:tcBorders>
                  <w:noWrap/>
                  <w:vAlign w:val="center"/>
                </w:tcPr>
                <w:p w14:paraId="28823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400</w:t>
                  </w:r>
                </w:p>
              </w:tc>
              <w:tc>
                <w:tcPr>
                  <w:tcW w:w="615" w:type="dxa"/>
                  <w:tcBorders>
                    <w:tl2br w:val="nil"/>
                    <w:tr2bl w:val="nil"/>
                  </w:tcBorders>
                  <w:noWrap/>
                  <w:vAlign w:val="center"/>
                </w:tcPr>
                <w:p w14:paraId="0A6F04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675" w:type="dxa"/>
                  <w:tcBorders>
                    <w:tl2br w:val="nil"/>
                    <w:tr2bl w:val="nil"/>
                  </w:tcBorders>
                  <w:noWrap/>
                  <w:vAlign w:val="center"/>
                </w:tcPr>
                <w:p w14:paraId="69659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630" w:type="dxa"/>
                  <w:tcBorders>
                    <w:tl2br w:val="nil"/>
                    <w:tr2bl w:val="nil"/>
                  </w:tcBorders>
                  <w:noWrap/>
                  <w:vAlign w:val="center"/>
                </w:tcPr>
                <w:p w14:paraId="45C7C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585" w:type="dxa"/>
                  <w:tcBorders>
                    <w:tl2br w:val="nil"/>
                    <w:tr2bl w:val="nil"/>
                  </w:tcBorders>
                  <w:noWrap/>
                  <w:vAlign w:val="center"/>
                </w:tcPr>
                <w:p w14:paraId="1114E6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w:t>
                  </w:r>
                </w:p>
              </w:tc>
              <w:tc>
                <w:tcPr>
                  <w:tcW w:w="652" w:type="dxa"/>
                  <w:tcBorders>
                    <w:tl2br w:val="nil"/>
                    <w:tr2bl w:val="nil"/>
                  </w:tcBorders>
                  <w:noWrap/>
                  <w:vAlign w:val="center"/>
                </w:tcPr>
                <w:p w14:paraId="2A3D7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600" w:type="dxa"/>
                  <w:tcBorders>
                    <w:tl2br w:val="nil"/>
                    <w:tr2bl w:val="nil"/>
                  </w:tcBorders>
                  <w:noWrap/>
                  <w:vAlign w:val="center"/>
                </w:tcPr>
                <w:p w14:paraId="095C4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100</w:t>
                  </w:r>
                </w:p>
              </w:tc>
              <w:tc>
                <w:tcPr>
                  <w:tcW w:w="638" w:type="dxa"/>
                  <w:tcBorders>
                    <w:tl2br w:val="nil"/>
                    <w:tr2bl w:val="nil"/>
                  </w:tcBorders>
                  <w:noWrap/>
                  <w:vAlign w:val="center"/>
                </w:tcPr>
                <w:p w14:paraId="4D3F8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434" w:type="dxa"/>
                  <w:tcBorders>
                    <w:tl2br w:val="nil"/>
                    <w:tr2bl w:val="nil"/>
                  </w:tcBorders>
                  <w:noWrap/>
                  <w:vAlign w:val="center"/>
                </w:tcPr>
                <w:p w14:paraId="0F72A2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573F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81" w:hRule="atLeast"/>
                <w:jc w:val="center"/>
              </w:trPr>
              <w:tc>
                <w:tcPr>
                  <w:tcW w:w="1240" w:type="dxa"/>
                  <w:tcBorders>
                    <w:tl2br w:val="nil"/>
                    <w:tr2bl w:val="nil"/>
                  </w:tcBorders>
                  <w:noWrap/>
                  <w:tcMar>
                    <w:left w:w="0" w:type="dxa"/>
                    <w:right w:w="0" w:type="dxa"/>
                  </w:tcMar>
                  <w:vAlign w:val="center"/>
                </w:tcPr>
                <w:p w14:paraId="0563C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DB44/1597-2015</w:t>
                  </w:r>
                  <w:r>
                    <w:rPr>
                      <w:rFonts w:hint="eastAsia" w:cs="Times New Roman"/>
                      <w:color w:val="000000" w:themeColor="text1"/>
                      <w:sz w:val="21"/>
                      <w:szCs w:val="21"/>
                      <w:highlight w:val="none"/>
                      <w:lang w:val="en-US" w:eastAsia="zh-CN"/>
                      <w14:textFill>
                        <w14:solidFill>
                          <w14:schemeClr w14:val="tx1"/>
                        </w14:solidFill>
                      </w14:textFill>
                    </w:rPr>
                    <w:t>表1现有项目水污染排放限值-非珠三角</w:t>
                  </w:r>
                </w:p>
              </w:tc>
              <w:tc>
                <w:tcPr>
                  <w:tcW w:w="465" w:type="dxa"/>
                  <w:tcBorders>
                    <w:tl2br w:val="nil"/>
                    <w:tr2bl w:val="nil"/>
                  </w:tcBorders>
                  <w:noWrap/>
                  <w:tcMar>
                    <w:left w:w="0" w:type="dxa"/>
                    <w:right w:w="0" w:type="dxa"/>
                  </w:tcMar>
                  <w:vAlign w:val="center"/>
                </w:tcPr>
                <w:p w14:paraId="28D628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6-9</w:t>
                  </w:r>
                </w:p>
              </w:tc>
              <w:tc>
                <w:tcPr>
                  <w:tcW w:w="660" w:type="dxa"/>
                  <w:tcBorders>
                    <w:tl2br w:val="nil"/>
                    <w:tr2bl w:val="nil"/>
                  </w:tcBorders>
                  <w:noWrap/>
                  <w:tcMar>
                    <w:left w:w="0" w:type="dxa"/>
                    <w:right w:w="0" w:type="dxa"/>
                  </w:tcMar>
                  <w:vAlign w:val="center"/>
                </w:tcPr>
                <w:p w14:paraId="41D8E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160</w:t>
                  </w:r>
                </w:p>
              </w:tc>
              <w:tc>
                <w:tcPr>
                  <w:tcW w:w="720" w:type="dxa"/>
                  <w:tcBorders>
                    <w:tl2br w:val="nil"/>
                    <w:tr2bl w:val="nil"/>
                  </w:tcBorders>
                  <w:noWrap/>
                  <w:vAlign w:val="center"/>
                </w:tcPr>
                <w:p w14:paraId="010FAB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600" w:type="dxa"/>
                  <w:tcBorders>
                    <w:tl2br w:val="nil"/>
                    <w:tr2bl w:val="nil"/>
                  </w:tcBorders>
                  <w:noWrap/>
                  <w:vAlign w:val="center"/>
                </w:tcPr>
                <w:p w14:paraId="344876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100</w:t>
                  </w:r>
                </w:p>
              </w:tc>
              <w:tc>
                <w:tcPr>
                  <w:tcW w:w="615" w:type="dxa"/>
                  <w:tcBorders>
                    <w:tl2br w:val="nil"/>
                    <w:tr2bl w:val="nil"/>
                  </w:tcBorders>
                  <w:noWrap/>
                  <w:vAlign w:val="center"/>
                </w:tcPr>
                <w:p w14:paraId="7542D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c>
                <w:tcPr>
                  <w:tcW w:w="675" w:type="dxa"/>
                  <w:tcBorders>
                    <w:tl2br w:val="nil"/>
                    <w:tr2bl w:val="nil"/>
                  </w:tcBorders>
                  <w:noWrap/>
                  <w:vAlign w:val="center"/>
                </w:tcPr>
                <w:p w14:paraId="75C74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630" w:type="dxa"/>
                  <w:tcBorders>
                    <w:tl2br w:val="nil"/>
                    <w:tr2bl w:val="nil"/>
                  </w:tcBorders>
                  <w:noWrap/>
                  <w:vAlign w:val="center"/>
                </w:tcPr>
                <w:p w14:paraId="37074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w:t>
                  </w:r>
                </w:p>
              </w:tc>
              <w:tc>
                <w:tcPr>
                  <w:tcW w:w="585" w:type="dxa"/>
                  <w:tcBorders>
                    <w:tl2br w:val="nil"/>
                    <w:tr2bl w:val="nil"/>
                  </w:tcBorders>
                  <w:noWrap/>
                  <w:vAlign w:val="center"/>
                </w:tcPr>
                <w:p w14:paraId="54888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6.0</w:t>
                  </w:r>
                </w:p>
              </w:tc>
              <w:tc>
                <w:tcPr>
                  <w:tcW w:w="652" w:type="dxa"/>
                  <w:tcBorders>
                    <w:tl2br w:val="nil"/>
                    <w:tr2bl w:val="nil"/>
                  </w:tcBorders>
                  <w:noWrap/>
                  <w:vAlign w:val="center"/>
                </w:tcPr>
                <w:p w14:paraId="7041D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w:t>
                  </w:r>
                </w:p>
              </w:tc>
              <w:tc>
                <w:tcPr>
                  <w:tcW w:w="600" w:type="dxa"/>
                  <w:tcBorders>
                    <w:tl2br w:val="nil"/>
                    <w:tr2bl w:val="nil"/>
                  </w:tcBorders>
                  <w:noWrap/>
                  <w:vAlign w:val="center"/>
                </w:tcPr>
                <w:p w14:paraId="2855E8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638" w:type="dxa"/>
                  <w:tcBorders>
                    <w:tl2br w:val="nil"/>
                    <w:tr2bl w:val="nil"/>
                  </w:tcBorders>
                  <w:noWrap/>
                  <w:vAlign w:val="center"/>
                </w:tcPr>
                <w:p w14:paraId="6D9E5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w:t>
                  </w:r>
                </w:p>
              </w:tc>
              <w:tc>
                <w:tcPr>
                  <w:tcW w:w="434" w:type="dxa"/>
                  <w:tcBorders>
                    <w:tl2br w:val="nil"/>
                    <w:tr2bl w:val="nil"/>
                  </w:tcBorders>
                  <w:noWrap/>
                  <w:vAlign w:val="center"/>
                </w:tcPr>
                <w:p w14:paraId="66FB4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w:t>
                  </w:r>
                </w:p>
              </w:tc>
            </w:tr>
            <w:tr w14:paraId="6FA4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65" w:hRule="atLeast"/>
                <w:jc w:val="center"/>
              </w:trPr>
              <w:tc>
                <w:tcPr>
                  <w:tcW w:w="1240" w:type="dxa"/>
                  <w:tcBorders>
                    <w:tl2br w:val="nil"/>
                    <w:tr2bl w:val="nil"/>
                  </w:tcBorders>
                  <w:noWrap/>
                  <w:tcMar>
                    <w:left w:w="0" w:type="dxa"/>
                    <w:right w:w="0" w:type="dxa"/>
                  </w:tcMar>
                  <w:vAlign w:val="center"/>
                </w:tcPr>
                <w:p w14:paraId="6B8379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生活污水排放</w:t>
                  </w:r>
                  <w:r>
                    <w:rPr>
                      <w:rFonts w:hint="default" w:ascii="Times New Roman" w:hAnsi="Times New Roman" w:cs="Times New Roman"/>
                      <w:b/>
                      <w:bCs/>
                      <w:color w:val="000000" w:themeColor="text1"/>
                      <w:sz w:val="21"/>
                      <w:szCs w:val="21"/>
                      <w:highlight w:val="none"/>
                      <w14:textFill>
                        <w14:solidFill>
                          <w14:schemeClr w14:val="tx1"/>
                        </w14:solidFill>
                      </w14:textFill>
                    </w:rPr>
                    <w:t>限值</w:t>
                  </w:r>
                </w:p>
              </w:tc>
              <w:tc>
                <w:tcPr>
                  <w:tcW w:w="465" w:type="dxa"/>
                  <w:tcBorders>
                    <w:tl2br w:val="nil"/>
                    <w:tr2bl w:val="nil"/>
                  </w:tcBorders>
                  <w:noWrap/>
                  <w:tcMar>
                    <w:left w:w="0" w:type="dxa"/>
                    <w:right w:w="0" w:type="dxa"/>
                  </w:tcMar>
                  <w:vAlign w:val="center"/>
                </w:tcPr>
                <w:p w14:paraId="37A4B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6-9</w:t>
                  </w:r>
                </w:p>
              </w:tc>
              <w:tc>
                <w:tcPr>
                  <w:tcW w:w="660" w:type="dxa"/>
                  <w:tcBorders>
                    <w:tl2br w:val="nil"/>
                    <w:tr2bl w:val="nil"/>
                  </w:tcBorders>
                  <w:noWrap/>
                  <w:tcMar>
                    <w:left w:w="0" w:type="dxa"/>
                    <w:right w:w="0" w:type="dxa"/>
                  </w:tcMar>
                  <w:vAlign w:val="center"/>
                </w:tcPr>
                <w:p w14:paraId="1A3954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300</w:t>
                  </w:r>
                </w:p>
              </w:tc>
              <w:tc>
                <w:tcPr>
                  <w:tcW w:w="720" w:type="dxa"/>
                  <w:tcBorders>
                    <w:tl2br w:val="nil"/>
                    <w:tr2bl w:val="nil"/>
                  </w:tcBorders>
                  <w:noWrap/>
                  <w:vAlign w:val="center"/>
                </w:tcPr>
                <w:p w14:paraId="1FA773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150</w:t>
                  </w:r>
                </w:p>
              </w:tc>
              <w:tc>
                <w:tcPr>
                  <w:tcW w:w="600" w:type="dxa"/>
                  <w:tcBorders>
                    <w:tl2br w:val="nil"/>
                    <w:tr2bl w:val="nil"/>
                  </w:tcBorders>
                  <w:noWrap/>
                  <w:vAlign w:val="center"/>
                </w:tcPr>
                <w:p w14:paraId="0E645F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250</w:t>
                  </w:r>
                </w:p>
              </w:tc>
              <w:tc>
                <w:tcPr>
                  <w:tcW w:w="615" w:type="dxa"/>
                  <w:tcBorders>
                    <w:tl2br w:val="nil"/>
                    <w:tr2bl w:val="nil"/>
                  </w:tcBorders>
                  <w:noWrap/>
                  <w:vAlign w:val="center"/>
                </w:tcPr>
                <w:p w14:paraId="720EF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40</w:t>
                  </w:r>
                </w:p>
              </w:tc>
              <w:tc>
                <w:tcPr>
                  <w:tcW w:w="675" w:type="dxa"/>
                  <w:tcBorders>
                    <w:tl2br w:val="nil"/>
                    <w:tr2bl w:val="nil"/>
                  </w:tcBorders>
                  <w:noWrap/>
                  <w:vAlign w:val="center"/>
                </w:tcPr>
                <w:p w14:paraId="06E32C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20</w:t>
                  </w:r>
                </w:p>
              </w:tc>
              <w:tc>
                <w:tcPr>
                  <w:tcW w:w="630" w:type="dxa"/>
                  <w:tcBorders>
                    <w:tl2br w:val="nil"/>
                    <w:tr2bl w:val="nil"/>
                  </w:tcBorders>
                  <w:noWrap/>
                  <w:vAlign w:val="center"/>
                </w:tcPr>
                <w:p w14:paraId="485453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20</w:t>
                  </w:r>
                </w:p>
              </w:tc>
              <w:tc>
                <w:tcPr>
                  <w:tcW w:w="585" w:type="dxa"/>
                  <w:tcBorders>
                    <w:tl2br w:val="nil"/>
                    <w:tr2bl w:val="nil"/>
                  </w:tcBorders>
                  <w:noWrap/>
                  <w:vAlign w:val="center"/>
                </w:tcPr>
                <w:p w14:paraId="38941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20</w:t>
                  </w:r>
                </w:p>
              </w:tc>
              <w:tc>
                <w:tcPr>
                  <w:tcW w:w="652" w:type="dxa"/>
                  <w:tcBorders>
                    <w:tl2br w:val="nil"/>
                    <w:tr2bl w:val="nil"/>
                  </w:tcBorders>
                  <w:noWrap/>
                  <w:vAlign w:val="center"/>
                </w:tcPr>
                <w:p w14:paraId="30E40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w:t>
                  </w:r>
                </w:p>
              </w:tc>
              <w:tc>
                <w:tcPr>
                  <w:tcW w:w="600" w:type="dxa"/>
                  <w:tcBorders>
                    <w:tl2br w:val="nil"/>
                    <w:tr2bl w:val="nil"/>
                  </w:tcBorders>
                  <w:noWrap/>
                  <w:vAlign w:val="center"/>
                </w:tcPr>
                <w:p w14:paraId="12DD5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100</w:t>
                  </w:r>
                </w:p>
              </w:tc>
              <w:tc>
                <w:tcPr>
                  <w:tcW w:w="638" w:type="dxa"/>
                  <w:tcBorders>
                    <w:tl2br w:val="nil"/>
                    <w:tr2bl w:val="nil"/>
                  </w:tcBorders>
                  <w:noWrap/>
                  <w:vAlign w:val="center"/>
                </w:tcPr>
                <w:p w14:paraId="6B1DB4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w:t>
                  </w:r>
                </w:p>
              </w:tc>
              <w:tc>
                <w:tcPr>
                  <w:tcW w:w="434" w:type="dxa"/>
                  <w:tcBorders>
                    <w:tl2br w:val="nil"/>
                    <w:tr2bl w:val="nil"/>
                  </w:tcBorders>
                  <w:noWrap/>
                  <w:vAlign w:val="center"/>
                </w:tcPr>
                <w:p w14:paraId="527F72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w:t>
                  </w:r>
                </w:p>
              </w:tc>
            </w:tr>
            <w:tr w14:paraId="11FB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240" w:type="dxa"/>
                  <w:tcBorders>
                    <w:tl2br w:val="nil"/>
                    <w:tr2bl w:val="nil"/>
                  </w:tcBorders>
                  <w:noWrap/>
                  <w:tcMar>
                    <w:left w:w="0" w:type="dxa"/>
                    <w:right w:w="0" w:type="dxa"/>
                  </w:tcMar>
                  <w:vAlign w:val="center"/>
                </w:tcPr>
                <w:p w14:paraId="3FFB8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生产废水排放</w:t>
                  </w:r>
                  <w:r>
                    <w:rPr>
                      <w:rFonts w:hint="default" w:ascii="Times New Roman" w:hAnsi="Times New Roman" w:cs="Times New Roman"/>
                      <w:b/>
                      <w:bCs/>
                      <w:color w:val="000000" w:themeColor="text1"/>
                      <w:sz w:val="21"/>
                      <w:szCs w:val="21"/>
                      <w:highlight w:val="none"/>
                      <w14:textFill>
                        <w14:solidFill>
                          <w14:schemeClr w14:val="tx1"/>
                        </w14:solidFill>
                      </w14:textFill>
                    </w:rPr>
                    <w:t>限值</w:t>
                  </w:r>
                </w:p>
              </w:tc>
              <w:tc>
                <w:tcPr>
                  <w:tcW w:w="465" w:type="dxa"/>
                  <w:tcBorders>
                    <w:tl2br w:val="nil"/>
                    <w:tr2bl w:val="nil"/>
                  </w:tcBorders>
                  <w:noWrap/>
                  <w:tcMar>
                    <w:left w:w="0" w:type="dxa"/>
                    <w:right w:w="0" w:type="dxa"/>
                  </w:tcMar>
                  <w:vAlign w:val="center"/>
                </w:tcPr>
                <w:p w14:paraId="62C42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6-9</w:t>
                  </w:r>
                </w:p>
              </w:tc>
              <w:tc>
                <w:tcPr>
                  <w:tcW w:w="660" w:type="dxa"/>
                  <w:tcBorders>
                    <w:tl2br w:val="nil"/>
                    <w:tr2bl w:val="nil"/>
                  </w:tcBorders>
                  <w:noWrap/>
                  <w:tcMar>
                    <w:left w:w="0" w:type="dxa"/>
                    <w:right w:w="0" w:type="dxa"/>
                  </w:tcMar>
                  <w:vAlign w:val="center"/>
                </w:tcPr>
                <w:p w14:paraId="2B603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160</w:t>
                  </w:r>
                </w:p>
              </w:tc>
              <w:tc>
                <w:tcPr>
                  <w:tcW w:w="720" w:type="dxa"/>
                  <w:tcBorders>
                    <w:tl2br w:val="nil"/>
                    <w:tr2bl w:val="nil"/>
                  </w:tcBorders>
                  <w:noWrap/>
                  <w:vAlign w:val="center"/>
                </w:tcPr>
                <w:p w14:paraId="62B51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150</w:t>
                  </w:r>
                </w:p>
              </w:tc>
              <w:tc>
                <w:tcPr>
                  <w:tcW w:w="600" w:type="dxa"/>
                  <w:tcBorders>
                    <w:tl2br w:val="nil"/>
                    <w:tr2bl w:val="nil"/>
                  </w:tcBorders>
                  <w:noWrap/>
                  <w:vAlign w:val="center"/>
                </w:tcPr>
                <w:p w14:paraId="14710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100</w:t>
                  </w:r>
                </w:p>
              </w:tc>
              <w:tc>
                <w:tcPr>
                  <w:tcW w:w="615" w:type="dxa"/>
                  <w:tcBorders>
                    <w:tl2br w:val="nil"/>
                    <w:tr2bl w:val="nil"/>
                  </w:tcBorders>
                  <w:noWrap/>
                  <w:vAlign w:val="center"/>
                </w:tcPr>
                <w:p w14:paraId="5A5F06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30</w:t>
                  </w:r>
                </w:p>
              </w:tc>
              <w:tc>
                <w:tcPr>
                  <w:tcW w:w="675" w:type="dxa"/>
                  <w:tcBorders>
                    <w:tl2br w:val="nil"/>
                    <w:tr2bl w:val="nil"/>
                  </w:tcBorders>
                  <w:noWrap/>
                  <w:vAlign w:val="center"/>
                </w:tcPr>
                <w:p w14:paraId="4BB8C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20</w:t>
                  </w:r>
                </w:p>
              </w:tc>
              <w:tc>
                <w:tcPr>
                  <w:tcW w:w="630" w:type="dxa"/>
                  <w:tcBorders>
                    <w:tl2br w:val="nil"/>
                    <w:tr2bl w:val="nil"/>
                  </w:tcBorders>
                  <w:noWrap/>
                  <w:vAlign w:val="center"/>
                </w:tcPr>
                <w:p w14:paraId="3677F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20</w:t>
                  </w:r>
                </w:p>
              </w:tc>
              <w:tc>
                <w:tcPr>
                  <w:tcW w:w="585" w:type="dxa"/>
                  <w:tcBorders>
                    <w:tl2br w:val="nil"/>
                    <w:tr2bl w:val="nil"/>
                  </w:tcBorders>
                  <w:noWrap/>
                  <w:vAlign w:val="center"/>
                </w:tcPr>
                <w:p w14:paraId="165EA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6.0</w:t>
                  </w:r>
                </w:p>
              </w:tc>
              <w:tc>
                <w:tcPr>
                  <w:tcW w:w="652" w:type="dxa"/>
                  <w:tcBorders>
                    <w:tl2br w:val="nil"/>
                    <w:tr2bl w:val="nil"/>
                  </w:tcBorders>
                  <w:noWrap/>
                  <w:vAlign w:val="center"/>
                </w:tcPr>
                <w:p w14:paraId="6060C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2.0</w:t>
                  </w:r>
                </w:p>
              </w:tc>
              <w:tc>
                <w:tcPr>
                  <w:tcW w:w="600" w:type="dxa"/>
                  <w:tcBorders>
                    <w:tl2br w:val="nil"/>
                    <w:tr2bl w:val="nil"/>
                  </w:tcBorders>
                  <w:noWrap/>
                  <w:vAlign w:val="center"/>
                </w:tcPr>
                <w:p w14:paraId="5DBD8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w:t>
                  </w:r>
                </w:p>
              </w:tc>
              <w:tc>
                <w:tcPr>
                  <w:tcW w:w="638" w:type="dxa"/>
                  <w:tcBorders>
                    <w:tl2br w:val="nil"/>
                    <w:tr2bl w:val="nil"/>
                  </w:tcBorders>
                  <w:noWrap/>
                  <w:vAlign w:val="center"/>
                </w:tcPr>
                <w:p w14:paraId="16B6A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2.0</w:t>
                  </w:r>
                </w:p>
              </w:tc>
              <w:tc>
                <w:tcPr>
                  <w:tcW w:w="434" w:type="dxa"/>
                  <w:tcBorders>
                    <w:tl2br w:val="nil"/>
                    <w:tr2bl w:val="nil"/>
                  </w:tcBorders>
                  <w:noWrap/>
                  <w:vAlign w:val="center"/>
                </w:tcPr>
                <w:p w14:paraId="65C1C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40</w:t>
                  </w:r>
                </w:p>
              </w:tc>
            </w:tr>
            <w:tr w14:paraId="0E63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514" w:type="dxa"/>
                  <w:gridSpan w:val="13"/>
                  <w:tcBorders>
                    <w:tl2br w:val="nil"/>
                    <w:tr2bl w:val="nil"/>
                  </w:tcBorders>
                  <w:noWrap/>
                  <w:tcMar>
                    <w:left w:w="0" w:type="dxa"/>
                    <w:right w:w="0" w:type="dxa"/>
                  </w:tcMar>
                  <w:vAlign w:val="center"/>
                </w:tcPr>
                <w:p w14:paraId="743C6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注：</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预防和控制含重金废水对下游纳污河段的影响，根据有关专家和主管部门的建议，重金属离子参照废水直接排放标准执行，即按《电镀水污染物排放标准》（DB44/1597-2015）表2新建项目水污染物排放限值-非珠三角地区执行。</w:t>
                  </w:r>
                </w:p>
              </w:tc>
            </w:tr>
          </w:tbl>
          <w:p w14:paraId="4313CB64">
            <w:pPr>
              <w:numPr>
                <w:ilvl w:val="0"/>
                <w:numId w:val="14"/>
              </w:numPr>
              <w:spacing w:line="240" w:lineRule="auto"/>
              <w:ind w:left="0" w:leftChars="0" w:firstLine="40" w:firstLineChars="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园区污水处理厂水污染物排放限值（摘录）</w:t>
            </w:r>
            <w:r>
              <w:rPr>
                <w:rFonts w:hint="eastAsia" w:cs="Times New Roman"/>
                <w:b/>
                <w:bCs/>
                <w:color w:val="000000" w:themeColor="text1"/>
                <w:sz w:val="21"/>
                <w:szCs w:val="21"/>
                <w:highlight w:val="none"/>
                <w:lang w:val="en-US" w:eastAsia="zh-CN"/>
                <w14:textFill>
                  <w14:solidFill>
                    <w14:schemeClr w14:val="tx1"/>
                  </w14:solidFill>
                </w14:textFill>
              </w:rPr>
              <w:t xml:space="preserve"> 单位：</w:t>
            </w:r>
            <w:r>
              <w:rPr>
                <w:rFonts w:hint="default" w:ascii="Times New Roman" w:hAnsi="Times New Roman" w:cs="Times New Roman"/>
                <w:b/>
                <w:bCs/>
                <w:color w:val="000000" w:themeColor="text1"/>
                <w:sz w:val="21"/>
                <w:szCs w:val="21"/>
                <w:highlight w:val="none"/>
                <w14:textFill>
                  <w14:solidFill>
                    <w14:schemeClr w14:val="tx1"/>
                  </w14:solidFill>
                </w14:textFill>
              </w:rPr>
              <w:t>mg/L</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bCs/>
                <w:color w:val="000000" w:themeColor="text1"/>
                <w:sz w:val="21"/>
                <w:szCs w:val="21"/>
                <w:highlight w:val="none"/>
                <w14:textFill>
                  <w14:solidFill>
                    <w14:schemeClr w14:val="tx1"/>
                  </w14:solidFill>
                </w14:textFill>
              </w:rPr>
              <w:t>pH为无量纲</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817"/>
              <w:gridCol w:w="806"/>
              <w:gridCol w:w="643"/>
              <w:gridCol w:w="1014"/>
              <w:gridCol w:w="1920"/>
              <w:gridCol w:w="1353"/>
            </w:tblGrid>
            <w:tr w14:paraId="4D00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064" w:type="pct"/>
                  <w:tcBorders>
                    <w:bottom w:val="single" w:color="auto" w:sz="4" w:space="0"/>
                    <w:tl2br w:val="nil"/>
                    <w:tr2bl w:val="nil"/>
                  </w:tcBorders>
                  <w:noWrap/>
                  <w:tcMar>
                    <w:left w:w="0" w:type="dxa"/>
                    <w:right w:w="0" w:type="dxa"/>
                  </w:tcMar>
                  <w:vAlign w:val="center"/>
                </w:tcPr>
                <w:p w14:paraId="413A59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491" w:type="pct"/>
                  <w:tcBorders>
                    <w:bottom w:val="single" w:color="auto" w:sz="4" w:space="0"/>
                    <w:tl2br w:val="nil"/>
                    <w:tr2bl w:val="nil"/>
                  </w:tcBorders>
                  <w:noWrap/>
                  <w:tcMar>
                    <w:left w:w="0" w:type="dxa"/>
                    <w:right w:w="0" w:type="dxa"/>
                  </w:tcMar>
                  <w:vAlign w:val="center"/>
                </w:tcPr>
                <w:p w14:paraId="62239A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vertAlign w:val="subscript"/>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COD</w:t>
                  </w:r>
                  <w:r>
                    <w:rPr>
                      <w:rFonts w:hint="default" w:ascii="Times New Roman" w:hAnsi="Times New Roman" w:cs="Times New Roman"/>
                      <w:b/>
                      <w:bCs/>
                      <w:color w:val="000000" w:themeColor="text1"/>
                      <w:sz w:val="21"/>
                      <w:szCs w:val="21"/>
                      <w:highlight w:val="none"/>
                      <w:vertAlign w:val="subscript"/>
                      <w14:textFill>
                        <w14:solidFill>
                          <w14:schemeClr w14:val="tx1"/>
                        </w14:solidFill>
                      </w14:textFill>
                    </w:rPr>
                    <w:t>Cr</w:t>
                  </w:r>
                </w:p>
              </w:tc>
              <w:tc>
                <w:tcPr>
                  <w:tcW w:w="484" w:type="pct"/>
                  <w:tcBorders>
                    <w:bottom w:val="single" w:color="auto" w:sz="4" w:space="0"/>
                    <w:tl2br w:val="nil"/>
                    <w:tr2bl w:val="nil"/>
                  </w:tcBorders>
                  <w:noWrap/>
                  <w:vAlign w:val="center"/>
                </w:tcPr>
                <w:p w14:paraId="271B2E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vertAlign w:val="subscript"/>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BOD</w:t>
                  </w:r>
                  <w:r>
                    <w:rPr>
                      <w:rFonts w:hint="default" w:ascii="Times New Roman" w:hAnsi="Times New Roman" w:cs="Times New Roman"/>
                      <w:b/>
                      <w:bCs/>
                      <w:color w:val="000000" w:themeColor="text1"/>
                      <w:sz w:val="21"/>
                      <w:szCs w:val="21"/>
                      <w:highlight w:val="none"/>
                      <w:vertAlign w:val="subscript"/>
                      <w14:textFill>
                        <w14:solidFill>
                          <w14:schemeClr w14:val="tx1"/>
                        </w14:solidFill>
                      </w14:textFill>
                    </w:rPr>
                    <w:t>5</w:t>
                  </w:r>
                </w:p>
              </w:tc>
              <w:tc>
                <w:tcPr>
                  <w:tcW w:w="386" w:type="pct"/>
                  <w:tcBorders>
                    <w:bottom w:val="single" w:color="auto" w:sz="4" w:space="0"/>
                    <w:tl2br w:val="nil"/>
                    <w:tr2bl w:val="nil"/>
                  </w:tcBorders>
                  <w:noWrap/>
                  <w:vAlign w:val="center"/>
                </w:tcPr>
                <w:p w14:paraId="0A5A37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SS</w:t>
                  </w:r>
                </w:p>
              </w:tc>
              <w:tc>
                <w:tcPr>
                  <w:tcW w:w="609" w:type="pct"/>
                  <w:tcBorders>
                    <w:bottom w:val="single" w:color="auto" w:sz="4" w:space="0"/>
                    <w:tl2br w:val="nil"/>
                    <w:tr2bl w:val="nil"/>
                  </w:tcBorders>
                  <w:noWrap/>
                  <w:vAlign w:val="center"/>
                </w:tcPr>
                <w:p w14:paraId="22E6DC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氨氮</w:t>
                  </w:r>
                </w:p>
              </w:tc>
              <w:tc>
                <w:tcPr>
                  <w:tcW w:w="1153" w:type="pct"/>
                  <w:tcBorders>
                    <w:bottom w:val="single" w:color="auto" w:sz="4" w:space="0"/>
                    <w:tl2br w:val="nil"/>
                    <w:tr2bl w:val="nil"/>
                  </w:tcBorders>
                  <w:noWrap/>
                  <w:vAlign w:val="center"/>
                </w:tcPr>
                <w:p w14:paraId="43E40D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阴离子表面活性剂</w:t>
                  </w:r>
                </w:p>
              </w:tc>
              <w:tc>
                <w:tcPr>
                  <w:tcW w:w="810" w:type="pct"/>
                  <w:tcBorders>
                    <w:bottom w:val="single" w:color="auto" w:sz="4" w:space="0"/>
                    <w:tl2br w:val="nil"/>
                    <w:tr2bl w:val="nil"/>
                  </w:tcBorders>
                  <w:noWrap/>
                  <w:vAlign w:val="center"/>
                </w:tcPr>
                <w:p w14:paraId="4AC7CC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动植物油</w:t>
                  </w:r>
                </w:p>
              </w:tc>
            </w:tr>
            <w:tr w14:paraId="1BCA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064"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E69D8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DB44/26-2001第二时段一级排放标准</w:t>
                  </w:r>
                </w:p>
              </w:tc>
              <w:tc>
                <w:tcPr>
                  <w:tcW w:w="49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3726D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w:t>
                  </w:r>
                </w:p>
              </w:tc>
              <w:tc>
                <w:tcPr>
                  <w:tcW w:w="484" w:type="pct"/>
                  <w:tcBorders>
                    <w:top w:val="single" w:color="auto" w:sz="4" w:space="0"/>
                    <w:left w:val="single" w:color="auto" w:sz="4" w:space="0"/>
                    <w:bottom w:val="single" w:color="auto" w:sz="4" w:space="0"/>
                    <w:right w:val="single" w:color="auto" w:sz="4" w:space="0"/>
                    <w:tl2br w:val="nil"/>
                    <w:tr2bl w:val="nil"/>
                  </w:tcBorders>
                  <w:noWrap/>
                  <w:vAlign w:val="center"/>
                </w:tcPr>
                <w:p w14:paraId="3A7F27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386" w:type="pct"/>
                  <w:tcBorders>
                    <w:top w:val="single" w:color="auto" w:sz="4" w:space="0"/>
                    <w:left w:val="single" w:color="auto" w:sz="4" w:space="0"/>
                    <w:bottom w:val="single" w:color="auto" w:sz="4" w:space="0"/>
                    <w:right w:val="single" w:color="auto" w:sz="4" w:space="0"/>
                    <w:tl2br w:val="nil"/>
                    <w:tr2bl w:val="nil"/>
                  </w:tcBorders>
                  <w:noWrap/>
                  <w:vAlign w:val="center"/>
                </w:tcPr>
                <w:p w14:paraId="3273C4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609" w:type="pct"/>
                  <w:tcBorders>
                    <w:top w:val="single" w:color="auto" w:sz="4" w:space="0"/>
                    <w:left w:val="single" w:color="auto" w:sz="4" w:space="0"/>
                    <w:bottom w:val="single" w:color="auto" w:sz="4" w:space="0"/>
                    <w:right w:val="single" w:color="auto" w:sz="4" w:space="0"/>
                    <w:tl2br w:val="nil"/>
                    <w:tr2bl w:val="nil"/>
                  </w:tcBorders>
                  <w:noWrap/>
                  <w:vAlign w:val="center"/>
                </w:tcPr>
                <w:p w14:paraId="20218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c>
                <w:tcPr>
                  <w:tcW w:w="1153" w:type="pct"/>
                  <w:tcBorders>
                    <w:top w:val="single" w:color="auto" w:sz="4" w:space="0"/>
                    <w:left w:val="single" w:color="auto" w:sz="4" w:space="0"/>
                    <w:bottom w:val="single" w:color="auto" w:sz="4" w:space="0"/>
                    <w:right w:val="single" w:color="auto" w:sz="4" w:space="0"/>
                    <w:tl2br w:val="nil"/>
                    <w:tr2bl w:val="nil"/>
                  </w:tcBorders>
                  <w:noWrap/>
                  <w:vAlign w:val="center"/>
                </w:tcPr>
                <w:p w14:paraId="735A7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5.0</w:t>
                  </w:r>
                </w:p>
              </w:tc>
              <w:tc>
                <w:tcPr>
                  <w:tcW w:w="810" w:type="pct"/>
                  <w:tcBorders>
                    <w:top w:val="single" w:color="auto" w:sz="4" w:space="0"/>
                    <w:left w:val="single" w:color="auto" w:sz="4" w:space="0"/>
                    <w:bottom w:val="single" w:color="auto" w:sz="4" w:space="0"/>
                    <w:right w:val="single" w:color="auto" w:sz="4" w:space="0"/>
                    <w:tl2br w:val="nil"/>
                    <w:tr2bl w:val="nil"/>
                  </w:tcBorders>
                  <w:noWrap/>
                  <w:vAlign w:val="center"/>
                </w:tcPr>
                <w:p w14:paraId="7DD928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r>
            <w:tr w14:paraId="65E9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064"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655A8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GB18918-2002一级B标准</w:t>
                  </w:r>
                </w:p>
              </w:tc>
              <w:tc>
                <w:tcPr>
                  <w:tcW w:w="49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4B81F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60</w:t>
                  </w:r>
                </w:p>
              </w:tc>
              <w:tc>
                <w:tcPr>
                  <w:tcW w:w="484" w:type="pct"/>
                  <w:tcBorders>
                    <w:top w:val="single" w:color="auto" w:sz="4" w:space="0"/>
                    <w:left w:val="single" w:color="auto" w:sz="4" w:space="0"/>
                    <w:bottom w:val="single" w:color="auto" w:sz="4" w:space="0"/>
                    <w:right w:val="single" w:color="auto" w:sz="4" w:space="0"/>
                    <w:tl2br w:val="nil"/>
                    <w:tr2bl w:val="nil"/>
                  </w:tcBorders>
                  <w:noWrap/>
                  <w:vAlign w:val="center"/>
                </w:tcPr>
                <w:p w14:paraId="0EB22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386" w:type="pct"/>
                  <w:tcBorders>
                    <w:top w:val="single" w:color="auto" w:sz="4" w:space="0"/>
                    <w:left w:val="single" w:color="auto" w:sz="4" w:space="0"/>
                    <w:bottom w:val="single" w:color="auto" w:sz="4" w:space="0"/>
                    <w:right w:val="single" w:color="auto" w:sz="4" w:space="0"/>
                    <w:tl2br w:val="nil"/>
                    <w:tr2bl w:val="nil"/>
                  </w:tcBorders>
                  <w:noWrap/>
                  <w:vAlign w:val="center"/>
                </w:tcPr>
                <w:p w14:paraId="013AC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609" w:type="pct"/>
                  <w:tcBorders>
                    <w:top w:val="single" w:color="auto" w:sz="4" w:space="0"/>
                    <w:left w:val="single" w:color="auto" w:sz="4" w:space="0"/>
                    <w:bottom w:val="single" w:color="auto" w:sz="4" w:space="0"/>
                    <w:right w:val="single" w:color="auto" w:sz="4" w:space="0"/>
                    <w:tl2br w:val="nil"/>
                    <w:tr2bl w:val="nil"/>
                  </w:tcBorders>
                  <w:noWrap/>
                  <w:vAlign w:val="center"/>
                </w:tcPr>
                <w:p w14:paraId="305BCD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8(15</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①</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1153" w:type="pct"/>
                  <w:tcBorders>
                    <w:top w:val="single" w:color="auto" w:sz="4" w:space="0"/>
                    <w:left w:val="single" w:color="auto" w:sz="4" w:space="0"/>
                    <w:bottom w:val="single" w:color="auto" w:sz="4" w:space="0"/>
                    <w:right w:val="single" w:color="auto" w:sz="4" w:space="0"/>
                    <w:tl2br w:val="nil"/>
                    <w:tr2bl w:val="nil"/>
                  </w:tcBorders>
                  <w:noWrap/>
                  <w:vAlign w:val="center"/>
                </w:tcPr>
                <w:p w14:paraId="6FEEE0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c>
                <w:tcPr>
                  <w:tcW w:w="810" w:type="pct"/>
                  <w:tcBorders>
                    <w:top w:val="single" w:color="auto" w:sz="4" w:space="0"/>
                    <w:left w:val="single" w:color="auto" w:sz="4" w:space="0"/>
                    <w:bottom w:val="single" w:color="auto" w:sz="4" w:space="0"/>
                    <w:right w:val="single" w:color="auto" w:sz="4" w:space="0"/>
                    <w:tl2br w:val="nil"/>
                    <w:tr2bl w:val="nil"/>
                  </w:tcBorders>
                  <w:noWrap/>
                  <w:vAlign w:val="center"/>
                </w:tcPr>
                <w:p w14:paraId="354861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3.0</w:t>
                  </w:r>
                </w:p>
              </w:tc>
            </w:tr>
            <w:tr w14:paraId="3599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064"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BDB7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执行限值</w:t>
                  </w:r>
                </w:p>
              </w:tc>
              <w:tc>
                <w:tcPr>
                  <w:tcW w:w="49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CF41B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w:t>
                  </w:r>
                </w:p>
              </w:tc>
              <w:tc>
                <w:tcPr>
                  <w:tcW w:w="484" w:type="pct"/>
                  <w:tcBorders>
                    <w:top w:val="single" w:color="auto" w:sz="4" w:space="0"/>
                    <w:left w:val="single" w:color="auto" w:sz="4" w:space="0"/>
                    <w:bottom w:val="single" w:color="auto" w:sz="4" w:space="0"/>
                    <w:right w:val="single" w:color="auto" w:sz="4" w:space="0"/>
                    <w:tl2br w:val="nil"/>
                    <w:tr2bl w:val="nil"/>
                  </w:tcBorders>
                  <w:noWrap/>
                  <w:vAlign w:val="center"/>
                </w:tcPr>
                <w:p w14:paraId="15B79D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386" w:type="pct"/>
                  <w:tcBorders>
                    <w:top w:val="single" w:color="auto" w:sz="4" w:space="0"/>
                    <w:left w:val="single" w:color="auto" w:sz="4" w:space="0"/>
                    <w:bottom w:val="single" w:color="auto" w:sz="4" w:space="0"/>
                    <w:right w:val="single" w:color="auto" w:sz="4" w:space="0"/>
                    <w:tl2br w:val="nil"/>
                    <w:tr2bl w:val="nil"/>
                  </w:tcBorders>
                  <w:noWrap/>
                  <w:vAlign w:val="center"/>
                </w:tcPr>
                <w:p w14:paraId="45B52A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609" w:type="pct"/>
                  <w:tcBorders>
                    <w:top w:val="single" w:color="auto" w:sz="4" w:space="0"/>
                    <w:left w:val="single" w:color="auto" w:sz="4" w:space="0"/>
                    <w:bottom w:val="single" w:color="auto" w:sz="4" w:space="0"/>
                    <w:right w:val="single" w:color="auto" w:sz="4" w:space="0"/>
                    <w:tl2br w:val="nil"/>
                    <w:tr2bl w:val="nil"/>
                  </w:tcBorders>
                  <w:noWrap/>
                  <w:vAlign w:val="center"/>
                </w:tcPr>
                <w:p w14:paraId="5082BF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8</w:t>
                  </w:r>
                </w:p>
              </w:tc>
              <w:tc>
                <w:tcPr>
                  <w:tcW w:w="1153" w:type="pct"/>
                  <w:tcBorders>
                    <w:top w:val="single" w:color="auto" w:sz="4" w:space="0"/>
                    <w:left w:val="single" w:color="auto" w:sz="4" w:space="0"/>
                    <w:bottom w:val="single" w:color="auto" w:sz="4" w:space="0"/>
                    <w:right w:val="single" w:color="auto" w:sz="4" w:space="0"/>
                    <w:tl2br w:val="nil"/>
                    <w:tr2bl w:val="nil"/>
                  </w:tcBorders>
                  <w:noWrap/>
                  <w:vAlign w:val="center"/>
                </w:tcPr>
                <w:p w14:paraId="032A9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c>
                <w:tcPr>
                  <w:tcW w:w="810" w:type="pct"/>
                  <w:tcBorders>
                    <w:top w:val="single" w:color="auto" w:sz="4" w:space="0"/>
                    <w:left w:val="single" w:color="auto" w:sz="4" w:space="0"/>
                    <w:bottom w:val="single" w:color="auto" w:sz="4" w:space="0"/>
                    <w:right w:val="single" w:color="auto" w:sz="4" w:space="0"/>
                    <w:tl2br w:val="nil"/>
                    <w:tr2bl w:val="nil"/>
                  </w:tcBorders>
                  <w:noWrap/>
                  <w:vAlign w:val="center"/>
                </w:tcPr>
                <w:p w14:paraId="5DBBC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3.0</w:t>
                  </w:r>
                </w:p>
              </w:tc>
            </w:tr>
            <w:tr w14:paraId="4E55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064"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51535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49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34B7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总氮</w:t>
                  </w:r>
                </w:p>
              </w:tc>
              <w:tc>
                <w:tcPr>
                  <w:tcW w:w="484" w:type="pct"/>
                  <w:tcBorders>
                    <w:top w:val="single" w:color="auto" w:sz="4" w:space="0"/>
                    <w:left w:val="single" w:color="auto" w:sz="4" w:space="0"/>
                    <w:bottom w:val="single" w:color="auto" w:sz="4" w:space="0"/>
                    <w:right w:val="single" w:color="auto" w:sz="4" w:space="0"/>
                    <w:tl2br w:val="nil"/>
                    <w:tr2bl w:val="nil"/>
                  </w:tcBorders>
                  <w:noWrap/>
                  <w:vAlign w:val="center"/>
                </w:tcPr>
                <w:p w14:paraId="197B0B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总磷</w:t>
                  </w:r>
                </w:p>
              </w:tc>
              <w:tc>
                <w:tcPr>
                  <w:tcW w:w="386" w:type="pct"/>
                  <w:tcBorders>
                    <w:top w:val="single" w:color="auto" w:sz="4" w:space="0"/>
                    <w:left w:val="single" w:color="auto" w:sz="4" w:space="0"/>
                    <w:bottom w:val="single" w:color="auto" w:sz="4" w:space="0"/>
                    <w:right w:val="single" w:color="auto" w:sz="4" w:space="0"/>
                    <w:tl2br w:val="nil"/>
                    <w:tr2bl w:val="nil"/>
                  </w:tcBorders>
                  <w:noWrap/>
                  <w:vAlign w:val="center"/>
                </w:tcPr>
                <w:p w14:paraId="11D90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pH</w:t>
                  </w:r>
                </w:p>
              </w:tc>
              <w:tc>
                <w:tcPr>
                  <w:tcW w:w="609" w:type="pct"/>
                  <w:tcBorders>
                    <w:top w:val="single" w:color="auto" w:sz="4" w:space="0"/>
                    <w:left w:val="single" w:color="auto" w:sz="4" w:space="0"/>
                    <w:bottom w:val="single" w:color="auto" w:sz="4" w:space="0"/>
                    <w:right w:val="single" w:color="auto" w:sz="4" w:space="0"/>
                    <w:tl2br w:val="nil"/>
                    <w:tr2bl w:val="nil"/>
                  </w:tcBorders>
                  <w:noWrap/>
                  <w:vAlign w:val="center"/>
                </w:tcPr>
                <w:p w14:paraId="01E403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石油类</w:t>
                  </w:r>
                </w:p>
              </w:tc>
              <w:tc>
                <w:tcPr>
                  <w:tcW w:w="1153" w:type="pct"/>
                  <w:tcBorders>
                    <w:top w:val="single" w:color="auto" w:sz="4" w:space="0"/>
                    <w:left w:val="single" w:color="auto" w:sz="4" w:space="0"/>
                    <w:bottom w:val="single" w:color="auto" w:sz="4" w:space="0"/>
                    <w:right w:val="single" w:color="auto" w:sz="4" w:space="0"/>
                    <w:tl2br w:val="nil"/>
                    <w:tr2bl w:val="nil"/>
                  </w:tcBorders>
                  <w:noWrap/>
                  <w:vAlign w:val="center"/>
                </w:tcPr>
                <w:p w14:paraId="1F0B1E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色度（稀释倍数）</w:t>
                  </w:r>
                </w:p>
              </w:tc>
              <w:tc>
                <w:tcPr>
                  <w:tcW w:w="810" w:type="pct"/>
                  <w:tcBorders>
                    <w:top w:val="single" w:color="auto" w:sz="4" w:space="0"/>
                    <w:left w:val="single" w:color="auto" w:sz="4" w:space="0"/>
                    <w:bottom w:val="single" w:color="auto" w:sz="4" w:space="0"/>
                    <w:right w:val="single" w:color="auto" w:sz="4" w:space="0"/>
                    <w:tl2br w:val="nil"/>
                    <w:tr2bl w:val="nil"/>
                  </w:tcBorders>
                  <w:noWrap/>
                  <w:vAlign w:val="center"/>
                </w:tcPr>
                <w:p w14:paraId="725BC9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粪大肠菌群</w:t>
                  </w:r>
                </w:p>
              </w:tc>
            </w:tr>
            <w:tr w14:paraId="70E0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064"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8A91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DB44/26-2001第二时段一级排放标准</w:t>
                  </w:r>
                </w:p>
              </w:tc>
              <w:tc>
                <w:tcPr>
                  <w:tcW w:w="49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4211D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484" w:type="pct"/>
                  <w:tcBorders>
                    <w:top w:val="single" w:color="auto" w:sz="4" w:space="0"/>
                    <w:left w:val="single" w:color="auto" w:sz="4" w:space="0"/>
                    <w:bottom w:val="single" w:color="auto" w:sz="4" w:space="0"/>
                    <w:right w:val="single" w:color="auto" w:sz="4" w:space="0"/>
                    <w:tl2br w:val="nil"/>
                    <w:tr2bl w:val="nil"/>
                  </w:tcBorders>
                  <w:noWrap/>
                  <w:vAlign w:val="center"/>
                </w:tcPr>
                <w:p w14:paraId="7A755E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0.5</w:t>
                  </w:r>
                </w:p>
              </w:tc>
              <w:tc>
                <w:tcPr>
                  <w:tcW w:w="386" w:type="pct"/>
                  <w:tcBorders>
                    <w:top w:val="single" w:color="auto" w:sz="4" w:space="0"/>
                    <w:left w:val="single" w:color="auto" w:sz="4" w:space="0"/>
                    <w:bottom w:val="single" w:color="auto" w:sz="4" w:space="0"/>
                    <w:right w:val="single" w:color="auto" w:sz="4" w:space="0"/>
                    <w:tl2br w:val="nil"/>
                    <w:tr2bl w:val="nil"/>
                  </w:tcBorders>
                  <w:noWrap/>
                  <w:vAlign w:val="center"/>
                </w:tcPr>
                <w:p w14:paraId="39934B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6~9</w:t>
                  </w:r>
                </w:p>
              </w:tc>
              <w:tc>
                <w:tcPr>
                  <w:tcW w:w="609" w:type="pct"/>
                  <w:tcBorders>
                    <w:top w:val="single" w:color="auto" w:sz="4" w:space="0"/>
                    <w:left w:val="single" w:color="auto" w:sz="4" w:space="0"/>
                    <w:bottom w:val="single" w:color="auto" w:sz="4" w:space="0"/>
                    <w:right w:val="single" w:color="auto" w:sz="4" w:space="0"/>
                    <w:tl2br w:val="nil"/>
                    <w:tr2bl w:val="nil"/>
                  </w:tcBorders>
                  <w:noWrap/>
                  <w:vAlign w:val="center"/>
                </w:tcPr>
                <w:p w14:paraId="7B1329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5.0</w:t>
                  </w:r>
                </w:p>
              </w:tc>
              <w:tc>
                <w:tcPr>
                  <w:tcW w:w="1153" w:type="pct"/>
                  <w:tcBorders>
                    <w:top w:val="single" w:color="auto" w:sz="4" w:space="0"/>
                    <w:left w:val="single" w:color="auto" w:sz="4" w:space="0"/>
                    <w:bottom w:val="single" w:color="auto" w:sz="4" w:space="0"/>
                    <w:right w:val="single" w:color="auto" w:sz="4" w:space="0"/>
                    <w:tl2br w:val="nil"/>
                    <w:tr2bl w:val="nil"/>
                  </w:tcBorders>
                  <w:noWrap/>
                  <w:vAlign w:val="center"/>
                </w:tcPr>
                <w:p w14:paraId="3A65D4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w:t>
                  </w:r>
                </w:p>
              </w:tc>
              <w:tc>
                <w:tcPr>
                  <w:tcW w:w="810" w:type="pct"/>
                  <w:tcBorders>
                    <w:top w:val="single" w:color="auto" w:sz="4" w:space="0"/>
                    <w:left w:val="single" w:color="auto" w:sz="4" w:space="0"/>
                    <w:bottom w:val="single" w:color="auto" w:sz="4" w:space="0"/>
                    <w:right w:val="single" w:color="auto" w:sz="4" w:space="0"/>
                    <w:tl2br w:val="nil"/>
                    <w:tr2bl w:val="nil"/>
                  </w:tcBorders>
                  <w:noWrap/>
                  <w:vAlign w:val="center"/>
                </w:tcPr>
                <w:p w14:paraId="16D3C2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r>
            <w:tr w14:paraId="3E49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064"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94F44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GB18918-2002一级B标准</w:t>
                  </w:r>
                </w:p>
              </w:tc>
              <w:tc>
                <w:tcPr>
                  <w:tcW w:w="49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9DA38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484" w:type="pct"/>
                  <w:tcBorders>
                    <w:top w:val="single" w:color="auto" w:sz="4" w:space="0"/>
                    <w:left w:val="single" w:color="auto" w:sz="4" w:space="0"/>
                    <w:bottom w:val="single" w:color="auto" w:sz="4" w:space="0"/>
                    <w:right w:val="single" w:color="auto" w:sz="4" w:space="0"/>
                    <w:tl2br w:val="nil"/>
                    <w:tr2bl w:val="nil"/>
                  </w:tcBorders>
                  <w:noWrap/>
                  <w:vAlign w:val="center"/>
                </w:tcPr>
                <w:p w14:paraId="4417A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w:t>
                  </w:r>
                </w:p>
              </w:tc>
              <w:tc>
                <w:tcPr>
                  <w:tcW w:w="386" w:type="pct"/>
                  <w:tcBorders>
                    <w:top w:val="single" w:color="auto" w:sz="4" w:space="0"/>
                    <w:left w:val="single" w:color="auto" w:sz="4" w:space="0"/>
                    <w:bottom w:val="single" w:color="auto" w:sz="4" w:space="0"/>
                    <w:right w:val="single" w:color="auto" w:sz="4" w:space="0"/>
                    <w:tl2br w:val="nil"/>
                    <w:tr2bl w:val="nil"/>
                  </w:tcBorders>
                  <w:noWrap/>
                  <w:vAlign w:val="center"/>
                </w:tcPr>
                <w:p w14:paraId="29F0D8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6~9</w:t>
                  </w:r>
                </w:p>
              </w:tc>
              <w:tc>
                <w:tcPr>
                  <w:tcW w:w="609" w:type="pct"/>
                  <w:tcBorders>
                    <w:top w:val="single" w:color="auto" w:sz="4" w:space="0"/>
                    <w:left w:val="single" w:color="auto" w:sz="4" w:space="0"/>
                    <w:bottom w:val="single" w:color="auto" w:sz="4" w:space="0"/>
                    <w:right w:val="single" w:color="auto" w:sz="4" w:space="0"/>
                    <w:tl2br w:val="nil"/>
                    <w:tr2bl w:val="nil"/>
                  </w:tcBorders>
                  <w:noWrap/>
                  <w:vAlign w:val="center"/>
                </w:tcPr>
                <w:p w14:paraId="7CE451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3.0</w:t>
                  </w:r>
                </w:p>
              </w:tc>
              <w:tc>
                <w:tcPr>
                  <w:tcW w:w="1153" w:type="pct"/>
                  <w:tcBorders>
                    <w:top w:val="single" w:color="auto" w:sz="4" w:space="0"/>
                    <w:left w:val="single" w:color="auto" w:sz="4" w:space="0"/>
                    <w:bottom w:val="single" w:color="auto" w:sz="4" w:space="0"/>
                    <w:right w:val="single" w:color="auto" w:sz="4" w:space="0"/>
                    <w:tl2br w:val="nil"/>
                    <w:tr2bl w:val="nil"/>
                  </w:tcBorders>
                  <w:noWrap/>
                  <w:vAlign w:val="center"/>
                </w:tcPr>
                <w:p w14:paraId="7B63FB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30</w:t>
                  </w:r>
                </w:p>
              </w:tc>
              <w:tc>
                <w:tcPr>
                  <w:tcW w:w="810" w:type="pct"/>
                  <w:tcBorders>
                    <w:top w:val="single" w:color="auto" w:sz="4" w:space="0"/>
                    <w:left w:val="single" w:color="auto" w:sz="4" w:space="0"/>
                    <w:bottom w:val="single" w:color="auto" w:sz="4" w:space="0"/>
                    <w:right w:val="single" w:color="auto" w:sz="4" w:space="0"/>
                    <w:tl2br w:val="nil"/>
                    <w:tr2bl w:val="nil"/>
                  </w:tcBorders>
                  <w:noWrap/>
                  <w:vAlign w:val="center"/>
                </w:tcPr>
                <w:p w14:paraId="3B46E1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10000个/L</w:t>
                  </w:r>
                </w:p>
              </w:tc>
            </w:tr>
            <w:tr w14:paraId="1F2F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064"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1DC78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执行限值</w:t>
                  </w:r>
                </w:p>
              </w:tc>
              <w:tc>
                <w:tcPr>
                  <w:tcW w:w="49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15FC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20</w:t>
                  </w:r>
                </w:p>
              </w:tc>
              <w:tc>
                <w:tcPr>
                  <w:tcW w:w="484" w:type="pct"/>
                  <w:tcBorders>
                    <w:top w:val="single" w:color="auto" w:sz="4" w:space="0"/>
                    <w:left w:val="single" w:color="auto" w:sz="4" w:space="0"/>
                    <w:bottom w:val="single" w:color="auto" w:sz="4" w:space="0"/>
                    <w:right w:val="single" w:color="auto" w:sz="4" w:space="0"/>
                    <w:tl2br w:val="nil"/>
                    <w:tr2bl w:val="nil"/>
                  </w:tcBorders>
                  <w:noWrap/>
                  <w:vAlign w:val="center"/>
                </w:tcPr>
                <w:p w14:paraId="4179E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0.5</w:t>
                  </w:r>
                </w:p>
              </w:tc>
              <w:tc>
                <w:tcPr>
                  <w:tcW w:w="386" w:type="pct"/>
                  <w:tcBorders>
                    <w:top w:val="single" w:color="auto" w:sz="4" w:space="0"/>
                    <w:left w:val="single" w:color="auto" w:sz="4" w:space="0"/>
                    <w:bottom w:val="single" w:color="auto" w:sz="4" w:space="0"/>
                    <w:right w:val="single" w:color="auto" w:sz="4" w:space="0"/>
                    <w:tl2br w:val="nil"/>
                    <w:tr2bl w:val="nil"/>
                  </w:tcBorders>
                  <w:noWrap/>
                  <w:vAlign w:val="center"/>
                </w:tcPr>
                <w:p w14:paraId="7DEB73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6~9</w:t>
                  </w:r>
                </w:p>
              </w:tc>
              <w:tc>
                <w:tcPr>
                  <w:tcW w:w="609" w:type="pct"/>
                  <w:tcBorders>
                    <w:top w:val="single" w:color="auto" w:sz="4" w:space="0"/>
                    <w:left w:val="single" w:color="auto" w:sz="4" w:space="0"/>
                    <w:bottom w:val="single" w:color="auto" w:sz="4" w:space="0"/>
                    <w:right w:val="single" w:color="auto" w:sz="4" w:space="0"/>
                    <w:tl2br w:val="nil"/>
                    <w:tr2bl w:val="nil"/>
                  </w:tcBorders>
                  <w:noWrap/>
                  <w:vAlign w:val="center"/>
                </w:tcPr>
                <w:p w14:paraId="430589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3.0</w:t>
                  </w:r>
                </w:p>
              </w:tc>
              <w:tc>
                <w:tcPr>
                  <w:tcW w:w="1153" w:type="pct"/>
                  <w:tcBorders>
                    <w:top w:val="single" w:color="auto" w:sz="4" w:space="0"/>
                    <w:left w:val="single" w:color="auto" w:sz="4" w:space="0"/>
                    <w:bottom w:val="single" w:color="auto" w:sz="4" w:space="0"/>
                    <w:right w:val="single" w:color="auto" w:sz="4" w:space="0"/>
                    <w:tl2br w:val="nil"/>
                    <w:tr2bl w:val="nil"/>
                  </w:tcBorders>
                  <w:noWrap/>
                  <w:vAlign w:val="center"/>
                </w:tcPr>
                <w:p w14:paraId="247E5F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30</w:t>
                  </w:r>
                </w:p>
              </w:tc>
              <w:tc>
                <w:tcPr>
                  <w:tcW w:w="810" w:type="pct"/>
                  <w:tcBorders>
                    <w:top w:val="single" w:color="auto" w:sz="4" w:space="0"/>
                    <w:left w:val="single" w:color="auto" w:sz="4" w:space="0"/>
                    <w:bottom w:val="single" w:color="auto" w:sz="4" w:space="0"/>
                    <w:right w:val="single" w:color="auto" w:sz="4" w:space="0"/>
                    <w:tl2br w:val="nil"/>
                    <w:tr2bl w:val="nil"/>
                  </w:tcBorders>
                  <w:noWrap/>
                  <w:vAlign w:val="center"/>
                </w:tcPr>
                <w:p w14:paraId="04B7C4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10000个/L</w:t>
                  </w:r>
                </w:p>
              </w:tc>
            </w:tr>
            <w:tr w14:paraId="6AFD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5000" w:type="pct"/>
                  <w:gridSpan w:val="7"/>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61914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vertAlign w:val="superscript"/>
                      <w:lang w:eastAsia="ja-JP"/>
                      <w14:textFill>
                        <w14:solidFill>
                          <w14:schemeClr w14:val="tx1"/>
                        </w14:solidFill>
                      </w14:textFill>
                    </w:rPr>
                    <w:t>①</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备注括号内为水温&lt;12℃时的限值，括号外为水温在12℃以上的限值</w:t>
                  </w:r>
                </w:p>
              </w:tc>
            </w:tr>
          </w:tbl>
          <w:p w14:paraId="0769F190">
            <w:pPr>
              <w:spacing w:line="120" w:lineRule="auto"/>
              <w:rPr>
                <w:rFonts w:hint="default" w:ascii="Times New Roman" w:hAnsi="Times New Roman" w:cs="Times New Roman"/>
                <w:color w:val="000000" w:themeColor="text1"/>
                <w:sz w:val="20"/>
                <w:szCs w:val="20"/>
                <w:highlight w:val="none"/>
                <w14:textFill>
                  <w14:solidFill>
                    <w14:schemeClr w14:val="tx1"/>
                  </w14:solidFill>
                </w14:textFill>
              </w:rPr>
            </w:pPr>
          </w:p>
          <w:p w14:paraId="751C30FC">
            <w:pPr>
              <w:spacing w:line="360" w:lineRule="auto"/>
              <w:ind w:firstLine="482" w:firstLineChars="20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3、噪声排放标准</w:t>
            </w:r>
          </w:p>
          <w:p w14:paraId="5C26BD33">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营运期</w:t>
            </w:r>
            <w:r>
              <w:rPr>
                <w:rFonts w:hint="eastAsia" w:ascii="Times New Roman" w:hAnsi="Times New Roman" w:cs="Times New Roman"/>
                <w:color w:val="000000" w:themeColor="text1"/>
                <w:sz w:val="24"/>
                <w:highlight w:val="none"/>
                <w:lang w:val="en-US" w:eastAsia="zh-CN"/>
                <w14:textFill>
                  <w14:solidFill>
                    <w14:schemeClr w14:val="tx1"/>
                  </w14:solidFill>
                </w14:textFill>
              </w:rPr>
              <w:t>项目</w:t>
            </w:r>
            <w:r>
              <w:rPr>
                <w:rFonts w:hint="eastAsia" w:cs="Times New Roman"/>
                <w:color w:val="000000" w:themeColor="text1"/>
                <w:sz w:val="24"/>
                <w:highlight w:val="none"/>
                <w:lang w:val="en-US" w:eastAsia="zh-CN"/>
                <w14:textFill>
                  <w14:solidFill>
                    <w14:schemeClr w14:val="tx1"/>
                  </w14:solidFill>
                </w14:textFill>
              </w:rPr>
              <w:t>南</w:t>
            </w:r>
            <w:r>
              <w:rPr>
                <w:rFonts w:hint="eastAsia" w:ascii="Times New Roman" w:hAnsi="Times New Roman" w:cs="Times New Roman"/>
                <w:color w:val="000000" w:themeColor="text1"/>
                <w:sz w:val="24"/>
                <w:highlight w:val="none"/>
                <w:lang w:val="en-US" w:eastAsia="zh-CN"/>
                <w14:textFill>
                  <w14:solidFill>
                    <w14:schemeClr w14:val="tx1"/>
                  </w14:solidFill>
                </w14:textFill>
              </w:rPr>
              <w:t>面</w:t>
            </w:r>
            <w:r>
              <w:rPr>
                <w:rFonts w:hint="default" w:ascii="Times New Roman" w:hAnsi="Times New Roman" w:cs="Times New Roman"/>
                <w:color w:val="000000" w:themeColor="text1"/>
                <w:sz w:val="24"/>
                <w:highlight w:val="none"/>
                <w14:textFill>
                  <w14:solidFill>
                    <w14:schemeClr w14:val="tx1"/>
                  </w14:solidFill>
                </w14:textFill>
              </w:rPr>
              <w:t>厂界噪声执行《工业企业厂界环境噪声排放标准》（GB12348-2008）中的</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eastAsia" w:cs="Times New Roman"/>
                <w:color w:val="000000" w:themeColor="text1"/>
                <w:sz w:val="24"/>
                <w:highlight w:val="none"/>
                <w:lang w:val="en-US" w:eastAsia="zh-CN"/>
                <w14:textFill>
                  <w14:solidFill>
                    <w14:schemeClr w14:val="tx1"/>
                  </w14:solidFill>
                </w14:textFill>
              </w:rPr>
              <w:t>a</w:t>
            </w:r>
            <w:r>
              <w:rPr>
                <w:rFonts w:hint="default" w:ascii="Times New Roman" w:hAnsi="Times New Roman" w:cs="Times New Roman"/>
                <w:color w:val="000000" w:themeColor="text1"/>
                <w:sz w:val="24"/>
                <w:highlight w:val="none"/>
                <w14:textFill>
                  <w14:solidFill>
                    <w14:schemeClr w14:val="tx1"/>
                  </w14:solidFill>
                </w14:textFill>
              </w:rPr>
              <w:t>类标准</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即昼间</w:t>
            </w:r>
            <w:r>
              <w:rPr>
                <w:rFonts w:hint="default" w:ascii="Times New Roman" w:hAnsi="Times New Roman" w:eastAsia="Times New Roman" w:cs="Times New Roman"/>
                <w:color w:val="000000" w:themeColor="text1"/>
                <w:spacing w:val="-1"/>
                <w:sz w:val="24"/>
                <w:szCs w:val="24"/>
                <w:highlight w:val="none"/>
                <w14:textFill>
                  <w14:solidFill>
                    <w14:schemeClr w14:val="tx1"/>
                  </w14:solidFill>
                </w14:textFill>
              </w:rPr>
              <w:t>≤</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7</w:t>
            </w:r>
            <w:r>
              <w:rPr>
                <w:rFonts w:hint="default" w:ascii="Times New Roman" w:hAnsi="Times New Roman" w:eastAsia="Times New Roman" w:cs="Times New Roman"/>
                <w:color w:val="000000" w:themeColor="text1"/>
                <w:spacing w:val="-1"/>
                <w:sz w:val="24"/>
                <w:szCs w:val="24"/>
                <w:highlight w:val="none"/>
                <w14:textFill>
                  <w14:solidFill>
                    <w14:schemeClr w14:val="tx1"/>
                  </w14:solidFill>
                </w14:textFill>
              </w:rPr>
              <w:t>0dB</w:t>
            </w:r>
            <w:r>
              <w:rPr>
                <w:rFonts w:hint="default" w:ascii="Times New Roman" w:hAnsi="Times New Roman" w:cs="Times New Roman"/>
                <w:color w:val="000000" w:themeColor="text1"/>
                <w:spacing w:val="-1"/>
                <w:sz w:val="24"/>
                <w:szCs w:val="24"/>
                <w:highlight w:val="none"/>
                <w14:textFill>
                  <w14:solidFill>
                    <w14:schemeClr w14:val="tx1"/>
                  </w14:solidFill>
                </w14:textFill>
              </w:rPr>
              <w:t>（</w:t>
            </w:r>
            <w:r>
              <w:rPr>
                <w:rFonts w:hint="default" w:ascii="Times New Roman" w:hAnsi="Times New Roman" w:eastAsia="Times New Roman" w:cs="Times New Roman"/>
                <w:color w:val="000000" w:themeColor="text1"/>
                <w:spacing w:val="-1"/>
                <w:sz w:val="24"/>
                <w:szCs w:val="24"/>
                <w:highlight w:val="none"/>
                <w14:textFill>
                  <w14:solidFill>
                    <w14:schemeClr w14:val="tx1"/>
                  </w14:solidFill>
                </w14:textFill>
              </w:rPr>
              <w:t>A</w:t>
            </w:r>
            <w:r>
              <w:rPr>
                <w:rFonts w:hint="default" w:ascii="Times New Roman" w:hAnsi="Times New Roman" w:cs="Times New Roman"/>
                <w:color w:val="000000" w:themeColor="text1"/>
                <w:spacing w:val="9"/>
                <w:sz w:val="24"/>
                <w:szCs w:val="24"/>
                <w:highlight w:val="none"/>
                <w14:textFill>
                  <w14:solidFill>
                    <w14:schemeClr w14:val="tx1"/>
                  </w14:solidFill>
                </w14:textFill>
              </w:rPr>
              <w:t>）</w:t>
            </w:r>
            <w:r>
              <w:rPr>
                <w:rFonts w:hint="eastAsia"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eastAsia" w:cs="Times New Roman"/>
                <w:color w:val="000000" w:themeColor="text1"/>
                <w:spacing w:val="-1"/>
                <w:sz w:val="24"/>
                <w:szCs w:val="24"/>
                <w:highlight w:val="none"/>
                <w:lang w:val="en-US" w:eastAsia="zh-CN"/>
                <w14:textFill>
                  <w14:solidFill>
                    <w14:schemeClr w14:val="tx1"/>
                  </w14:solidFill>
                </w14:textFill>
              </w:rPr>
              <w:t>东</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、西、北</w:t>
            </w:r>
            <w:r>
              <w:rPr>
                <w:rFonts w:hint="eastAsia" w:ascii="Times New Roman" w:hAnsi="Times New Roman" w:cs="Times New Roman"/>
                <w:color w:val="000000" w:themeColor="text1"/>
                <w:sz w:val="24"/>
                <w:highlight w:val="none"/>
                <w:lang w:val="en-US" w:eastAsia="zh-CN"/>
                <w14:textFill>
                  <w14:solidFill>
                    <w14:schemeClr w14:val="tx1"/>
                  </w14:solidFill>
                </w14:textFill>
              </w:rPr>
              <w:t>面</w:t>
            </w:r>
            <w:r>
              <w:rPr>
                <w:rFonts w:hint="default" w:ascii="Times New Roman" w:hAnsi="Times New Roman" w:cs="Times New Roman"/>
                <w:color w:val="000000" w:themeColor="text1"/>
                <w:sz w:val="24"/>
                <w:highlight w:val="none"/>
                <w14:textFill>
                  <w14:solidFill>
                    <w14:schemeClr w14:val="tx1"/>
                  </w14:solidFill>
                </w14:textFill>
              </w:rPr>
              <w:t>厂界噪声执行《工业企业厂界环境噪声排放标准》（GB12348-2008）中的</w:t>
            </w:r>
            <w:r>
              <w:rPr>
                <w:rFonts w:hint="eastAsia" w:ascii="Times New Roman" w:hAnsi="Times New Roman" w:cs="Times New Roman"/>
                <w:color w:val="000000" w:themeColor="text1"/>
                <w:sz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类标准</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即昼间</w:t>
            </w:r>
            <w:r>
              <w:rPr>
                <w:rFonts w:hint="default" w:ascii="Times New Roman" w:hAnsi="Times New Roman" w:eastAsia="Times New Roman" w:cs="Times New Roman"/>
                <w:color w:val="000000" w:themeColor="text1"/>
                <w:spacing w:val="-1"/>
                <w:sz w:val="24"/>
                <w:szCs w:val="24"/>
                <w:highlight w:val="none"/>
                <w14:textFill>
                  <w14:solidFill>
                    <w14:schemeClr w14:val="tx1"/>
                  </w14:solidFill>
                </w14:textFill>
              </w:rPr>
              <w:t>≤6</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5</w:t>
            </w:r>
            <w:r>
              <w:rPr>
                <w:rFonts w:hint="default" w:ascii="Times New Roman" w:hAnsi="Times New Roman" w:eastAsia="Times New Roman" w:cs="Times New Roman"/>
                <w:color w:val="000000" w:themeColor="text1"/>
                <w:spacing w:val="-1"/>
                <w:sz w:val="24"/>
                <w:szCs w:val="24"/>
                <w:highlight w:val="none"/>
                <w14:textFill>
                  <w14:solidFill>
                    <w14:schemeClr w14:val="tx1"/>
                  </w14:solidFill>
                </w14:textFill>
              </w:rPr>
              <w:t>dB</w:t>
            </w:r>
            <w:r>
              <w:rPr>
                <w:rFonts w:hint="default" w:ascii="Times New Roman" w:hAnsi="Times New Roman" w:cs="Times New Roman"/>
                <w:color w:val="000000" w:themeColor="text1"/>
                <w:spacing w:val="-1"/>
                <w:sz w:val="24"/>
                <w:szCs w:val="24"/>
                <w:highlight w:val="none"/>
                <w14:textFill>
                  <w14:solidFill>
                    <w14:schemeClr w14:val="tx1"/>
                  </w14:solidFill>
                </w14:textFill>
              </w:rPr>
              <w:t>（</w:t>
            </w:r>
            <w:r>
              <w:rPr>
                <w:rFonts w:hint="default" w:ascii="Times New Roman" w:hAnsi="Times New Roman" w:eastAsia="Times New Roman" w:cs="Times New Roman"/>
                <w:color w:val="000000" w:themeColor="text1"/>
                <w:spacing w:val="-1"/>
                <w:sz w:val="24"/>
                <w:szCs w:val="24"/>
                <w:highlight w:val="none"/>
                <w14:textFill>
                  <w14:solidFill>
                    <w14:schemeClr w14:val="tx1"/>
                  </w14:solidFill>
                </w14:textFill>
              </w:rPr>
              <w:t>A</w:t>
            </w:r>
            <w:r>
              <w:rPr>
                <w:rFonts w:hint="default" w:ascii="Times New Roman" w:hAnsi="Times New Roman" w:cs="Times New Roman"/>
                <w:color w:val="000000" w:themeColor="text1"/>
                <w:spacing w:val="9"/>
                <w:sz w:val="24"/>
                <w:szCs w:val="24"/>
                <w:highlight w:val="none"/>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本项目仅在昼间营运，夜间不营运。</w:t>
            </w:r>
          </w:p>
          <w:p w14:paraId="390EEE6F">
            <w:pPr>
              <w:spacing w:line="360" w:lineRule="auto"/>
              <w:ind w:firstLine="482" w:firstLineChars="20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4、固体废物控制标准</w:t>
            </w:r>
          </w:p>
          <w:p w14:paraId="64CE4E8D">
            <w:pPr>
              <w:spacing w:line="360" w:lineRule="auto"/>
              <w:ind w:firstLine="48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一般工业固体废物在厂内采用库房或包装工具贮存，贮存过程应满足相应防渗漏、防雨淋、防扬尘等环境保护要求</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项目危险废物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按照</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《国家危险废物名录（202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年版）》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类别进行管理，危险废物贮存过程执行《危险废物贮存污染控制标准》（GB18597-2023）和《危险废物收集贮存运输技术规范》（HJ2025-2012）</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tc>
      </w:tr>
      <w:tr w14:paraId="1406A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0" w:hRule="atLeast"/>
          <w:jc w:val="center"/>
        </w:trPr>
        <w:tc>
          <w:tcPr>
            <w:tcW w:w="278" w:type="pct"/>
            <w:noWrap w:val="0"/>
            <w:vAlign w:val="center"/>
          </w:tcPr>
          <w:p w14:paraId="477689AD">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总量</w:t>
            </w:r>
          </w:p>
          <w:p w14:paraId="29F184C0">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控制</w:t>
            </w:r>
          </w:p>
          <w:p w14:paraId="1206F142">
            <w:pPr>
              <w:adjustRightInd w:val="0"/>
              <w:snapToGrid w:val="0"/>
              <w:jc w:val="center"/>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指标</w:t>
            </w:r>
          </w:p>
        </w:tc>
        <w:tc>
          <w:tcPr>
            <w:tcW w:w="4721" w:type="pct"/>
            <w:noWrap w:val="0"/>
            <w:vAlign w:val="center"/>
          </w:tcPr>
          <w:p w14:paraId="1118DF55">
            <w:pPr>
              <w:spacing w:line="12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p>
          <w:p w14:paraId="13338572">
            <w:pPr>
              <w:spacing w:line="360" w:lineRule="auto"/>
              <w:ind w:firstLine="482" w:firstLineChars="20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1、水污染物排放总量控制指标</w:t>
            </w:r>
          </w:p>
          <w:p w14:paraId="70BFF69E">
            <w:pPr>
              <w:widowControl w:val="0"/>
              <w:kinsoku/>
              <w:autoSpaceDE/>
              <w:autoSpaceDN/>
              <w:adjustRightInd/>
              <w:snapToGrid/>
              <w:spacing w:line="360" w:lineRule="auto"/>
              <w:ind w:firstLine="476"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pacing w:val="-1"/>
                <w:sz w:val="24"/>
                <w:szCs w:val="24"/>
                <w:highlight w:val="none"/>
                <w14:textFill>
                  <w14:solidFill>
                    <w14:schemeClr w14:val="tx1"/>
                  </w14:solidFill>
                </w14:textFill>
              </w:rPr>
              <w:t>项目生产废水排放量为</w:t>
            </w:r>
            <w:r>
              <w:rPr>
                <w:rFonts w:hint="eastAsia" w:cs="Times New Roman"/>
                <w:color w:val="000000" w:themeColor="text1"/>
                <w:spacing w:val="-1"/>
                <w:sz w:val="24"/>
                <w:szCs w:val="24"/>
                <w:highlight w:val="none"/>
                <w:lang w:val="en-US" w:eastAsia="zh-CN"/>
                <w14:textFill>
                  <w14:solidFill>
                    <w14:schemeClr w14:val="tx1"/>
                  </w14:solidFill>
                </w14:textFill>
              </w:rPr>
              <w:t>10010.08</w:t>
            </w:r>
            <w:r>
              <w:rPr>
                <w:rFonts w:hint="default" w:ascii="Times New Roman" w:hAnsi="Times New Roman" w:cs="Times New Roman"/>
                <w:color w:val="000000" w:themeColor="text1"/>
                <w:spacing w:val="-1"/>
                <w:sz w:val="24"/>
                <w:szCs w:val="24"/>
                <w:highlight w:val="none"/>
                <w14:textFill>
                  <w14:solidFill>
                    <w14:schemeClr w14:val="tx1"/>
                  </w14:solidFill>
                </w14:textFill>
              </w:rPr>
              <w:t>t/a，生活污水排放量为</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2070</w:t>
            </w:r>
            <w:r>
              <w:rPr>
                <w:rFonts w:hint="default" w:ascii="Times New Roman" w:hAnsi="Times New Roman" w:cs="Times New Roman"/>
                <w:color w:val="000000" w:themeColor="text1"/>
                <w:spacing w:val="-1"/>
                <w:sz w:val="24"/>
                <w:szCs w:val="24"/>
                <w:highlight w:val="none"/>
                <w14:textFill>
                  <w14:solidFill>
                    <w14:schemeClr w14:val="tx1"/>
                  </w14:solidFill>
                </w14:textFill>
              </w:rPr>
              <w:t>t/a，</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综合废水合计为</w:t>
            </w:r>
            <w:r>
              <w:rPr>
                <w:rFonts w:hint="eastAsia" w:cs="Times New Roman"/>
                <w:color w:val="000000" w:themeColor="text1"/>
                <w:spacing w:val="-1"/>
                <w:sz w:val="24"/>
                <w:szCs w:val="24"/>
                <w:highlight w:val="none"/>
                <w:lang w:val="en-US" w:eastAsia="zh-CN"/>
                <w14:textFill>
                  <w14:solidFill>
                    <w14:schemeClr w14:val="tx1"/>
                  </w14:solidFill>
                </w14:textFill>
              </w:rPr>
              <w:t>12080.08</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t/a，</w:t>
            </w:r>
            <w:r>
              <w:rPr>
                <w:rFonts w:hint="default" w:ascii="Times New Roman" w:hAnsi="Times New Roman" w:cs="Times New Roman"/>
                <w:color w:val="000000" w:themeColor="text1"/>
                <w:spacing w:val="-1"/>
                <w:sz w:val="24"/>
                <w:szCs w:val="24"/>
                <w:highlight w:val="none"/>
                <w14:textFill>
                  <w14:solidFill>
                    <w14:schemeClr w14:val="tx1"/>
                  </w14:solidFill>
                </w14:textFill>
              </w:rPr>
              <w:t>均经预处理后排入园区污水处理厂进行处理，因此，COD</w:t>
            </w:r>
            <w:r>
              <w:rPr>
                <w:rFonts w:hint="eastAsia" w:ascii="Times New Roman" w:hAnsi="Times New Roman" w:cs="Times New Roman"/>
                <w:color w:val="000000" w:themeColor="text1"/>
                <w:spacing w:val="-1"/>
                <w:sz w:val="24"/>
                <w:szCs w:val="24"/>
                <w:highlight w:val="none"/>
                <w:vertAlign w:val="subscript"/>
                <w:lang w:val="en-US" w:eastAsia="zh-CN"/>
                <w14:textFill>
                  <w14:solidFill>
                    <w14:schemeClr w14:val="tx1"/>
                  </w14:solidFill>
                </w14:textFill>
              </w:rPr>
              <w:t>C</w:t>
            </w:r>
            <w:r>
              <w:rPr>
                <w:rFonts w:hint="default" w:ascii="Times New Roman" w:hAnsi="Times New Roman" w:cs="Times New Roman"/>
                <w:color w:val="000000" w:themeColor="text1"/>
                <w:spacing w:val="-1"/>
                <w:sz w:val="24"/>
                <w:szCs w:val="24"/>
                <w:highlight w:val="none"/>
                <w:vertAlign w:val="subscript"/>
                <w14:textFill>
                  <w14:solidFill>
                    <w14:schemeClr w14:val="tx1"/>
                  </w14:solidFill>
                </w14:textFill>
              </w:rPr>
              <w:t>r</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eastAsia" w:cs="Times New Roman"/>
                <w:color w:val="000000" w:themeColor="text1"/>
                <w:spacing w:val="-1"/>
                <w:sz w:val="24"/>
                <w:szCs w:val="24"/>
                <w:highlight w:val="none"/>
                <w:lang w:val="en-US" w:eastAsia="zh-CN"/>
                <w14:textFill>
                  <w14:solidFill>
                    <w14:schemeClr w14:val="tx1"/>
                  </w14:solidFill>
                </w14:textFill>
              </w:rPr>
              <w:t>1.680</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t/a）</w:t>
            </w:r>
            <w:r>
              <w:rPr>
                <w:rFonts w:hint="default" w:ascii="Times New Roman" w:hAnsi="Times New Roman" w:cs="Times New Roman"/>
                <w:color w:val="000000" w:themeColor="text1"/>
                <w:spacing w:val="-1"/>
                <w:sz w:val="24"/>
                <w:szCs w:val="24"/>
                <w:highlight w:val="none"/>
                <w14:textFill>
                  <w14:solidFill>
                    <w14:schemeClr w14:val="tx1"/>
                  </w14:solidFill>
                </w14:textFill>
              </w:rPr>
              <w:t>、NH</w:t>
            </w:r>
            <w:r>
              <w:rPr>
                <w:rFonts w:hint="default" w:ascii="Times New Roman" w:hAnsi="Times New Roman" w:cs="Times New Roman"/>
                <w:color w:val="000000" w:themeColor="text1"/>
                <w:spacing w:val="-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14:textFill>
                  <w14:solidFill>
                    <w14:schemeClr w14:val="tx1"/>
                  </w14:solidFill>
                </w14:textFill>
              </w:rPr>
              <w:t>N</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eastAsia" w:cs="Times New Roman"/>
                <w:color w:val="000000" w:themeColor="text1"/>
                <w:spacing w:val="-1"/>
                <w:sz w:val="24"/>
                <w:szCs w:val="24"/>
                <w:highlight w:val="none"/>
                <w:lang w:val="en-US" w:eastAsia="zh-CN"/>
                <w14:textFill>
                  <w14:solidFill>
                    <w14:schemeClr w14:val="tx1"/>
                  </w14:solidFill>
                </w14:textFill>
              </w:rPr>
              <w:t>0.188</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t/a）</w:t>
            </w:r>
            <w:r>
              <w:rPr>
                <w:rFonts w:hint="default" w:ascii="Times New Roman" w:hAnsi="Times New Roman" w:cs="Times New Roman"/>
                <w:color w:val="000000" w:themeColor="text1"/>
                <w:spacing w:val="-1"/>
                <w:sz w:val="24"/>
                <w:szCs w:val="24"/>
                <w:highlight w:val="none"/>
                <w14:textFill>
                  <w14:solidFill>
                    <w14:schemeClr w14:val="tx1"/>
                  </w14:solidFill>
                </w14:textFill>
              </w:rPr>
              <w:t>纳入园区污水处理厂的总量控制指标，不需再增加新的总量分配指标。</w:t>
            </w:r>
          </w:p>
          <w:p w14:paraId="223D27E1">
            <w:pPr>
              <w:spacing w:line="360" w:lineRule="auto"/>
              <w:ind w:firstLine="482" w:firstLineChars="20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4"/>
                <w:highlight w:val="none"/>
                <w14:textFill>
                  <w14:solidFill>
                    <w14:schemeClr w14:val="tx1"/>
                  </w14:solidFill>
                </w14:textFill>
              </w:rPr>
              <w:t>废气排放量控制指标</w:t>
            </w:r>
          </w:p>
          <w:p w14:paraId="63220734">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根据</w:t>
            </w:r>
            <w:r>
              <w:rPr>
                <w:rFonts w:hint="default" w:ascii="Times New Roman" w:hAnsi="Times New Roman" w:cs="Times New Roman"/>
                <w:color w:val="000000" w:themeColor="text1"/>
                <w:sz w:val="24"/>
                <w:highlight w:val="none"/>
                <w14:textFill>
                  <w14:solidFill>
                    <w14:schemeClr w14:val="tx1"/>
                  </w14:solidFill>
                </w14:textFill>
              </w:rPr>
              <w:t>生态环境部“十四五”主要污染物总量减排有关文件以及</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广东省人民政府关于印发广东省“三线一单”生态环境分区管控方案的通知</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粤府〔2020〕71号</w:t>
            </w:r>
            <w:r>
              <w:rPr>
                <w:rFonts w:hint="default" w:ascii="Times New Roman" w:hAnsi="Times New Roman" w:cs="Times New Roman"/>
                <w:color w:val="000000" w:themeColor="text1"/>
                <w:sz w:val="24"/>
                <w:highlight w:val="none"/>
                <w:lang w:eastAsia="zh-CN"/>
                <w14:textFill>
                  <w14:solidFill>
                    <w14:schemeClr w14:val="tx1"/>
                  </w14:solidFill>
                </w14:textFill>
              </w:rPr>
              <w:t>），重点污染物排放总量指标包括化学需氧量、氨氮、氮氧化物及挥发性有机物等</w:t>
            </w:r>
            <w:r>
              <w:rPr>
                <w:rFonts w:hint="default" w:ascii="Times New Roman" w:hAnsi="Times New Roman" w:cs="Times New Roman"/>
                <w:color w:val="000000" w:themeColor="text1"/>
                <w:sz w:val="24"/>
                <w:highlight w:val="none"/>
                <w:lang w:val="en-US" w:eastAsia="zh-CN"/>
                <w14:textFill>
                  <w14:solidFill>
                    <w14:schemeClr w14:val="tx1"/>
                  </w14:solidFill>
                </w14:textFill>
              </w:rPr>
              <w:t>四项</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、SO</w:t>
            </w:r>
            <w:r>
              <w:rPr>
                <w:rFonts w:hint="eastAsia"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无需设置大气污染物总量控制指标</w:t>
            </w:r>
            <w:r>
              <w:rPr>
                <w:rFonts w:hint="default" w:ascii="Times New Roman" w:hAnsi="Times New Roman" w:cs="Times New Roman"/>
                <w:color w:val="000000" w:themeColor="text1"/>
                <w:sz w:val="24"/>
                <w:highlight w:val="none"/>
                <w14:textFill>
                  <w14:solidFill>
                    <w14:schemeClr w14:val="tx1"/>
                  </w14:solidFill>
                </w14:textFill>
              </w:rPr>
              <w:t>。</w:t>
            </w:r>
          </w:p>
          <w:p w14:paraId="0F78B823">
            <w:pPr>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本项目建成后VOCs排放总量为</w:t>
            </w:r>
            <w:r>
              <w:rPr>
                <w:rFonts w:hint="eastAsia" w:cs="Times New Roman"/>
                <w:color w:val="000000" w:themeColor="text1"/>
                <w:sz w:val="24"/>
                <w:highlight w:val="none"/>
                <w:lang w:val="en-US" w:eastAsia="zh-CN"/>
                <w14:textFill>
                  <w14:solidFill>
                    <w14:schemeClr w14:val="tx1"/>
                  </w14:solidFill>
                </w14:textFill>
              </w:rPr>
              <w:t>1.022</w:t>
            </w:r>
            <w:r>
              <w:rPr>
                <w:rFonts w:hint="eastAsia" w:ascii="Times New Roman" w:hAnsi="Times New Roman" w:cs="Times New Roman"/>
                <w:color w:val="000000" w:themeColor="text1"/>
                <w:sz w:val="24"/>
                <w:highlight w:val="none"/>
                <w:lang w:val="en-US" w:eastAsia="zh-CN"/>
                <w14:textFill>
                  <w14:solidFill>
                    <w14:schemeClr w14:val="tx1"/>
                  </w14:solidFill>
                </w14:textFill>
              </w:rPr>
              <w:t>t/a（有组织排放量</w:t>
            </w:r>
            <w:r>
              <w:rPr>
                <w:rFonts w:hint="eastAsia" w:cs="Times New Roman"/>
                <w:color w:val="000000" w:themeColor="text1"/>
                <w:sz w:val="24"/>
                <w:highlight w:val="none"/>
                <w:lang w:val="en-US" w:eastAsia="zh-CN"/>
                <w14:textFill>
                  <w14:solidFill>
                    <w14:schemeClr w14:val="tx1"/>
                  </w14:solidFill>
                </w14:textFill>
              </w:rPr>
              <w:t>0.670</w:t>
            </w:r>
            <w:r>
              <w:rPr>
                <w:rFonts w:hint="eastAsia" w:ascii="Times New Roman" w:hAnsi="Times New Roman" w:cs="Times New Roman"/>
                <w:color w:val="000000" w:themeColor="text1"/>
                <w:sz w:val="24"/>
                <w:highlight w:val="none"/>
                <w:lang w:val="en-US" w:eastAsia="zh-CN"/>
                <w14:textFill>
                  <w14:solidFill>
                    <w14:schemeClr w14:val="tx1"/>
                  </w14:solidFill>
                </w14:textFill>
              </w:rPr>
              <w:t>t/a，无组织排放量0.</w:t>
            </w:r>
            <w:r>
              <w:rPr>
                <w:rFonts w:hint="eastAsia" w:cs="Times New Roman"/>
                <w:color w:val="000000" w:themeColor="text1"/>
                <w:sz w:val="24"/>
                <w:highlight w:val="none"/>
                <w:lang w:val="en-US" w:eastAsia="zh-CN"/>
                <w14:textFill>
                  <w14:solidFill>
                    <w14:schemeClr w14:val="tx1"/>
                  </w14:solidFill>
                </w14:textFill>
              </w:rPr>
              <w:t>352t</w:t>
            </w:r>
            <w:r>
              <w:rPr>
                <w:rFonts w:hint="eastAsia" w:ascii="Times New Roman" w:hAnsi="Times New Roman" w:cs="Times New Roman"/>
                <w:color w:val="000000" w:themeColor="text1"/>
                <w:sz w:val="24"/>
                <w:highlight w:val="none"/>
                <w:lang w:val="en-US" w:eastAsia="zh-CN"/>
                <w14:textFill>
                  <w14:solidFill>
                    <w14:schemeClr w14:val="tx1"/>
                  </w14:solidFill>
                </w14:textFill>
              </w:rPr>
              <w:t>/a），氮氧化物排放总量为0.</w:t>
            </w:r>
            <w:r>
              <w:rPr>
                <w:rFonts w:hint="eastAsia" w:cs="Times New Roman"/>
                <w:color w:val="000000" w:themeColor="text1"/>
                <w:sz w:val="24"/>
                <w:highlight w:val="none"/>
                <w:lang w:val="en-US" w:eastAsia="zh-CN"/>
                <w14:textFill>
                  <w14:solidFill>
                    <w14:schemeClr w14:val="tx1"/>
                  </w14:solidFill>
                </w14:textFill>
              </w:rPr>
              <w:t>341</w:t>
            </w:r>
            <w:r>
              <w:rPr>
                <w:rFonts w:hint="eastAsia" w:ascii="Times New Roman" w:hAnsi="Times New Roman" w:cs="Times New Roman"/>
                <w:color w:val="000000" w:themeColor="text1"/>
                <w:sz w:val="24"/>
                <w:highlight w:val="none"/>
                <w:lang w:val="en-US" w:eastAsia="zh-CN"/>
                <w14:textFill>
                  <w14:solidFill>
                    <w14:schemeClr w14:val="tx1"/>
                  </w14:solidFill>
                </w14:textFill>
              </w:rPr>
              <w:t>t/a。根据《广东省人民政府办公厅印发广东省关于进一步深化投融资体制改革若干举措的通知》（粤府办〔2025〕8号），VOCs、氮氧化物等量替代需向韶关市生态环境局乐昌分局申请分配</w:t>
            </w:r>
            <w:r>
              <w:rPr>
                <w:rFonts w:hint="eastAsia" w:cs="Times New Roman"/>
                <w:color w:val="000000" w:themeColor="text1"/>
                <w:sz w:val="24"/>
                <w:highlight w:val="none"/>
                <w:lang w:val="en-US" w:eastAsia="zh-CN"/>
                <w14:textFill>
                  <w14:solidFill>
                    <w14:schemeClr w14:val="tx1"/>
                  </w14:solidFill>
                </w14:textFill>
              </w:rPr>
              <w:t>，根据总量申请结果（附件9），有机物总量指标替代来源从“广东嘉盛环保高新材料股份有限公司低效治理设施改造”计划减排量中预支。氮氧化物总量指标来源于乐昌市俊辉木材加工厂燃生物质锅炉淘汰项目、乐昌市华翔木业有限公司燃生物质锅炉淘汰项目。</w:t>
            </w:r>
          </w:p>
          <w:p w14:paraId="3A3C78D3">
            <w:pPr>
              <w:pStyle w:val="2"/>
              <w:rPr>
                <w:rFonts w:hint="default"/>
                <w:color w:val="000000" w:themeColor="text1"/>
                <w:lang w:val="en-US" w:eastAsia="zh-CN"/>
                <w14:textFill>
                  <w14:solidFill>
                    <w14:schemeClr w14:val="tx1"/>
                  </w14:solidFill>
                </w14:textFill>
              </w:rPr>
            </w:pPr>
          </w:p>
        </w:tc>
      </w:tr>
    </w:tbl>
    <w:p w14:paraId="13AE413F">
      <w:pPr>
        <w:pStyle w:val="41"/>
        <w:numPr>
          <w:ilvl w:val="0"/>
          <w:numId w:val="0"/>
        </w:numPr>
        <w:spacing w:line="240" w:lineRule="auto"/>
        <w:jc w:val="both"/>
        <w:outlineLvl w:val="9"/>
        <w:rPr>
          <w:rFonts w:hint="eastAsia" w:ascii="黑体" w:hAnsi="黑体" w:eastAsia="黑体"/>
          <w:snapToGrid w:val="0"/>
          <w:color w:val="000000" w:themeColor="text1"/>
          <w:sz w:val="30"/>
          <w:szCs w:val="30"/>
          <w:highlight w:val="none"/>
          <w14:textFill>
            <w14:solidFill>
              <w14:schemeClr w14:val="tx1"/>
            </w14:solidFill>
          </w14:textFill>
        </w:rPr>
      </w:pPr>
    </w:p>
    <w:p w14:paraId="6CB91C88">
      <w:pPr>
        <w:pStyle w:val="41"/>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ascii="黑体" w:hAnsi="黑体" w:eastAsia="黑体"/>
          <w:snapToGrid w:val="0"/>
          <w:color w:val="000000" w:themeColor="text1"/>
          <w:sz w:val="36"/>
          <w:szCs w:val="36"/>
          <w:highlight w:val="none"/>
          <w14:textFill>
            <w14:solidFill>
              <w14:schemeClr w14:val="tx1"/>
            </w14:solidFill>
          </w14:textFill>
        </w:rPr>
        <w:br w:type="page"/>
      </w:r>
      <w:bookmarkStart w:id="17" w:name="_Toc5205"/>
      <w:bookmarkStart w:id="18" w:name="_Toc28571"/>
      <w:bookmarkStart w:id="19" w:name="_Toc31582"/>
      <w:bookmarkStart w:id="20" w:name="_Toc25738"/>
      <w:r>
        <w:rPr>
          <w:rFonts w:hint="eastAsia" w:ascii="黑体" w:hAnsi="黑体" w:eastAsia="黑体"/>
          <w:snapToGrid w:val="0"/>
          <w:color w:val="000000" w:themeColor="text1"/>
          <w:sz w:val="30"/>
          <w:szCs w:val="30"/>
          <w:highlight w:val="none"/>
          <w14:textFill>
            <w14:solidFill>
              <w14:schemeClr w14:val="tx1"/>
            </w14:solidFill>
          </w14:textFill>
        </w:rPr>
        <w:t>四、主要环境影响和保护措施</w:t>
      </w:r>
      <w:bookmarkEnd w:id="17"/>
      <w:bookmarkEnd w:id="18"/>
      <w:bookmarkEnd w:id="19"/>
      <w:bookmarkEnd w:id="20"/>
    </w:p>
    <w:tbl>
      <w:tblPr>
        <w:tblStyle w:val="44"/>
        <w:tblW w:w="91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9"/>
        <w:gridCol w:w="8616"/>
      </w:tblGrid>
      <w:tr w14:paraId="290B54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509" w:type="dxa"/>
            <w:noWrap w:val="0"/>
            <w:tcMar>
              <w:left w:w="28" w:type="dxa"/>
              <w:right w:w="28" w:type="dxa"/>
            </w:tcMar>
            <w:vAlign w:val="center"/>
          </w:tcPr>
          <w:p w14:paraId="03D0D305">
            <w:pPr>
              <w:pStyle w:val="41"/>
              <w:adjustRightInd w:val="0"/>
              <w:snapToGrid w:val="0"/>
              <w:spacing w:before="0" w:beforeAutospacing="0" w:after="0" w:afterAutospacing="0"/>
              <w:jc w:val="center"/>
              <w:rPr>
                <w:rFonts w:hint="default" w:ascii="Times New Roman" w:hAnsi="Times New Roman" w:eastAsia="宋体" w:cs="Times New Roman"/>
                <w:color w:val="000000" w:themeColor="text1"/>
                <w:kern w:val="2"/>
                <w:szCs w:val="24"/>
                <w:highlight w:val="none"/>
                <w14:textFill>
                  <w14:solidFill>
                    <w14:schemeClr w14:val="tx1"/>
                  </w14:solidFill>
                </w14:textFill>
              </w:rPr>
            </w:pPr>
            <w:r>
              <w:rPr>
                <w:rFonts w:hint="default" w:ascii="Times New Roman" w:hAnsi="Times New Roman" w:eastAsia="宋体" w:cs="Times New Roman"/>
                <w:color w:val="000000" w:themeColor="text1"/>
                <w:kern w:val="2"/>
                <w:szCs w:val="24"/>
                <w:highlight w:val="none"/>
                <w14:textFill>
                  <w14:solidFill>
                    <w14:schemeClr w14:val="tx1"/>
                  </w14:solidFill>
                </w14:textFill>
              </w:rPr>
              <w:t>施工</w:t>
            </w:r>
          </w:p>
          <w:p w14:paraId="17ED710D">
            <w:pPr>
              <w:pStyle w:val="41"/>
              <w:adjustRightInd w:val="0"/>
              <w:snapToGrid w:val="0"/>
              <w:spacing w:before="0" w:beforeAutospacing="0" w:after="0" w:afterAutospacing="0"/>
              <w:jc w:val="center"/>
              <w:rPr>
                <w:rFonts w:hint="default" w:ascii="Times New Roman" w:hAnsi="Times New Roman" w:eastAsia="宋体" w:cs="Times New Roman"/>
                <w:color w:val="000000" w:themeColor="text1"/>
                <w:kern w:val="2"/>
                <w:szCs w:val="24"/>
                <w:highlight w:val="none"/>
                <w14:textFill>
                  <w14:solidFill>
                    <w14:schemeClr w14:val="tx1"/>
                  </w14:solidFill>
                </w14:textFill>
              </w:rPr>
            </w:pPr>
            <w:r>
              <w:rPr>
                <w:rFonts w:hint="default" w:ascii="Times New Roman" w:hAnsi="Times New Roman" w:eastAsia="宋体" w:cs="Times New Roman"/>
                <w:color w:val="000000" w:themeColor="text1"/>
                <w:kern w:val="2"/>
                <w:szCs w:val="24"/>
                <w:highlight w:val="none"/>
                <w14:textFill>
                  <w14:solidFill>
                    <w14:schemeClr w14:val="tx1"/>
                  </w14:solidFill>
                </w14:textFill>
              </w:rPr>
              <w:t>期环</w:t>
            </w:r>
          </w:p>
          <w:p w14:paraId="42D62D36">
            <w:pPr>
              <w:pStyle w:val="41"/>
              <w:adjustRightInd w:val="0"/>
              <w:snapToGrid w:val="0"/>
              <w:spacing w:before="0" w:beforeAutospacing="0" w:after="0" w:afterAutospacing="0"/>
              <w:jc w:val="center"/>
              <w:rPr>
                <w:rFonts w:hint="default" w:ascii="Times New Roman" w:hAnsi="Times New Roman" w:eastAsia="宋体" w:cs="Times New Roman"/>
                <w:color w:val="000000" w:themeColor="text1"/>
                <w:kern w:val="2"/>
                <w:szCs w:val="24"/>
                <w:highlight w:val="none"/>
                <w14:textFill>
                  <w14:solidFill>
                    <w14:schemeClr w14:val="tx1"/>
                  </w14:solidFill>
                </w14:textFill>
              </w:rPr>
            </w:pPr>
            <w:r>
              <w:rPr>
                <w:rFonts w:hint="default" w:ascii="Times New Roman" w:hAnsi="Times New Roman" w:eastAsia="宋体" w:cs="Times New Roman"/>
                <w:color w:val="000000" w:themeColor="text1"/>
                <w:kern w:val="2"/>
                <w:szCs w:val="24"/>
                <w:highlight w:val="none"/>
                <w14:textFill>
                  <w14:solidFill>
                    <w14:schemeClr w14:val="tx1"/>
                  </w14:solidFill>
                </w14:textFill>
              </w:rPr>
              <w:t>境保</w:t>
            </w:r>
          </w:p>
          <w:p w14:paraId="015E115C">
            <w:pPr>
              <w:pStyle w:val="41"/>
              <w:adjustRightInd w:val="0"/>
              <w:snapToGrid w:val="0"/>
              <w:spacing w:before="0" w:beforeAutospacing="0" w:after="0" w:afterAutospacing="0"/>
              <w:jc w:val="center"/>
              <w:rPr>
                <w:rFonts w:hint="default" w:ascii="Times New Roman" w:hAnsi="Times New Roman" w:eastAsia="宋体" w:cs="Times New Roman"/>
                <w:color w:val="000000" w:themeColor="text1"/>
                <w:kern w:val="2"/>
                <w:szCs w:val="24"/>
                <w:highlight w:val="none"/>
                <w14:textFill>
                  <w14:solidFill>
                    <w14:schemeClr w14:val="tx1"/>
                  </w14:solidFill>
                </w14:textFill>
              </w:rPr>
            </w:pPr>
            <w:r>
              <w:rPr>
                <w:rFonts w:hint="default" w:ascii="Times New Roman" w:hAnsi="Times New Roman" w:eastAsia="宋体" w:cs="Times New Roman"/>
                <w:color w:val="000000" w:themeColor="text1"/>
                <w:kern w:val="2"/>
                <w:szCs w:val="24"/>
                <w:highlight w:val="none"/>
                <w14:textFill>
                  <w14:solidFill>
                    <w14:schemeClr w14:val="tx1"/>
                  </w14:solidFill>
                </w14:textFill>
              </w:rPr>
              <w:t>护措</w:t>
            </w:r>
          </w:p>
          <w:p w14:paraId="4BB92313">
            <w:pPr>
              <w:pStyle w:val="41"/>
              <w:adjustRightInd w:val="0"/>
              <w:snapToGrid w:val="0"/>
              <w:spacing w:before="0" w:beforeAutospacing="0" w:after="0" w:afterAutospacing="0"/>
              <w:jc w:val="center"/>
              <w:rPr>
                <w:rFonts w:hint="default" w:ascii="Times New Roman" w:hAnsi="Times New Roman" w:eastAsia="宋体" w:cs="Times New Roman"/>
                <w:bCs/>
                <w:color w:val="000000" w:themeColor="text1"/>
                <w:kern w:val="2"/>
                <w:szCs w:val="24"/>
                <w:highlight w:val="none"/>
                <w14:textFill>
                  <w14:solidFill>
                    <w14:schemeClr w14:val="tx1"/>
                  </w14:solidFill>
                </w14:textFill>
              </w:rPr>
            </w:pPr>
            <w:r>
              <w:rPr>
                <w:rFonts w:hint="default" w:ascii="Times New Roman" w:hAnsi="Times New Roman" w:eastAsia="宋体" w:cs="Times New Roman"/>
                <w:color w:val="000000" w:themeColor="text1"/>
                <w:kern w:val="2"/>
                <w:szCs w:val="24"/>
                <w:highlight w:val="none"/>
                <w14:textFill>
                  <w14:solidFill>
                    <w14:schemeClr w14:val="tx1"/>
                  </w14:solidFill>
                </w14:textFill>
              </w:rPr>
              <w:t>施</w:t>
            </w:r>
          </w:p>
        </w:tc>
        <w:tc>
          <w:tcPr>
            <w:tcW w:w="8616" w:type="dxa"/>
            <w:noWrap w:val="0"/>
            <w:vAlign w:val="center"/>
          </w:tcPr>
          <w:p w14:paraId="61776A57">
            <w:pPr>
              <w:pStyle w:val="136"/>
              <w:keepNext w:val="0"/>
              <w:keepLines w:val="0"/>
              <w:pageBreakBefore w:val="0"/>
              <w:widowControl w:val="0"/>
              <w:kinsoku/>
              <w:wordWrap/>
              <w:overflowPunct/>
              <w:topLinePunct w:val="0"/>
              <w:autoSpaceDE/>
              <w:autoSpaceDN/>
              <w:bidi w:val="0"/>
              <w:adjustRightInd/>
              <w:snapToGrid/>
              <w:spacing w:before="39" w:line="120" w:lineRule="exact"/>
              <w:ind w:left="113" w:right="108" w:firstLine="476"/>
              <w:textAlignment w:val="auto"/>
              <w:rPr>
                <w:rFonts w:hint="default" w:ascii="Times New Roman" w:hAnsi="Times New Roman" w:cs="Times New Roman"/>
                <w:color w:val="000000" w:themeColor="text1"/>
                <w:sz w:val="24"/>
                <w:szCs w:val="24"/>
                <w:highlight w:val="none"/>
                <w14:textFill>
                  <w14:solidFill>
                    <w14:schemeClr w14:val="tx1"/>
                  </w14:solidFill>
                </w14:textFill>
              </w:rPr>
            </w:pPr>
          </w:p>
          <w:p w14:paraId="2EC80E07">
            <w:pPr>
              <w:spacing w:line="360" w:lineRule="auto"/>
              <w:ind w:firstLine="48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本项目</w:t>
            </w:r>
            <w:r>
              <w:rPr>
                <w:rFonts w:hint="eastAsia"/>
                <w:color w:val="000000" w:themeColor="text1"/>
                <w:sz w:val="24"/>
                <w:szCs w:val="24"/>
                <w:highlight w:val="none"/>
                <w:lang w:eastAsia="zh-CN"/>
                <w14:textFill>
                  <w14:solidFill>
                    <w14:schemeClr w14:val="tx1"/>
                  </w14:solidFill>
                </w14:textFill>
              </w:rPr>
              <w:t>位于</w:t>
            </w:r>
            <w:r>
              <w:rPr>
                <w:rFonts w:hint="eastAsia" w:cs="Times New Roman"/>
                <w:color w:val="000000" w:themeColor="text1"/>
                <w:sz w:val="24"/>
                <w:szCs w:val="24"/>
                <w:highlight w:val="none"/>
                <w:lang w:val="en-US" w:eastAsia="zh-CN"/>
                <w14:textFill>
                  <w14:solidFill>
                    <w14:schemeClr w14:val="tx1"/>
                  </w14:solidFill>
                </w14:textFill>
              </w:rPr>
              <w:t>韶关市乐昌市乐昌经济开发区管理委员会后座046号</w:t>
            </w: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目前厂房已建设，施工期已过。</w:t>
            </w:r>
          </w:p>
        </w:tc>
      </w:tr>
    </w:tbl>
    <w:p w14:paraId="25EAF578">
      <w:pPr>
        <w:adjustRightInd w:val="0"/>
        <w:snapToGrid w:val="0"/>
        <w:spacing w:line="360" w:lineRule="auto"/>
        <w:rPr>
          <w:rFonts w:hint="eastAsia" w:ascii="宋体" w:cs="宋体"/>
          <w:b/>
          <w:color w:val="000000" w:themeColor="text1"/>
          <w:kern w:val="0"/>
          <w:sz w:val="28"/>
          <w:szCs w:val="28"/>
          <w:highlight w:val="none"/>
          <w14:textFill>
            <w14:solidFill>
              <w14:schemeClr w14:val="tx1"/>
            </w14:solidFill>
          </w14:textFill>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3064"/>
      </w:tblGrid>
      <w:tr w14:paraId="2DEA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5" w:hRule="atLeast"/>
        </w:trPr>
        <w:tc>
          <w:tcPr>
            <w:tcW w:w="630" w:type="dxa"/>
            <w:noWrap w:val="0"/>
            <w:vAlign w:val="top"/>
          </w:tcPr>
          <w:p w14:paraId="75234501">
            <w:pPr>
              <w:adjustRightInd w:val="0"/>
              <w:snapToGrid w:val="0"/>
              <w:jc w:val="center"/>
              <w:rPr>
                <w:rFonts w:hint="default" w:ascii="Times New Roman" w:hAnsi="Times New Roman" w:eastAsia="宋体" w:cs="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运营</w:t>
            </w:r>
          </w:p>
          <w:p w14:paraId="14BED8C5">
            <w:pPr>
              <w:adjustRightInd w:val="0"/>
              <w:snapToGrid w:val="0"/>
              <w:jc w:val="center"/>
              <w:rPr>
                <w:rFonts w:hint="default" w:ascii="Times New Roman" w:hAnsi="Times New Roman" w:eastAsia="宋体" w:cs="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期环</w:t>
            </w:r>
          </w:p>
          <w:p w14:paraId="4CF6938B">
            <w:pPr>
              <w:adjustRightInd w:val="0"/>
              <w:snapToGrid w:val="0"/>
              <w:jc w:val="center"/>
              <w:rPr>
                <w:rFonts w:hint="default" w:ascii="Times New Roman" w:hAnsi="Times New Roman" w:eastAsia="宋体" w:cs="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境影</w:t>
            </w:r>
          </w:p>
          <w:p w14:paraId="7D0F6D8F">
            <w:pPr>
              <w:adjustRightInd w:val="0"/>
              <w:snapToGrid w:val="0"/>
              <w:jc w:val="center"/>
              <w:rPr>
                <w:rFonts w:hint="default" w:ascii="Times New Roman" w:hAnsi="Times New Roman" w:eastAsia="宋体" w:cs="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响和</w:t>
            </w:r>
          </w:p>
          <w:p w14:paraId="07F642B8">
            <w:pPr>
              <w:adjustRightInd w:val="0"/>
              <w:snapToGrid w:val="0"/>
              <w:jc w:val="center"/>
              <w:rPr>
                <w:rFonts w:hint="eastAsia"/>
                <w:color w:val="000000" w:themeColor="text1"/>
                <w:highlight w:val="none"/>
                <w:vertAlign w:val="baseline"/>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保护措施</w:t>
            </w:r>
          </w:p>
        </w:tc>
        <w:tc>
          <w:tcPr>
            <w:tcW w:w="13024" w:type="dxa"/>
            <w:noWrap w:val="0"/>
            <w:vAlign w:val="top"/>
          </w:tcPr>
          <w:p w14:paraId="475F12F8">
            <w:pPr>
              <w:spacing w:line="360" w:lineRule="auto"/>
              <w:ind w:firstLine="482" w:firstLineChars="200"/>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pPr>
            <w:r>
              <w:rPr>
                <w:rFonts w:hint="eastAsia" w:cs="Times New Roman"/>
                <w:b/>
                <w:color w:val="000000" w:themeColor="text1"/>
                <w:sz w:val="24"/>
                <w:szCs w:val="24"/>
                <w:highlight w:val="none"/>
                <w:lang w:val="en-US" w:eastAsia="zh-CN"/>
                <w14:textFill>
                  <w14:solidFill>
                    <w14:schemeClr w14:val="tx1"/>
                  </w14:solidFill>
                </w14:textFill>
              </w:rPr>
              <w:t>1、 废气</w:t>
            </w:r>
          </w:p>
          <w:p w14:paraId="41827A48">
            <w:pPr>
              <w:spacing w:line="360" w:lineRule="auto"/>
              <w:ind w:firstLine="482"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1</w:t>
            </w:r>
            <w:r>
              <w:rPr>
                <w:rFonts w:hint="eastAsia" w:cs="Times New Roman"/>
                <w:b/>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废气</w:t>
            </w:r>
            <w:r>
              <w:rPr>
                <w:rFonts w:hint="eastAsia" w:cs="Times New Roman"/>
                <w:b/>
                <w:color w:val="000000" w:themeColor="text1"/>
                <w:sz w:val="24"/>
                <w:szCs w:val="24"/>
                <w:highlight w:val="none"/>
                <w:lang w:val="en-US" w:eastAsia="zh-CN"/>
                <w14:textFill>
                  <w14:solidFill>
                    <w14:schemeClr w14:val="tx1"/>
                  </w14:solidFill>
                </w14:textFill>
              </w:rPr>
              <w:t>排放情况</w:t>
            </w:r>
          </w:p>
          <w:p w14:paraId="13CD4D49">
            <w:pPr>
              <w:widowControl w:val="0"/>
              <w:kinsoku/>
              <w:autoSpaceDE/>
              <w:autoSpaceDN/>
              <w:adjustRightInd/>
              <w:snapToGrid/>
              <w:spacing w:line="360" w:lineRule="auto"/>
              <w:ind w:firstLine="464" w:firstLineChars="200"/>
              <w:jc w:val="both"/>
              <w:textAlignment w:val="auto"/>
              <w:rPr>
                <w:rFonts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本项目营运期产生的废气主要为钣金车间的</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机加工粉尘</w:t>
            </w:r>
            <w:r>
              <w:rPr>
                <w:rFonts w:hint="eastAsia"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（含切割粉尘、</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打磨抛光粉尘</w:t>
            </w:r>
            <w:r>
              <w:rPr>
                <w:rFonts w:hint="eastAsia"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焊接烟尘；</w:t>
            </w:r>
            <w:r>
              <w:rPr>
                <w:rFonts w:hint="eastAsia" w:cs="Times New Roman"/>
                <w:snapToGrid/>
                <w:color w:val="000000" w:themeColor="text1"/>
                <w:spacing w:val="-4"/>
                <w:kern w:val="2"/>
                <w:sz w:val="24"/>
                <w:szCs w:val="24"/>
                <w:highlight w:val="none"/>
                <w:lang w:val="en-US" w:eastAsia="zh-CN"/>
                <w14:textFill>
                  <w14:solidFill>
                    <w14:schemeClr w14:val="tx1"/>
                  </w14:solidFill>
                </w14:textFill>
              </w:rPr>
              <w:t>喷涂车间产生的喷粉粉尘、喷漆废气和固化废气</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以及</w:t>
            </w:r>
            <w:r>
              <w:rPr>
                <w:rFonts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厨房油烟废气。</w:t>
            </w:r>
          </w:p>
          <w:p w14:paraId="79BC77D1">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eastAsia" w:asci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表4-1</w:t>
            </w:r>
            <w:r>
              <w:rPr>
                <w:rFonts w:hint="eastAsia" w:ascii="Times New Roman" w:cs="Times New Roman"/>
                <w:b/>
                <w:bCs/>
                <w:color w:val="000000" w:themeColor="text1"/>
                <w:kern w:val="2"/>
                <w:sz w:val="21"/>
                <w:szCs w:val="21"/>
                <w:lang w:val="en-US" w:eastAsia="zh-CN" w:bidi="ar-SA"/>
                <w14:textFill>
                  <w14:solidFill>
                    <w14:schemeClr w14:val="tx1"/>
                  </w14:solidFill>
                </w14:textFill>
              </w:rPr>
              <w:t xml:space="preserve"> </w:t>
            </w:r>
            <w:r>
              <w:rPr>
                <w:rFonts w:hint="eastAsia" w:ascii="Times New Roman" w:cs="Times New Roman"/>
                <w:b/>
                <w:bCs/>
                <w:color w:val="000000" w:themeColor="text1"/>
                <w:sz w:val="21"/>
                <w:szCs w:val="21"/>
                <w:highlight w:val="none"/>
                <w14:textFill>
                  <w14:solidFill>
                    <w14:schemeClr w14:val="tx1"/>
                  </w14:solidFill>
                </w14:textFill>
              </w:rPr>
              <w:t>项目废气产排污节点、污染物及污染治理设施情况一览表</w:t>
            </w:r>
          </w:p>
          <w:tbl>
            <w:tblPr>
              <w:tblStyle w:val="45"/>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3"/>
              <w:gridCol w:w="2242"/>
              <w:gridCol w:w="1131"/>
              <w:gridCol w:w="1717"/>
              <w:gridCol w:w="914"/>
              <w:gridCol w:w="1165"/>
              <w:gridCol w:w="2234"/>
              <w:gridCol w:w="1116"/>
              <w:gridCol w:w="985"/>
              <w:gridCol w:w="845"/>
            </w:tblGrid>
            <w:tr w14:paraId="1D8D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vMerge w:val="restart"/>
                  <w:noWrap w:val="0"/>
                  <w:vAlign w:val="center"/>
                </w:tcPr>
                <w:p w14:paraId="482470F7">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序号</w:t>
                  </w:r>
                </w:p>
              </w:tc>
              <w:tc>
                <w:tcPr>
                  <w:tcW w:w="876" w:type="pct"/>
                  <w:vMerge w:val="restart"/>
                  <w:noWrap w:val="0"/>
                  <w:vAlign w:val="center"/>
                </w:tcPr>
                <w:p w14:paraId="71C8FE92">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位置</w:t>
                  </w:r>
                </w:p>
              </w:tc>
              <w:tc>
                <w:tcPr>
                  <w:tcW w:w="442" w:type="pct"/>
                  <w:vMerge w:val="restart"/>
                  <w:noWrap w:val="0"/>
                  <w:vAlign w:val="center"/>
                </w:tcPr>
                <w:p w14:paraId="2A56784D">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产污环节</w:t>
                  </w:r>
                </w:p>
              </w:tc>
              <w:tc>
                <w:tcPr>
                  <w:tcW w:w="671" w:type="pct"/>
                  <w:vMerge w:val="restart"/>
                  <w:noWrap w:val="0"/>
                  <w:vAlign w:val="center"/>
                </w:tcPr>
                <w:p w14:paraId="57E771E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污染物种类</w:t>
                  </w:r>
                </w:p>
              </w:tc>
              <w:tc>
                <w:tcPr>
                  <w:tcW w:w="357" w:type="pct"/>
                  <w:vMerge w:val="restart"/>
                  <w:noWrap w:val="0"/>
                  <w:vAlign w:val="center"/>
                </w:tcPr>
                <w:p w14:paraId="524A2B18">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排放形式</w:t>
                  </w:r>
                </w:p>
              </w:tc>
              <w:tc>
                <w:tcPr>
                  <w:tcW w:w="2149" w:type="pct"/>
                  <w:gridSpan w:val="4"/>
                  <w:tcBorders>
                    <w:right w:val="single" w:color="000000" w:sz="4" w:space="0"/>
                  </w:tcBorders>
                  <w:noWrap w:val="0"/>
                  <w:vAlign w:val="center"/>
                </w:tcPr>
                <w:p w14:paraId="37BDF344">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污染防治设施</w:t>
                  </w:r>
                </w:p>
              </w:tc>
              <w:tc>
                <w:tcPr>
                  <w:tcW w:w="330" w:type="pct"/>
                  <w:vMerge w:val="restart"/>
                  <w:noWrap w:val="0"/>
                  <w:vAlign w:val="center"/>
                </w:tcPr>
                <w:p w14:paraId="73EB8BD6">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有组织排放编号</w:t>
                  </w:r>
                </w:p>
              </w:tc>
            </w:tr>
            <w:tr w14:paraId="6FE5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vMerge w:val="continue"/>
                  <w:noWrap w:val="0"/>
                  <w:vAlign w:val="center"/>
                </w:tcPr>
                <w:p w14:paraId="4AEC933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876" w:type="pct"/>
                  <w:vMerge w:val="continue"/>
                  <w:noWrap w:val="0"/>
                  <w:vAlign w:val="center"/>
                </w:tcPr>
                <w:p w14:paraId="1EF6869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442" w:type="pct"/>
                  <w:vMerge w:val="continue"/>
                  <w:noWrap w:val="0"/>
                  <w:vAlign w:val="center"/>
                </w:tcPr>
                <w:p w14:paraId="18ACFE3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671" w:type="pct"/>
                  <w:vMerge w:val="continue"/>
                  <w:noWrap w:val="0"/>
                  <w:vAlign w:val="center"/>
                </w:tcPr>
                <w:p w14:paraId="6FE729E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357" w:type="pct"/>
                  <w:vMerge w:val="continue"/>
                  <w:noWrap w:val="0"/>
                  <w:vAlign w:val="center"/>
                </w:tcPr>
                <w:p w14:paraId="557B986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455" w:type="pct"/>
                  <w:noWrap w:val="0"/>
                  <w:vAlign w:val="center"/>
                </w:tcPr>
                <w:p w14:paraId="3E55F19D">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污染防治设施编号</w:t>
                  </w:r>
                </w:p>
              </w:tc>
              <w:tc>
                <w:tcPr>
                  <w:tcW w:w="873" w:type="pct"/>
                  <w:noWrap w:val="0"/>
                  <w:vAlign w:val="center"/>
                </w:tcPr>
                <w:p w14:paraId="35F7DAE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污染防治设施名称</w:t>
                  </w:r>
                </w:p>
              </w:tc>
              <w:tc>
                <w:tcPr>
                  <w:tcW w:w="436" w:type="pct"/>
                  <w:noWrap w:val="0"/>
                  <w:vAlign w:val="center"/>
                </w:tcPr>
                <w:p w14:paraId="5FEBCB51">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污染防治设施工艺</w:t>
                  </w:r>
                </w:p>
              </w:tc>
              <w:tc>
                <w:tcPr>
                  <w:tcW w:w="385" w:type="pct"/>
                  <w:tcBorders>
                    <w:right w:val="single" w:color="000000" w:sz="4" w:space="0"/>
                  </w:tcBorders>
                  <w:noWrap w:val="0"/>
                  <w:vAlign w:val="center"/>
                </w:tcPr>
                <w:p w14:paraId="32FBA054">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是否为可行性技术</w:t>
                  </w:r>
                </w:p>
              </w:tc>
              <w:tc>
                <w:tcPr>
                  <w:tcW w:w="330" w:type="pct"/>
                  <w:vMerge w:val="continue"/>
                  <w:noWrap w:val="0"/>
                  <w:vAlign w:val="center"/>
                </w:tcPr>
                <w:p w14:paraId="4B28255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r>
            <w:tr w14:paraId="544A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noWrap w:val="0"/>
                  <w:vAlign w:val="center"/>
                </w:tcPr>
                <w:p w14:paraId="61C6E12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876" w:type="pct"/>
                  <w:noWrap w:val="0"/>
                  <w:vAlign w:val="center"/>
                </w:tcPr>
                <w:p w14:paraId="5F735C0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激光切割生产线</w:t>
                  </w: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、数控切割机</w:t>
                  </w:r>
                </w:p>
              </w:tc>
              <w:tc>
                <w:tcPr>
                  <w:tcW w:w="442" w:type="pct"/>
                  <w:noWrap w:val="0"/>
                  <w:vAlign w:val="center"/>
                </w:tcPr>
                <w:p w14:paraId="665ABF86">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钣金成型（切割）</w:t>
                  </w:r>
                </w:p>
              </w:tc>
              <w:tc>
                <w:tcPr>
                  <w:tcW w:w="671" w:type="pct"/>
                  <w:noWrap w:val="0"/>
                  <w:vAlign w:val="center"/>
                </w:tcPr>
                <w:p w14:paraId="7D2D718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颗粒物</w:t>
                  </w:r>
                </w:p>
              </w:tc>
              <w:tc>
                <w:tcPr>
                  <w:tcW w:w="357" w:type="pct"/>
                  <w:noWrap w:val="0"/>
                  <w:vAlign w:val="center"/>
                </w:tcPr>
                <w:p w14:paraId="19D17DC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无组织</w:t>
                  </w:r>
                </w:p>
              </w:tc>
              <w:tc>
                <w:tcPr>
                  <w:tcW w:w="455" w:type="pct"/>
                  <w:noWrap w:val="0"/>
                  <w:vAlign w:val="center"/>
                </w:tcPr>
                <w:p w14:paraId="4D27344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873" w:type="pct"/>
                  <w:noWrap w:val="0"/>
                  <w:vAlign w:val="center"/>
                </w:tcPr>
                <w:p w14:paraId="7DC7F47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436" w:type="pct"/>
                  <w:noWrap w:val="0"/>
                  <w:vAlign w:val="center"/>
                </w:tcPr>
                <w:p w14:paraId="1023D2B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385" w:type="pct"/>
                  <w:noWrap w:val="0"/>
                  <w:vAlign w:val="center"/>
                </w:tcPr>
                <w:p w14:paraId="21CE8A4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330" w:type="pct"/>
                  <w:noWrap w:val="0"/>
                  <w:vAlign w:val="center"/>
                </w:tcPr>
                <w:p w14:paraId="666E5FA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0D03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noWrap w:val="0"/>
                  <w:vAlign w:val="center"/>
                </w:tcPr>
                <w:p w14:paraId="4D1B538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876" w:type="pct"/>
                  <w:noWrap w:val="0"/>
                  <w:vAlign w:val="center"/>
                </w:tcPr>
                <w:p w14:paraId="1031491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高速激光焊机、进口氩弧焊机、多功能焊机</w:t>
                  </w:r>
                </w:p>
              </w:tc>
              <w:tc>
                <w:tcPr>
                  <w:tcW w:w="442" w:type="pct"/>
                  <w:noWrap w:val="0"/>
                  <w:vAlign w:val="center"/>
                </w:tcPr>
                <w:p w14:paraId="5C42DBE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钣金成型（焊接）</w:t>
                  </w:r>
                </w:p>
              </w:tc>
              <w:tc>
                <w:tcPr>
                  <w:tcW w:w="671" w:type="pct"/>
                  <w:noWrap w:val="0"/>
                  <w:vAlign w:val="center"/>
                </w:tcPr>
                <w:p w14:paraId="6615D88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颗粒物</w:t>
                  </w:r>
                </w:p>
              </w:tc>
              <w:tc>
                <w:tcPr>
                  <w:tcW w:w="357" w:type="pct"/>
                  <w:noWrap w:val="0"/>
                  <w:vAlign w:val="center"/>
                </w:tcPr>
                <w:p w14:paraId="2A939EC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无组织</w:t>
                  </w:r>
                </w:p>
              </w:tc>
              <w:tc>
                <w:tcPr>
                  <w:tcW w:w="455" w:type="pct"/>
                  <w:noWrap w:val="0"/>
                  <w:vAlign w:val="center"/>
                </w:tcPr>
                <w:p w14:paraId="37E7149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873" w:type="pct"/>
                  <w:noWrap w:val="0"/>
                  <w:vAlign w:val="center"/>
                </w:tcPr>
                <w:p w14:paraId="64B8569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移动式焊烟净化器</w:t>
                  </w:r>
                </w:p>
              </w:tc>
              <w:tc>
                <w:tcPr>
                  <w:tcW w:w="436" w:type="pct"/>
                  <w:noWrap w:val="0"/>
                  <w:vAlign w:val="center"/>
                </w:tcPr>
                <w:p w14:paraId="6BCB7D7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滤筒除尘</w:t>
                  </w:r>
                </w:p>
              </w:tc>
              <w:tc>
                <w:tcPr>
                  <w:tcW w:w="385" w:type="pct"/>
                  <w:noWrap w:val="0"/>
                  <w:vAlign w:val="center"/>
                </w:tcPr>
                <w:p w14:paraId="16CA3AF3">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是</w:t>
                  </w:r>
                </w:p>
              </w:tc>
              <w:tc>
                <w:tcPr>
                  <w:tcW w:w="330" w:type="pct"/>
                  <w:noWrap w:val="0"/>
                  <w:vAlign w:val="center"/>
                </w:tcPr>
                <w:p w14:paraId="7406FA0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r>
            <w:tr w14:paraId="3A48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noWrap w:val="0"/>
                  <w:vAlign w:val="center"/>
                </w:tcPr>
                <w:p w14:paraId="4FC7137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w:t>
                  </w:r>
                </w:p>
              </w:tc>
              <w:tc>
                <w:tcPr>
                  <w:tcW w:w="876" w:type="pct"/>
                  <w:noWrap w:val="0"/>
                  <w:vAlign w:val="center"/>
                </w:tcPr>
                <w:p w14:paraId="0D6C36D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手磨机</w:t>
                  </w:r>
                </w:p>
              </w:tc>
              <w:tc>
                <w:tcPr>
                  <w:tcW w:w="442" w:type="pct"/>
                  <w:noWrap w:val="0"/>
                  <w:vAlign w:val="center"/>
                </w:tcPr>
                <w:p w14:paraId="175BC2FF">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抛光打磨</w:t>
                  </w:r>
                </w:p>
              </w:tc>
              <w:tc>
                <w:tcPr>
                  <w:tcW w:w="671" w:type="pct"/>
                  <w:noWrap w:val="0"/>
                  <w:vAlign w:val="center"/>
                </w:tcPr>
                <w:p w14:paraId="23D3D54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颗粒物</w:t>
                  </w:r>
                </w:p>
              </w:tc>
              <w:tc>
                <w:tcPr>
                  <w:tcW w:w="357" w:type="pct"/>
                  <w:noWrap w:val="0"/>
                  <w:vAlign w:val="center"/>
                </w:tcPr>
                <w:p w14:paraId="650DDC3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无</w:t>
                  </w:r>
                  <w:r>
                    <w:rPr>
                      <w:rFonts w:hint="default" w:ascii="Times New Roman" w:hAnsi="Times New Roman" w:cs="Times New Roman"/>
                      <w:color w:val="000000" w:themeColor="text1"/>
                      <w:sz w:val="21"/>
                      <w:szCs w:val="21"/>
                      <w:highlight w:val="none"/>
                      <w14:textFill>
                        <w14:solidFill>
                          <w14:schemeClr w14:val="tx1"/>
                        </w14:solidFill>
                      </w14:textFill>
                    </w:rPr>
                    <w:t>组织</w:t>
                  </w:r>
                </w:p>
              </w:tc>
              <w:tc>
                <w:tcPr>
                  <w:tcW w:w="455" w:type="pct"/>
                  <w:noWrap w:val="0"/>
                  <w:vAlign w:val="center"/>
                </w:tcPr>
                <w:p w14:paraId="1A7D3450">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873" w:type="pct"/>
                  <w:noWrap w:val="0"/>
                  <w:vAlign w:val="center"/>
                </w:tcPr>
                <w:p w14:paraId="0AC4CA2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436" w:type="pct"/>
                  <w:noWrap w:val="0"/>
                  <w:vAlign w:val="center"/>
                </w:tcPr>
                <w:p w14:paraId="0F2CD4E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385" w:type="pct"/>
                  <w:noWrap w:val="0"/>
                  <w:vAlign w:val="center"/>
                </w:tcPr>
                <w:p w14:paraId="31AD86B7">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330" w:type="pct"/>
                  <w:noWrap w:val="0"/>
                  <w:vAlign w:val="center"/>
                </w:tcPr>
                <w:p w14:paraId="6B76C47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0098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noWrap w:val="0"/>
                  <w:vAlign w:val="center"/>
                </w:tcPr>
                <w:p w14:paraId="33776A4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c>
                <w:tcPr>
                  <w:tcW w:w="876" w:type="pct"/>
                  <w:noWrap w:val="0"/>
                  <w:vAlign w:val="center"/>
                </w:tcPr>
                <w:p w14:paraId="65039E5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喷粉粉尘</w:t>
                  </w:r>
                </w:p>
              </w:tc>
              <w:tc>
                <w:tcPr>
                  <w:tcW w:w="442" w:type="pct"/>
                  <w:noWrap w:val="0"/>
                  <w:vAlign w:val="center"/>
                </w:tcPr>
                <w:p w14:paraId="4286356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喷粉</w:t>
                  </w:r>
                </w:p>
              </w:tc>
              <w:tc>
                <w:tcPr>
                  <w:tcW w:w="671" w:type="pct"/>
                  <w:shd w:val="clear" w:color="auto" w:fill="auto"/>
                  <w:noWrap w:val="0"/>
                  <w:vAlign w:val="center"/>
                </w:tcPr>
                <w:p w14:paraId="18F7A15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颗粒物</w:t>
                  </w:r>
                </w:p>
              </w:tc>
              <w:tc>
                <w:tcPr>
                  <w:tcW w:w="357" w:type="pct"/>
                  <w:shd w:val="clear" w:color="auto" w:fill="auto"/>
                  <w:noWrap w:val="0"/>
                  <w:vAlign w:val="center"/>
                </w:tcPr>
                <w:p w14:paraId="74B4FA7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无组织</w:t>
                  </w:r>
                </w:p>
              </w:tc>
              <w:tc>
                <w:tcPr>
                  <w:tcW w:w="455" w:type="pct"/>
                  <w:noWrap w:val="0"/>
                  <w:vAlign w:val="center"/>
                </w:tcPr>
                <w:p w14:paraId="6868157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TA001</w:t>
                  </w:r>
                </w:p>
              </w:tc>
              <w:tc>
                <w:tcPr>
                  <w:tcW w:w="873" w:type="pct"/>
                  <w:noWrap w:val="0"/>
                  <w:vAlign w:val="center"/>
                </w:tcPr>
                <w:p w14:paraId="7D872DE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color w:val="000000" w:themeColor="text1"/>
                      <w:sz w:val="21"/>
                      <w:szCs w:val="21"/>
                      <w14:textFill>
                        <w14:solidFill>
                          <w14:schemeClr w14:val="tx1"/>
                        </w14:solidFill>
                      </w14:textFill>
                    </w:rPr>
                    <w:t>大旋风+滤芯式二级回收系统</w:t>
                  </w:r>
                </w:p>
              </w:tc>
              <w:tc>
                <w:tcPr>
                  <w:tcW w:w="436" w:type="pct"/>
                  <w:noWrap w:val="0"/>
                  <w:vAlign w:val="center"/>
                </w:tcPr>
                <w:p w14:paraId="298B82E0">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385" w:type="pct"/>
                  <w:noWrap w:val="0"/>
                  <w:vAlign w:val="center"/>
                </w:tcPr>
                <w:p w14:paraId="5777761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330" w:type="pct"/>
                  <w:noWrap w:val="0"/>
                  <w:vAlign w:val="center"/>
                </w:tcPr>
                <w:p w14:paraId="0FF25A6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r>
            <w:tr w14:paraId="1188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noWrap w:val="0"/>
                  <w:vAlign w:val="center"/>
                </w:tcPr>
                <w:p w14:paraId="687A9ED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876" w:type="pct"/>
                  <w:shd w:val="clear" w:color="auto" w:fill="auto"/>
                  <w:noWrap w:val="0"/>
                  <w:vAlign w:val="center"/>
                </w:tcPr>
                <w:p w14:paraId="4D2DC93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喷漆</w:t>
                  </w:r>
                  <w:r>
                    <w:rPr>
                      <w:rFonts w:hint="eastAsia" w:cs="Times New Roman"/>
                      <w:color w:val="000000" w:themeColor="text1"/>
                      <w:sz w:val="21"/>
                      <w:szCs w:val="21"/>
                      <w:highlight w:val="none"/>
                      <w:lang w:val="en-US" w:eastAsia="zh-CN"/>
                      <w14:textFill>
                        <w14:solidFill>
                          <w14:schemeClr w14:val="tx1"/>
                        </w14:solidFill>
                      </w14:textFill>
                    </w:rPr>
                    <w:t>线</w:t>
                  </w:r>
                </w:p>
              </w:tc>
              <w:tc>
                <w:tcPr>
                  <w:tcW w:w="442" w:type="pct"/>
                  <w:shd w:val="clear" w:color="auto" w:fill="auto"/>
                  <w:noWrap w:val="0"/>
                  <w:vAlign w:val="center"/>
                </w:tcPr>
                <w:p w14:paraId="0BA335F7">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喷漆</w:t>
                  </w:r>
                </w:p>
              </w:tc>
              <w:tc>
                <w:tcPr>
                  <w:tcW w:w="671" w:type="pct"/>
                  <w:shd w:val="clear" w:color="auto" w:fill="auto"/>
                  <w:noWrap w:val="0"/>
                  <w:vAlign w:val="center"/>
                </w:tcPr>
                <w:p w14:paraId="5A04CCE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颗粒物、非甲烷总烃、苯系物、臭气浓度</w:t>
                  </w:r>
                </w:p>
              </w:tc>
              <w:tc>
                <w:tcPr>
                  <w:tcW w:w="357" w:type="pct"/>
                  <w:shd w:val="clear" w:color="auto" w:fill="auto"/>
                  <w:noWrap w:val="0"/>
                  <w:vAlign w:val="center"/>
                </w:tcPr>
                <w:p w14:paraId="1E7E131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有组织</w:t>
                  </w:r>
                </w:p>
              </w:tc>
              <w:tc>
                <w:tcPr>
                  <w:tcW w:w="455" w:type="pct"/>
                  <w:shd w:val="clear" w:color="auto" w:fill="auto"/>
                  <w:noWrap w:val="0"/>
                  <w:vAlign w:val="center"/>
                </w:tcPr>
                <w:p w14:paraId="5C74201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TA00</w:t>
                  </w:r>
                  <w:r>
                    <w:rPr>
                      <w:rFonts w:hint="eastAsia" w:cs="Times New Roman"/>
                      <w:color w:val="000000" w:themeColor="text1"/>
                      <w:sz w:val="21"/>
                      <w:szCs w:val="21"/>
                      <w:highlight w:val="none"/>
                      <w:lang w:val="en-US" w:eastAsia="zh-CN"/>
                      <w14:textFill>
                        <w14:solidFill>
                          <w14:schemeClr w14:val="tx1"/>
                        </w14:solidFill>
                      </w14:textFill>
                    </w:rPr>
                    <w:t>2</w:t>
                  </w:r>
                </w:p>
              </w:tc>
              <w:tc>
                <w:tcPr>
                  <w:tcW w:w="873" w:type="pct"/>
                  <w:shd w:val="clear" w:color="auto" w:fill="auto"/>
                  <w:noWrap w:val="0"/>
                  <w:vAlign w:val="center"/>
                </w:tcPr>
                <w:p w14:paraId="0D1121BF">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s="Times New Roman"/>
                      <w:color w:val="000000" w:themeColor="text1"/>
                      <w:sz w:val="21"/>
                      <w:szCs w:val="21"/>
                      <w:highlight w:val="none"/>
                      <w:lang w:eastAsia="zh-CN"/>
                      <w14:textFill>
                        <w14:solidFill>
                          <w14:schemeClr w14:val="tx1"/>
                        </w14:solidFill>
                      </w14:textFill>
                    </w:rPr>
                    <w:t>活性炭吸脱附+催化燃烧+活性炭吸附</w:t>
                  </w:r>
                </w:p>
              </w:tc>
              <w:tc>
                <w:tcPr>
                  <w:tcW w:w="436" w:type="pct"/>
                  <w:shd w:val="clear" w:color="auto" w:fill="auto"/>
                  <w:noWrap w:val="0"/>
                  <w:vAlign w:val="center"/>
                </w:tcPr>
                <w:p w14:paraId="3467F5C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s="Times New Roman"/>
                      <w:color w:val="000000" w:themeColor="text1"/>
                      <w:sz w:val="21"/>
                      <w:szCs w:val="21"/>
                      <w:highlight w:val="none"/>
                      <w:lang w:eastAsia="zh-CN"/>
                      <w14:textFill>
                        <w14:solidFill>
                          <w14:schemeClr w14:val="tx1"/>
                        </w14:solidFill>
                      </w14:textFill>
                    </w:rPr>
                    <w:t>活性炭吸脱附+催化燃烧+活性炭吸附</w:t>
                  </w:r>
                </w:p>
              </w:tc>
              <w:tc>
                <w:tcPr>
                  <w:tcW w:w="385" w:type="pct"/>
                  <w:shd w:val="clear" w:color="auto" w:fill="auto"/>
                  <w:noWrap w:val="0"/>
                  <w:vAlign w:val="center"/>
                </w:tcPr>
                <w:p w14:paraId="329A2F6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是</w:t>
                  </w:r>
                </w:p>
              </w:tc>
              <w:tc>
                <w:tcPr>
                  <w:tcW w:w="330" w:type="pct"/>
                  <w:shd w:val="clear" w:color="auto" w:fill="auto"/>
                  <w:noWrap w:val="0"/>
                  <w:vAlign w:val="center"/>
                </w:tcPr>
                <w:p w14:paraId="34B39CA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DA001</w:t>
                  </w:r>
                </w:p>
              </w:tc>
            </w:tr>
            <w:tr w14:paraId="626A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shd w:val="clear" w:color="auto" w:fill="auto"/>
                  <w:noWrap w:val="0"/>
                  <w:vAlign w:val="center"/>
                </w:tcPr>
                <w:p w14:paraId="4B6D7B9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p>
              </w:tc>
              <w:tc>
                <w:tcPr>
                  <w:tcW w:w="876" w:type="pct"/>
                  <w:shd w:val="clear" w:color="auto" w:fill="auto"/>
                  <w:noWrap w:val="0"/>
                  <w:vAlign w:val="center"/>
                </w:tcPr>
                <w:p w14:paraId="7526F3C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固化炉</w:t>
                  </w:r>
                </w:p>
              </w:tc>
              <w:tc>
                <w:tcPr>
                  <w:tcW w:w="442" w:type="pct"/>
                  <w:shd w:val="clear" w:color="auto" w:fill="auto"/>
                  <w:noWrap w:val="0"/>
                  <w:vAlign w:val="center"/>
                </w:tcPr>
                <w:p w14:paraId="3057306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固化</w:t>
                  </w:r>
                </w:p>
              </w:tc>
              <w:tc>
                <w:tcPr>
                  <w:tcW w:w="671" w:type="pct"/>
                  <w:shd w:val="clear" w:color="auto" w:fill="auto"/>
                  <w:noWrap w:val="0"/>
                  <w:vAlign w:val="center"/>
                </w:tcPr>
                <w:p w14:paraId="21365C9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非甲烷总烃、臭气浓度、</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SO</w:t>
                  </w:r>
                  <w:r>
                    <w:rPr>
                      <w:rFonts w:hint="default" w:ascii="Times New Roman" w:hAnsi="Times New Roman" w:eastAsia="宋体" w:cs="Times New Roman"/>
                      <w:b w:val="0"/>
                      <w:bCs w:val="0"/>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NO</w:t>
                  </w:r>
                  <w:r>
                    <w:rPr>
                      <w:rFonts w:hint="default" w:ascii="Times New Roman" w:hAnsi="Times New Roman" w:eastAsia="宋体" w:cs="Times New Roman"/>
                      <w:b w:val="0"/>
                      <w:bCs w:val="0"/>
                      <w:color w:val="000000" w:themeColor="text1"/>
                      <w:sz w:val="21"/>
                      <w:szCs w:val="21"/>
                      <w:highlight w:val="none"/>
                      <w:vertAlign w:val="subscript"/>
                      <w14:textFill>
                        <w14:solidFill>
                          <w14:schemeClr w14:val="tx1"/>
                        </w14:solidFill>
                      </w14:textFill>
                    </w:rPr>
                    <w:t>X</w:t>
                  </w:r>
                </w:p>
              </w:tc>
              <w:tc>
                <w:tcPr>
                  <w:tcW w:w="357" w:type="pct"/>
                  <w:shd w:val="clear" w:color="auto" w:fill="auto"/>
                  <w:noWrap w:val="0"/>
                  <w:vAlign w:val="center"/>
                </w:tcPr>
                <w:p w14:paraId="135B0EBD">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有组织</w:t>
                  </w:r>
                </w:p>
              </w:tc>
              <w:tc>
                <w:tcPr>
                  <w:tcW w:w="455" w:type="pct"/>
                  <w:shd w:val="clear" w:color="auto" w:fill="auto"/>
                  <w:noWrap w:val="0"/>
                  <w:vAlign w:val="center"/>
                </w:tcPr>
                <w:p w14:paraId="455EAC2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TA00</w:t>
                  </w:r>
                  <w:r>
                    <w:rPr>
                      <w:rFonts w:hint="eastAsia" w:cs="Times New Roman"/>
                      <w:color w:val="000000" w:themeColor="text1"/>
                      <w:sz w:val="21"/>
                      <w:szCs w:val="21"/>
                      <w:highlight w:val="none"/>
                      <w:lang w:val="en-US" w:eastAsia="zh-CN"/>
                      <w14:textFill>
                        <w14:solidFill>
                          <w14:schemeClr w14:val="tx1"/>
                        </w14:solidFill>
                      </w14:textFill>
                    </w:rPr>
                    <w:t>3</w:t>
                  </w:r>
                </w:p>
              </w:tc>
              <w:tc>
                <w:tcPr>
                  <w:tcW w:w="873" w:type="pct"/>
                  <w:shd w:val="clear" w:color="auto" w:fill="auto"/>
                  <w:noWrap w:val="0"/>
                  <w:vAlign w:val="center"/>
                </w:tcPr>
                <w:p w14:paraId="5A3E4CE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s="Times New Roman"/>
                      <w:color w:val="000000" w:themeColor="text1"/>
                      <w:kern w:val="0"/>
                      <w:sz w:val="21"/>
                      <w:szCs w:val="21"/>
                      <w:lang w:val="en-US" w:eastAsia="zh-CN" w:bidi="ar"/>
                      <w14:textFill>
                        <w14:solidFill>
                          <w14:schemeClr w14:val="tx1"/>
                        </w14:solidFill>
                      </w14:textFill>
                    </w:rPr>
                    <w:t>二级活性炭吸附</w:t>
                  </w:r>
                </w:p>
              </w:tc>
              <w:tc>
                <w:tcPr>
                  <w:tcW w:w="436" w:type="pct"/>
                  <w:shd w:val="clear" w:color="auto" w:fill="auto"/>
                  <w:noWrap w:val="0"/>
                  <w:vAlign w:val="center"/>
                </w:tcPr>
                <w:p w14:paraId="2C7C1E3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s="Times New Roman"/>
                      <w:color w:val="000000" w:themeColor="text1"/>
                      <w:kern w:val="0"/>
                      <w:sz w:val="21"/>
                      <w:szCs w:val="21"/>
                      <w:lang w:val="en-US" w:eastAsia="zh-CN" w:bidi="ar"/>
                      <w14:textFill>
                        <w14:solidFill>
                          <w14:schemeClr w14:val="tx1"/>
                        </w14:solidFill>
                      </w14:textFill>
                    </w:rPr>
                    <w:t>二级活性炭吸附</w:t>
                  </w:r>
                </w:p>
              </w:tc>
              <w:tc>
                <w:tcPr>
                  <w:tcW w:w="385" w:type="pct"/>
                  <w:shd w:val="clear" w:color="auto" w:fill="auto"/>
                  <w:noWrap w:val="0"/>
                  <w:vAlign w:val="center"/>
                </w:tcPr>
                <w:p w14:paraId="0D6A799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是</w:t>
                  </w:r>
                </w:p>
              </w:tc>
              <w:tc>
                <w:tcPr>
                  <w:tcW w:w="330" w:type="pct"/>
                  <w:shd w:val="clear" w:color="auto" w:fill="auto"/>
                  <w:noWrap w:val="0"/>
                  <w:vAlign w:val="center"/>
                </w:tcPr>
                <w:p w14:paraId="2F35750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DA002</w:t>
                  </w:r>
                </w:p>
              </w:tc>
            </w:tr>
            <w:tr w14:paraId="33F0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shd w:val="clear" w:color="auto" w:fill="auto"/>
                  <w:noWrap w:val="0"/>
                  <w:vAlign w:val="center"/>
                </w:tcPr>
                <w:p w14:paraId="4158F5F9">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w:t>
                  </w:r>
                </w:p>
              </w:tc>
              <w:tc>
                <w:tcPr>
                  <w:tcW w:w="876" w:type="pct"/>
                  <w:shd w:val="clear" w:color="auto" w:fill="auto"/>
                  <w:noWrap w:val="0"/>
                  <w:vAlign w:val="center"/>
                </w:tcPr>
                <w:p w14:paraId="10793FAD">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食堂</w:t>
                  </w:r>
                </w:p>
              </w:tc>
              <w:tc>
                <w:tcPr>
                  <w:tcW w:w="442" w:type="pct"/>
                  <w:shd w:val="clear" w:color="auto" w:fill="auto"/>
                  <w:noWrap w:val="0"/>
                  <w:vAlign w:val="center"/>
                </w:tcPr>
                <w:p w14:paraId="1C87A603">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烹饪</w:t>
                  </w:r>
                </w:p>
              </w:tc>
              <w:tc>
                <w:tcPr>
                  <w:tcW w:w="671" w:type="pct"/>
                  <w:shd w:val="clear" w:color="auto" w:fill="auto"/>
                  <w:noWrap w:val="0"/>
                  <w:vAlign w:val="center"/>
                </w:tcPr>
                <w:p w14:paraId="02F262D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厨房油烟</w:t>
                  </w:r>
                </w:p>
              </w:tc>
              <w:tc>
                <w:tcPr>
                  <w:tcW w:w="357" w:type="pct"/>
                  <w:shd w:val="clear" w:color="auto" w:fill="auto"/>
                  <w:noWrap w:val="0"/>
                  <w:vAlign w:val="center"/>
                </w:tcPr>
                <w:p w14:paraId="75CBCAA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有组织</w:t>
                  </w:r>
                </w:p>
              </w:tc>
              <w:tc>
                <w:tcPr>
                  <w:tcW w:w="455" w:type="pct"/>
                  <w:shd w:val="clear" w:color="auto" w:fill="auto"/>
                  <w:noWrap w:val="0"/>
                  <w:vAlign w:val="center"/>
                </w:tcPr>
                <w:p w14:paraId="6E013D74">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TA00</w:t>
                  </w:r>
                  <w:r>
                    <w:rPr>
                      <w:rFonts w:hint="eastAsia" w:cs="Times New Roman"/>
                      <w:color w:val="000000" w:themeColor="text1"/>
                      <w:sz w:val="21"/>
                      <w:szCs w:val="21"/>
                      <w:highlight w:val="none"/>
                      <w:lang w:val="en-US" w:eastAsia="zh-CN"/>
                      <w14:textFill>
                        <w14:solidFill>
                          <w14:schemeClr w14:val="tx1"/>
                        </w14:solidFill>
                      </w14:textFill>
                    </w:rPr>
                    <w:t>4</w:t>
                  </w:r>
                </w:p>
              </w:tc>
              <w:tc>
                <w:tcPr>
                  <w:tcW w:w="1309" w:type="pct"/>
                  <w:gridSpan w:val="2"/>
                  <w:shd w:val="clear" w:color="auto" w:fill="auto"/>
                  <w:noWrap w:val="0"/>
                  <w:vAlign w:val="center"/>
                </w:tcPr>
                <w:p w14:paraId="6CC3B82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高效静电油烟净化器</w:t>
                  </w:r>
                </w:p>
              </w:tc>
              <w:tc>
                <w:tcPr>
                  <w:tcW w:w="385" w:type="pct"/>
                  <w:shd w:val="clear" w:color="auto" w:fill="auto"/>
                  <w:noWrap w:val="0"/>
                  <w:vAlign w:val="center"/>
                </w:tcPr>
                <w:p w14:paraId="4061D50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是</w:t>
                  </w:r>
                </w:p>
              </w:tc>
              <w:tc>
                <w:tcPr>
                  <w:tcW w:w="330" w:type="pct"/>
                  <w:shd w:val="clear" w:color="auto" w:fill="auto"/>
                  <w:noWrap w:val="0"/>
                  <w:vAlign w:val="center"/>
                </w:tcPr>
                <w:p w14:paraId="27B6306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DA003</w:t>
                  </w:r>
                </w:p>
              </w:tc>
            </w:tr>
            <w:tr w14:paraId="15D7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3" w:type="pct"/>
                  <w:shd w:val="clear" w:color="auto" w:fill="auto"/>
                  <w:noWrap w:val="0"/>
                  <w:vAlign w:val="center"/>
                </w:tcPr>
                <w:p w14:paraId="0B2A5B4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w:t>
                  </w:r>
                </w:p>
              </w:tc>
              <w:tc>
                <w:tcPr>
                  <w:tcW w:w="876" w:type="pct"/>
                  <w:shd w:val="clear" w:color="auto" w:fill="auto"/>
                  <w:noWrap w:val="0"/>
                  <w:vAlign w:val="center"/>
                </w:tcPr>
                <w:p w14:paraId="1C4B1C1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脱脂工序</w:t>
                  </w:r>
                </w:p>
              </w:tc>
              <w:tc>
                <w:tcPr>
                  <w:tcW w:w="442" w:type="pct"/>
                  <w:shd w:val="clear" w:color="auto" w:fill="auto"/>
                  <w:noWrap w:val="0"/>
                  <w:vAlign w:val="center"/>
                </w:tcPr>
                <w:p w14:paraId="0723E6E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脱脂</w:t>
                  </w:r>
                </w:p>
              </w:tc>
              <w:tc>
                <w:tcPr>
                  <w:tcW w:w="671" w:type="pct"/>
                  <w:shd w:val="clear" w:color="auto" w:fill="auto"/>
                  <w:noWrap w:val="0"/>
                  <w:vAlign w:val="center"/>
                </w:tcPr>
                <w:p w14:paraId="4A263C3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氟化物</w:t>
                  </w:r>
                </w:p>
              </w:tc>
              <w:tc>
                <w:tcPr>
                  <w:tcW w:w="357" w:type="pct"/>
                  <w:shd w:val="clear" w:color="auto" w:fill="auto"/>
                  <w:noWrap w:val="0"/>
                  <w:vAlign w:val="center"/>
                </w:tcPr>
                <w:p w14:paraId="3764C88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无组织</w:t>
                  </w:r>
                </w:p>
              </w:tc>
              <w:tc>
                <w:tcPr>
                  <w:tcW w:w="455" w:type="pct"/>
                  <w:shd w:val="clear" w:color="auto" w:fill="auto"/>
                  <w:noWrap w:val="0"/>
                  <w:vAlign w:val="center"/>
                </w:tcPr>
                <w:p w14:paraId="4C5B46B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9" w:type="pct"/>
                  <w:gridSpan w:val="2"/>
                  <w:shd w:val="clear" w:color="auto" w:fill="auto"/>
                  <w:noWrap w:val="0"/>
                  <w:vAlign w:val="center"/>
                </w:tcPr>
                <w:p w14:paraId="4A7F2A8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385" w:type="pct"/>
                  <w:shd w:val="clear" w:color="auto" w:fill="auto"/>
                  <w:noWrap w:val="0"/>
                  <w:vAlign w:val="center"/>
                </w:tcPr>
                <w:p w14:paraId="1351CF8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330" w:type="pct"/>
                  <w:shd w:val="clear" w:color="auto" w:fill="auto"/>
                  <w:noWrap w:val="0"/>
                  <w:vAlign w:val="center"/>
                </w:tcPr>
                <w:p w14:paraId="1414788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bl>
          <w:p w14:paraId="1C9D543B">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pPr>
          </w:p>
          <w:p w14:paraId="2A6384C2">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表4-2</w:t>
            </w:r>
            <w:r>
              <w:rPr>
                <w:rFonts w:hint="eastAsia" w:ascii="Times New Roman" w:cs="Times New Roman"/>
                <w:b/>
                <w:color w:val="000000" w:themeColor="text1"/>
                <w:kern w:val="2"/>
                <w:sz w:val="21"/>
                <w:szCs w:val="21"/>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废气产排</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情况</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012"/>
              <w:gridCol w:w="873"/>
              <w:gridCol w:w="1074"/>
              <w:gridCol w:w="1102"/>
              <w:gridCol w:w="904"/>
              <w:gridCol w:w="1109"/>
              <w:gridCol w:w="735"/>
              <w:gridCol w:w="670"/>
              <w:gridCol w:w="873"/>
              <w:gridCol w:w="1109"/>
              <w:gridCol w:w="1225"/>
              <w:gridCol w:w="878"/>
            </w:tblGrid>
            <w:tr w14:paraId="7178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3D14C121">
                  <w:pPr>
                    <w:pStyle w:val="109"/>
                    <w:bidi w:val="0"/>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污染源</w:t>
                  </w:r>
                </w:p>
              </w:tc>
              <w:tc>
                <w:tcPr>
                  <w:tcW w:w="394" w:type="pct"/>
                  <w:vMerge w:val="restart"/>
                  <w:tcBorders>
                    <w:tl2br w:val="nil"/>
                    <w:tr2bl w:val="nil"/>
                  </w:tcBorders>
                  <w:noWrap w:val="0"/>
                  <w:tcMar>
                    <w:top w:w="0" w:type="dxa"/>
                    <w:left w:w="0" w:type="dxa"/>
                    <w:bottom w:w="0" w:type="dxa"/>
                    <w:right w:w="0" w:type="dxa"/>
                  </w:tcMar>
                  <w:vAlign w:val="center"/>
                </w:tcPr>
                <w:p w14:paraId="0D9B910E">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污染物种类</w:t>
                  </w:r>
                </w:p>
              </w:tc>
              <w:tc>
                <w:tcPr>
                  <w:tcW w:w="1187" w:type="pct"/>
                  <w:gridSpan w:val="3"/>
                  <w:tcBorders>
                    <w:tl2br w:val="nil"/>
                    <w:tr2bl w:val="nil"/>
                  </w:tcBorders>
                  <w:noWrap w:val="0"/>
                  <w:tcMar>
                    <w:top w:w="0" w:type="dxa"/>
                    <w:left w:w="0" w:type="dxa"/>
                    <w:bottom w:w="0" w:type="dxa"/>
                    <w:right w:w="0" w:type="dxa"/>
                  </w:tcMar>
                  <w:vAlign w:val="center"/>
                </w:tcPr>
                <w:p w14:paraId="7F804AFA">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污染物产生情况</w:t>
                  </w:r>
                </w:p>
              </w:tc>
              <w:tc>
                <w:tcPr>
                  <w:tcW w:w="352" w:type="pct"/>
                  <w:vMerge w:val="restart"/>
                  <w:tcBorders>
                    <w:tl2br w:val="nil"/>
                    <w:tr2bl w:val="nil"/>
                  </w:tcBorders>
                  <w:noWrap w:val="0"/>
                  <w:tcMar>
                    <w:top w:w="0" w:type="dxa"/>
                    <w:left w:w="0" w:type="dxa"/>
                    <w:bottom w:w="0" w:type="dxa"/>
                    <w:right w:w="0" w:type="dxa"/>
                  </w:tcMar>
                  <w:vAlign w:val="center"/>
                </w:tcPr>
                <w:p w14:paraId="019C2B7C">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排放形式</w:t>
                  </w:r>
                </w:p>
              </w:tc>
              <w:tc>
                <w:tcPr>
                  <w:tcW w:w="979" w:type="pct"/>
                  <w:gridSpan w:val="3"/>
                  <w:tcBorders>
                    <w:tl2br w:val="nil"/>
                    <w:tr2bl w:val="nil"/>
                  </w:tcBorders>
                  <w:noWrap w:val="0"/>
                  <w:tcMar>
                    <w:top w:w="0" w:type="dxa"/>
                    <w:left w:w="0" w:type="dxa"/>
                    <w:bottom w:w="0" w:type="dxa"/>
                    <w:right w:w="0" w:type="dxa"/>
                  </w:tcMar>
                  <w:vAlign w:val="center"/>
                </w:tcPr>
                <w:p w14:paraId="4C8CDC07">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治理设施情况</w:t>
                  </w:r>
                </w:p>
              </w:tc>
              <w:tc>
                <w:tcPr>
                  <w:tcW w:w="1249" w:type="pct"/>
                  <w:gridSpan w:val="3"/>
                  <w:tcBorders>
                    <w:tl2br w:val="nil"/>
                    <w:tr2bl w:val="nil"/>
                  </w:tcBorders>
                  <w:noWrap w:val="0"/>
                  <w:tcMar>
                    <w:top w:w="0" w:type="dxa"/>
                    <w:left w:w="0" w:type="dxa"/>
                    <w:bottom w:w="0" w:type="dxa"/>
                    <w:right w:w="0" w:type="dxa"/>
                  </w:tcMar>
                  <w:vAlign w:val="center"/>
                </w:tcPr>
                <w:p w14:paraId="2BE1B6CC">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污染物排放情况</w:t>
                  </w:r>
                </w:p>
              </w:tc>
              <w:tc>
                <w:tcPr>
                  <w:tcW w:w="342" w:type="pct"/>
                  <w:vMerge w:val="restart"/>
                  <w:tcBorders>
                    <w:tl2br w:val="nil"/>
                    <w:tr2bl w:val="nil"/>
                  </w:tcBorders>
                  <w:noWrap w:val="0"/>
                  <w:tcMar>
                    <w:top w:w="0" w:type="dxa"/>
                    <w:left w:w="0" w:type="dxa"/>
                    <w:bottom w:w="0" w:type="dxa"/>
                    <w:right w:w="0" w:type="dxa"/>
                  </w:tcMar>
                  <w:vAlign w:val="center"/>
                </w:tcPr>
                <w:p w14:paraId="6968F95B">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排放时间（h）</w:t>
                  </w:r>
                </w:p>
              </w:tc>
            </w:tr>
            <w:tr w14:paraId="2C64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67243084">
                  <w:pPr>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394" w:type="pct"/>
                  <w:vMerge w:val="continue"/>
                  <w:tcBorders>
                    <w:tl2br w:val="nil"/>
                    <w:tr2bl w:val="nil"/>
                  </w:tcBorders>
                  <w:noWrap w:val="0"/>
                  <w:tcMar>
                    <w:top w:w="0" w:type="dxa"/>
                    <w:left w:w="0" w:type="dxa"/>
                    <w:bottom w:w="0" w:type="dxa"/>
                    <w:right w:w="0" w:type="dxa"/>
                  </w:tcMar>
                  <w:vAlign w:val="center"/>
                </w:tcPr>
                <w:p w14:paraId="0CE8BC7A">
                  <w:pPr>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340" w:type="pct"/>
                  <w:tcBorders>
                    <w:tl2br w:val="nil"/>
                    <w:tr2bl w:val="nil"/>
                  </w:tcBorders>
                  <w:noWrap w:val="0"/>
                  <w:tcMar>
                    <w:top w:w="0" w:type="dxa"/>
                    <w:left w:w="0" w:type="dxa"/>
                    <w:bottom w:w="0" w:type="dxa"/>
                    <w:right w:w="0" w:type="dxa"/>
                  </w:tcMar>
                  <w:vAlign w:val="center"/>
                </w:tcPr>
                <w:p w14:paraId="3D972156">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产生量（t/a）</w:t>
                  </w:r>
                </w:p>
              </w:tc>
              <w:tc>
                <w:tcPr>
                  <w:tcW w:w="418" w:type="pct"/>
                  <w:tcBorders>
                    <w:tl2br w:val="nil"/>
                    <w:tr2bl w:val="nil"/>
                  </w:tcBorders>
                  <w:noWrap w:val="0"/>
                  <w:tcMar>
                    <w:top w:w="0" w:type="dxa"/>
                    <w:left w:w="0" w:type="dxa"/>
                    <w:bottom w:w="0" w:type="dxa"/>
                    <w:right w:w="0" w:type="dxa"/>
                  </w:tcMar>
                  <w:vAlign w:val="center"/>
                </w:tcPr>
                <w:p w14:paraId="6C52B9C5">
                  <w:pPr>
                    <w:jc w:val="cente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产生速率</w:t>
                  </w:r>
                  <w:r>
                    <w:rPr>
                      <w:rFonts w:hint="default" w:ascii="Times New Roman" w:hAnsi="Times New Roman" w:cs="Times New Roman"/>
                      <w:b/>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color w:val="000000" w:themeColor="text1"/>
                      <w:sz w:val="21"/>
                      <w:szCs w:val="21"/>
                      <w:highlight w:val="none"/>
                      <w14:textFill>
                        <w14:solidFill>
                          <w14:schemeClr w14:val="tx1"/>
                        </w14:solidFill>
                      </w14:textFill>
                    </w:rPr>
                    <w:t>kg/h</w:t>
                  </w:r>
                  <w:r>
                    <w:rPr>
                      <w:rFonts w:hint="default" w:ascii="Times New Roman" w:hAnsi="Times New Roman" w:cs="Times New Roman"/>
                      <w:b/>
                      <w:color w:val="000000" w:themeColor="text1"/>
                      <w:sz w:val="21"/>
                      <w:szCs w:val="21"/>
                      <w:highlight w:val="none"/>
                      <w:lang w:eastAsia="zh-CN"/>
                      <w14:textFill>
                        <w14:solidFill>
                          <w14:schemeClr w14:val="tx1"/>
                        </w14:solidFill>
                      </w14:textFill>
                    </w:rPr>
                    <w:t>）</w:t>
                  </w:r>
                </w:p>
              </w:tc>
              <w:tc>
                <w:tcPr>
                  <w:tcW w:w="429" w:type="pct"/>
                  <w:tcBorders>
                    <w:tl2br w:val="nil"/>
                    <w:tr2bl w:val="nil"/>
                  </w:tcBorders>
                  <w:noWrap w:val="0"/>
                  <w:tcMar>
                    <w:top w:w="0" w:type="dxa"/>
                    <w:left w:w="0" w:type="dxa"/>
                    <w:bottom w:w="0" w:type="dxa"/>
                    <w:right w:w="0" w:type="dxa"/>
                  </w:tcMar>
                  <w:vAlign w:val="center"/>
                </w:tcPr>
                <w:p w14:paraId="6E012946">
                  <w:pPr>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产生浓度</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
                      <w:bCs/>
                      <w:color w:val="000000" w:themeColor="text1"/>
                      <w:sz w:val="21"/>
                      <w:szCs w:val="21"/>
                      <w:highlight w:val="none"/>
                      <w14:textFill>
                        <w14:solidFill>
                          <w14:schemeClr w14:val="tx1"/>
                        </w14:solidFill>
                      </w14:textFill>
                    </w:rPr>
                    <w:t>mg/m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w:t>
                  </w:r>
                </w:p>
              </w:tc>
              <w:tc>
                <w:tcPr>
                  <w:tcW w:w="352" w:type="pct"/>
                  <w:vMerge w:val="continue"/>
                  <w:tcBorders>
                    <w:tl2br w:val="nil"/>
                    <w:tr2bl w:val="nil"/>
                  </w:tcBorders>
                  <w:noWrap w:val="0"/>
                  <w:tcMar>
                    <w:top w:w="0" w:type="dxa"/>
                    <w:left w:w="0" w:type="dxa"/>
                    <w:bottom w:w="0" w:type="dxa"/>
                    <w:right w:w="0" w:type="dxa"/>
                  </w:tcMar>
                  <w:vAlign w:val="center"/>
                </w:tcPr>
                <w:p w14:paraId="756A6C5F">
                  <w:pPr>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432" w:type="pct"/>
                  <w:tcBorders>
                    <w:tl2br w:val="nil"/>
                    <w:tr2bl w:val="nil"/>
                  </w:tcBorders>
                  <w:noWrap w:val="0"/>
                  <w:tcMar>
                    <w:top w:w="0" w:type="dxa"/>
                    <w:left w:w="0" w:type="dxa"/>
                    <w:bottom w:w="0" w:type="dxa"/>
                    <w:right w:w="0" w:type="dxa"/>
                  </w:tcMar>
                  <w:vAlign w:val="center"/>
                </w:tcPr>
                <w:p w14:paraId="20146916">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处理能力（m</w:t>
                  </w:r>
                  <w:r>
                    <w:rPr>
                      <w:rFonts w:hint="default" w:ascii="Times New Roman" w:hAnsi="Times New Roman" w:cs="Times New Roman"/>
                      <w:b/>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color w:val="000000" w:themeColor="text1"/>
                      <w:sz w:val="21"/>
                      <w:szCs w:val="21"/>
                      <w:highlight w:val="none"/>
                      <w14:textFill>
                        <w14:solidFill>
                          <w14:schemeClr w14:val="tx1"/>
                        </w14:solidFill>
                      </w14:textFill>
                    </w:rPr>
                    <w:t>/h）</w:t>
                  </w:r>
                </w:p>
              </w:tc>
              <w:tc>
                <w:tcPr>
                  <w:tcW w:w="286" w:type="pct"/>
                  <w:tcBorders>
                    <w:tl2br w:val="nil"/>
                    <w:tr2bl w:val="nil"/>
                  </w:tcBorders>
                  <w:noWrap w:val="0"/>
                  <w:tcMar>
                    <w:top w:w="0" w:type="dxa"/>
                    <w:left w:w="0" w:type="dxa"/>
                    <w:bottom w:w="0" w:type="dxa"/>
                    <w:right w:w="0" w:type="dxa"/>
                  </w:tcMar>
                  <w:vAlign w:val="center"/>
                </w:tcPr>
                <w:p w14:paraId="0133C370">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收集效率</w:t>
                  </w:r>
                </w:p>
              </w:tc>
              <w:tc>
                <w:tcPr>
                  <w:tcW w:w="261" w:type="pct"/>
                  <w:tcBorders>
                    <w:tl2br w:val="nil"/>
                    <w:tr2bl w:val="nil"/>
                  </w:tcBorders>
                  <w:noWrap w:val="0"/>
                  <w:tcMar>
                    <w:top w:w="0" w:type="dxa"/>
                    <w:left w:w="0" w:type="dxa"/>
                    <w:bottom w:w="0" w:type="dxa"/>
                    <w:right w:w="0" w:type="dxa"/>
                  </w:tcMar>
                  <w:vAlign w:val="center"/>
                </w:tcPr>
                <w:p w14:paraId="6197F78E">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去除率</w:t>
                  </w:r>
                </w:p>
              </w:tc>
              <w:tc>
                <w:tcPr>
                  <w:tcW w:w="340" w:type="pct"/>
                  <w:tcBorders>
                    <w:tl2br w:val="nil"/>
                    <w:tr2bl w:val="nil"/>
                  </w:tcBorders>
                  <w:noWrap w:val="0"/>
                  <w:tcMar>
                    <w:top w:w="0" w:type="dxa"/>
                    <w:left w:w="0" w:type="dxa"/>
                    <w:bottom w:w="0" w:type="dxa"/>
                    <w:right w:w="0" w:type="dxa"/>
                  </w:tcMar>
                  <w:vAlign w:val="center"/>
                </w:tcPr>
                <w:p w14:paraId="0A5C5465">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排放量（t/a）</w:t>
                  </w:r>
                </w:p>
              </w:tc>
              <w:tc>
                <w:tcPr>
                  <w:tcW w:w="432" w:type="pct"/>
                  <w:tcBorders>
                    <w:tl2br w:val="nil"/>
                    <w:tr2bl w:val="nil"/>
                  </w:tcBorders>
                  <w:noWrap w:val="0"/>
                  <w:tcMar>
                    <w:top w:w="0" w:type="dxa"/>
                    <w:left w:w="0" w:type="dxa"/>
                    <w:bottom w:w="0" w:type="dxa"/>
                    <w:right w:w="0" w:type="dxa"/>
                  </w:tcMar>
                  <w:vAlign w:val="center"/>
                </w:tcPr>
                <w:p w14:paraId="0E6ABA62">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排放速率（kg/h）</w:t>
                  </w:r>
                </w:p>
              </w:tc>
              <w:tc>
                <w:tcPr>
                  <w:tcW w:w="477" w:type="pct"/>
                  <w:tcBorders>
                    <w:tl2br w:val="nil"/>
                    <w:tr2bl w:val="nil"/>
                  </w:tcBorders>
                  <w:noWrap w:val="0"/>
                  <w:tcMar>
                    <w:top w:w="0" w:type="dxa"/>
                    <w:left w:w="0" w:type="dxa"/>
                    <w:bottom w:w="0" w:type="dxa"/>
                    <w:right w:w="0" w:type="dxa"/>
                  </w:tcMar>
                  <w:vAlign w:val="center"/>
                </w:tcPr>
                <w:p w14:paraId="3021BA4C">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排放浓度</w:t>
                  </w:r>
                </w:p>
                <w:p w14:paraId="1B7B842A">
                  <w:pPr>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bCs/>
                      <w:color w:val="000000" w:themeColor="text1"/>
                      <w:sz w:val="21"/>
                      <w:szCs w:val="21"/>
                      <w:highlight w:val="none"/>
                      <w14:textFill>
                        <w14:solidFill>
                          <w14:schemeClr w14:val="tx1"/>
                        </w14:solidFill>
                      </w14:textFill>
                    </w:rPr>
                    <w:t>mg/m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color w:val="000000" w:themeColor="text1"/>
                      <w:sz w:val="21"/>
                      <w:szCs w:val="21"/>
                      <w:highlight w:val="none"/>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74BBB9E4">
                  <w:pPr>
                    <w:jc w:val="center"/>
                    <w:rPr>
                      <w:rFonts w:hint="default" w:ascii="Times New Roman" w:hAnsi="Times New Roman" w:cs="Times New Roman"/>
                      <w:b/>
                      <w:color w:val="000000" w:themeColor="text1"/>
                      <w:sz w:val="21"/>
                      <w:szCs w:val="21"/>
                      <w:highlight w:val="none"/>
                      <w14:textFill>
                        <w14:solidFill>
                          <w14:schemeClr w14:val="tx1"/>
                        </w14:solidFill>
                      </w14:textFill>
                    </w:rPr>
                  </w:pPr>
                </w:p>
              </w:tc>
            </w:tr>
            <w:tr w14:paraId="74B7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4C2C9876">
                  <w:pPr>
                    <w:pStyle w:val="109"/>
                    <w:bidi w:val="0"/>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切割粉尘</w:t>
                  </w:r>
                </w:p>
              </w:tc>
              <w:tc>
                <w:tcPr>
                  <w:tcW w:w="394" w:type="pct"/>
                  <w:tcBorders>
                    <w:tl2br w:val="nil"/>
                    <w:tr2bl w:val="nil"/>
                  </w:tcBorders>
                  <w:noWrap w:val="0"/>
                  <w:tcMar>
                    <w:top w:w="0" w:type="dxa"/>
                    <w:left w:w="0" w:type="dxa"/>
                    <w:bottom w:w="0" w:type="dxa"/>
                    <w:right w:w="0" w:type="dxa"/>
                  </w:tcMar>
                  <w:vAlign w:val="center"/>
                </w:tcPr>
                <w:p w14:paraId="739E924E">
                  <w:pPr>
                    <w:keepNext w:val="0"/>
                    <w:keepLines w:val="0"/>
                    <w:widowControl/>
                    <w:suppressLineNumbers w:val="0"/>
                    <w:jc w:val="center"/>
                    <w:textAlignment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340" w:type="pct"/>
                  <w:tcBorders>
                    <w:tl2br w:val="nil"/>
                    <w:tr2bl w:val="nil"/>
                  </w:tcBorders>
                  <w:noWrap w:val="0"/>
                  <w:tcMar>
                    <w:top w:w="0" w:type="dxa"/>
                    <w:left w:w="0" w:type="dxa"/>
                    <w:bottom w:w="0" w:type="dxa"/>
                    <w:right w:w="0" w:type="dxa"/>
                  </w:tcMar>
                  <w:vAlign w:val="center"/>
                </w:tcPr>
                <w:p w14:paraId="108EA9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0.358 </w:t>
                  </w:r>
                </w:p>
              </w:tc>
              <w:tc>
                <w:tcPr>
                  <w:tcW w:w="418" w:type="pct"/>
                  <w:tcBorders>
                    <w:tl2br w:val="nil"/>
                    <w:tr2bl w:val="nil"/>
                  </w:tcBorders>
                  <w:noWrap w:val="0"/>
                  <w:tcMar>
                    <w:top w:w="0" w:type="dxa"/>
                    <w:left w:w="0" w:type="dxa"/>
                    <w:bottom w:w="0" w:type="dxa"/>
                    <w:right w:w="0" w:type="dxa"/>
                  </w:tcMar>
                  <w:vAlign w:val="center"/>
                </w:tcPr>
                <w:p w14:paraId="730E22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0.186 </w:t>
                  </w:r>
                </w:p>
              </w:tc>
              <w:tc>
                <w:tcPr>
                  <w:tcW w:w="429" w:type="pct"/>
                  <w:tcBorders>
                    <w:tl2br w:val="nil"/>
                    <w:tr2bl w:val="nil"/>
                  </w:tcBorders>
                  <w:noWrap w:val="0"/>
                  <w:tcMar>
                    <w:top w:w="0" w:type="dxa"/>
                    <w:left w:w="0" w:type="dxa"/>
                    <w:bottom w:w="0" w:type="dxa"/>
                    <w:right w:w="0" w:type="dxa"/>
                  </w:tcMar>
                  <w:vAlign w:val="center"/>
                </w:tcPr>
                <w:p w14:paraId="13D1AB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352" w:type="pct"/>
                  <w:tcBorders>
                    <w:tl2br w:val="nil"/>
                    <w:tr2bl w:val="nil"/>
                  </w:tcBorders>
                  <w:noWrap w:val="0"/>
                  <w:tcMar>
                    <w:top w:w="0" w:type="dxa"/>
                    <w:left w:w="0" w:type="dxa"/>
                    <w:bottom w:w="0" w:type="dxa"/>
                    <w:right w:w="0" w:type="dxa"/>
                  </w:tcMar>
                  <w:vAlign w:val="center"/>
                </w:tcPr>
                <w:p w14:paraId="1976D1D1">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无组织</w:t>
                  </w:r>
                </w:p>
              </w:tc>
              <w:tc>
                <w:tcPr>
                  <w:tcW w:w="432" w:type="pct"/>
                  <w:tcBorders>
                    <w:tl2br w:val="nil"/>
                    <w:tr2bl w:val="nil"/>
                  </w:tcBorders>
                  <w:noWrap w:val="0"/>
                  <w:tcMar>
                    <w:top w:w="0" w:type="dxa"/>
                    <w:left w:w="0" w:type="dxa"/>
                    <w:bottom w:w="0" w:type="dxa"/>
                    <w:right w:w="0" w:type="dxa"/>
                  </w:tcMar>
                  <w:vAlign w:val="center"/>
                </w:tcPr>
                <w:p w14:paraId="34DC7382">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704DC479">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352BAC29">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4DD9E2F1">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0.358 </w:t>
                  </w:r>
                </w:p>
              </w:tc>
              <w:tc>
                <w:tcPr>
                  <w:tcW w:w="432" w:type="pct"/>
                  <w:tcBorders>
                    <w:tl2br w:val="nil"/>
                    <w:tr2bl w:val="nil"/>
                  </w:tcBorders>
                  <w:noWrap w:val="0"/>
                  <w:tcMar>
                    <w:top w:w="0" w:type="dxa"/>
                    <w:left w:w="0" w:type="dxa"/>
                    <w:bottom w:w="0" w:type="dxa"/>
                    <w:right w:w="0" w:type="dxa"/>
                  </w:tcMar>
                  <w:vAlign w:val="center"/>
                </w:tcPr>
                <w:p w14:paraId="7F8C81D7">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0.186 </w:t>
                  </w:r>
                </w:p>
              </w:tc>
              <w:tc>
                <w:tcPr>
                  <w:tcW w:w="477" w:type="pct"/>
                  <w:tcBorders>
                    <w:tl2br w:val="nil"/>
                    <w:tr2bl w:val="nil"/>
                  </w:tcBorders>
                  <w:noWrap w:val="0"/>
                  <w:tcMar>
                    <w:top w:w="0" w:type="dxa"/>
                    <w:left w:w="0" w:type="dxa"/>
                    <w:bottom w:w="0" w:type="dxa"/>
                    <w:right w:w="0" w:type="dxa"/>
                  </w:tcMar>
                  <w:vAlign w:val="center"/>
                </w:tcPr>
                <w:p w14:paraId="60E4B525">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342" w:type="pct"/>
                  <w:vMerge w:val="restart"/>
                  <w:tcBorders>
                    <w:tl2br w:val="nil"/>
                    <w:tr2bl w:val="nil"/>
                  </w:tcBorders>
                  <w:noWrap w:val="0"/>
                  <w:tcMar>
                    <w:top w:w="0" w:type="dxa"/>
                    <w:left w:w="0" w:type="dxa"/>
                    <w:bottom w:w="0" w:type="dxa"/>
                    <w:right w:w="0" w:type="dxa"/>
                  </w:tcMar>
                  <w:vAlign w:val="center"/>
                </w:tcPr>
                <w:p w14:paraId="4F0E3A61">
                  <w:pPr>
                    <w:widowControl w:val="0"/>
                    <w:kinsoku/>
                    <w:autoSpaceDE/>
                    <w:autoSpaceDN/>
                    <w:adjustRightInd w:val="0"/>
                    <w:snapToGrid w:val="0"/>
                    <w:spacing w:line="240" w:lineRule="auto"/>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1928</w:t>
                  </w:r>
                </w:p>
              </w:tc>
            </w:tr>
            <w:tr w14:paraId="5448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5FC07981">
                  <w:pPr>
                    <w:pStyle w:val="109"/>
                    <w:bidi w:val="0"/>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焊接烟尘</w:t>
                  </w:r>
                </w:p>
              </w:tc>
              <w:tc>
                <w:tcPr>
                  <w:tcW w:w="394" w:type="pct"/>
                  <w:tcBorders>
                    <w:tl2br w:val="nil"/>
                    <w:tr2bl w:val="nil"/>
                  </w:tcBorders>
                  <w:noWrap w:val="0"/>
                  <w:tcMar>
                    <w:top w:w="0" w:type="dxa"/>
                    <w:left w:w="0" w:type="dxa"/>
                    <w:bottom w:w="0" w:type="dxa"/>
                    <w:right w:w="0" w:type="dxa"/>
                  </w:tcMar>
                  <w:vAlign w:val="center"/>
                </w:tcPr>
                <w:p w14:paraId="24085B4D">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340" w:type="pct"/>
                  <w:tcBorders>
                    <w:tl2br w:val="nil"/>
                    <w:tr2bl w:val="nil"/>
                  </w:tcBorders>
                  <w:noWrap w:val="0"/>
                  <w:tcMar>
                    <w:top w:w="0" w:type="dxa"/>
                    <w:left w:w="0" w:type="dxa"/>
                    <w:bottom w:w="0" w:type="dxa"/>
                    <w:right w:w="0" w:type="dxa"/>
                  </w:tcMar>
                  <w:vAlign w:val="center"/>
                </w:tcPr>
                <w:p w14:paraId="6F8277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0.125 </w:t>
                  </w:r>
                </w:p>
              </w:tc>
              <w:tc>
                <w:tcPr>
                  <w:tcW w:w="418" w:type="pct"/>
                  <w:tcBorders>
                    <w:tl2br w:val="nil"/>
                    <w:tr2bl w:val="nil"/>
                  </w:tcBorders>
                  <w:noWrap w:val="0"/>
                  <w:tcMar>
                    <w:top w:w="0" w:type="dxa"/>
                    <w:left w:w="0" w:type="dxa"/>
                    <w:bottom w:w="0" w:type="dxa"/>
                    <w:right w:w="0" w:type="dxa"/>
                  </w:tcMar>
                  <w:vAlign w:val="center"/>
                </w:tcPr>
                <w:p w14:paraId="175A364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0.065 </w:t>
                  </w:r>
                </w:p>
              </w:tc>
              <w:tc>
                <w:tcPr>
                  <w:tcW w:w="429" w:type="pct"/>
                  <w:tcBorders>
                    <w:tl2br w:val="nil"/>
                    <w:tr2bl w:val="nil"/>
                  </w:tcBorders>
                  <w:noWrap w:val="0"/>
                  <w:tcMar>
                    <w:top w:w="0" w:type="dxa"/>
                    <w:left w:w="0" w:type="dxa"/>
                    <w:bottom w:w="0" w:type="dxa"/>
                    <w:right w:w="0" w:type="dxa"/>
                  </w:tcMar>
                  <w:vAlign w:val="center"/>
                </w:tcPr>
                <w:p w14:paraId="09035B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352" w:type="pct"/>
                  <w:tcBorders>
                    <w:tl2br w:val="nil"/>
                    <w:tr2bl w:val="nil"/>
                  </w:tcBorders>
                  <w:noWrap w:val="0"/>
                  <w:tcMar>
                    <w:top w:w="0" w:type="dxa"/>
                    <w:left w:w="0" w:type="dxa"/>
                    <w:bottom w:w="0" w:type="dxa"/>
                    <w:right w:w="0" w:type="dxa"/>
                  </w:tcMar>
                  <w:vAlign w:val="center"/>
                </w:tcPr>
                <w:p w14:paraId="7388B23D">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组织</w:t>
                  </w:r>
                </w:p>
              </w:tc>
              <w:tc>
                <w:tcPr>
                  <w:tcW w:w="432" w:type="pct"/>
                  <w:tcBorders>
                    <w:tl2br w:val="nil"/>
                    <w:tr2bl w:val="nil"/>
                  </w:tcBorders>
                  <w:noWrap w:val="0"/>
                  <w:tcMar>
                    <w:top w:w="0" w:type="dxa"/>
                    <w:left w:w="0" w:type="dxa"/>
                    <w:bottom w:w="0" w:type="dxa"/>
                    <w:right w:w="0" w:type="dxa"/>
                  </w:tcMar>
                  <w:vAlign w:val="center"/>
                </w:tcPr>
                <w:p w14:paraId="327A1F34">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06D63C07">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1C110A15">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0C05DCFB">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0.125 </w:t>
                  </w:r>
                </w:p>
              </w:tc>
              <w:tc>
                <w:tcPr>
                  <w:tcW w:w="432" w:type="pct"/>
                  <w:tcBorders>
                    <w:tl2br w:val="nil"/>
                    <w:tr2bl w:val="nil"/>
                  </w:tcBorders>
                  <w:noWrap w:val="0"/>
                  <w:tcMar>
                    <w:top w:w="0" w:type="dxa"/>
                    <w:left w:w="0" w:type="dxa"/>
                    <w:bottom w:w="0" w:type="dxa"/>
                    <w:right w:w="0" w:type="dxa"/>
                  </w:tcMar>
                  <w:vAlign w:val="center"/>
                </w:tcPr>
                <w:p w14:paraId="0D1D958A">
                  <w:pPr>
                    <w:keepNext w:val="0"/>
                    <w:keepLines w:val="0"/>
                    <w:widowControl/>
                    <w:suppressLineNumbers w:val="0"/>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0.065 </w:t>
                  </w:r>
                </w:p>
              </w:tc>
              <w:tc>
                <w:tcPr>
                  <w:tcW w:w="477" w:type="pct"/>
                  <w:tcBorders>
                    <w:tl2br w:val="nil"/>
                    <w:tr2bl w:val="nil"/>
                  </w:tcBorders>
                  <w:noWrap w:val="0"/>
                  <w:tcMar>
                    <w:top w:w="0" w:type="dxa"/>
                    <w:left w:w="0" w:type="dxa"/>
                    <w:bottom w:w="0" w:type="dxa"/>
                    <w:right w:w="0" w:type="dxa"/>
                  </w:tcMar>
                  <w:vAlign w:val="center"/>
                </w:tcPr>
                <w:p w14:paraId="63FCED75">
                  <w:pPr>
                    <w:keepNext w:val="0"/>
                    <w:keepLines w:val="0"/>
                    <w:widowControl/>
                    <w:suppressLineNumbers w:val="0"/>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392F0ACC">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p>
              </w:tc>
            </w:tr>
            <w:tr w14:paraId="6F6D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15E5C4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抛光打磨粉尘</w:t>
                  </w:r>
                </w:p>
              </w:tc>
              <w:tc>
                <w:tcPr>
                  <w:tcW w:w="394" w:type="pct"/>
                  <w:tcBorders>
                    <w:tl2br w:val="nil"/>
                    <w:tr2bl w:val="nil"/>
                  </w:tcBorders>
                  <w:noWrap w:val="0"/>
                  <w:tcMar>
                    <w:top w:w="0" w:type="dxa"/>
                    <w:left w:w="0" w:type="dxa"/>
                    <w:bottom w:w="0" w:type="dxa"/>
                    <w:right w:w="0" w:type="dxa"/>
                  </w:tcMar>
                  <w:vAlign w:val="center"/>
                </w:tcPr>
                <w:p w14:paraId="4545C0CB">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340" w:type="pct"/>
                  <w:tcBorders>
                    <w:tl2br w:val="nil"/>
                    <w:tr2bl w:val="nil"/>
                  </w:tcBorders>
                  <w:noWrap w:val="0"/>
                  <w:tcMar>
                    <w:top w:w="0" w:type="dxa"/>
                    <w:left w:w="0" w:type="dxa"/>
                    <w:bottom w:w="0" w:type="dxa"/>
                    <w:right w:w="0" w:type="dxa"/>
                  </w:tcMar>
                  <w:vAlign w:val="center"/>
                </w:tcPr>
                <w:p w14:paraId="0D20A7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0.468 </w:t>
                  </w:r>
                </w:p>
              </w:tc>
              <w:tc>
                <w:tcPr>
                  <w:tcW w:w="418" w:type="pct"/>
                  <w:tcBorders>
                    <w:tl2br w:val="nil"/>
                    <w:tr2bl w:val="nil"/>
                  </w:tcBorders>
                  <w:noWrap w:val="0"/>
                  <w:tcMar>
                    <w:top w:w="0" w:type="dxa"/>
                    <w:left w:w="0" w:type="dxa"/>
                    <w:bottom w:w="0" w:type="dxa"/>
                    <w:right w:w="0" w:type="dxa"/>
                  </w:tcMar>
                  <w:vAlign w:val="center"/>
                </w:tcPr>
                <w:p w14:paraId="0715A1B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0.243 </w:t>
                  </w:r>
                </w:p>
              </w:tc>
              <w:tc>
                <w:tcPr>
                  <w:tcW w:w="429" w:type="pct"/>
                  <w:tcBorders>
                    <w:tl2br w:val="nil"/>
                    <w:tr2bl w:val="nil"/>
                  </w:tcBorders>
                  <w:noWrap w:val="0"/>
                  <w:tcMar>
                    <w:top w:w="0" w:type="dxa"/>
                    <w:left w:w="0" w:type="dxa"/>
                    <w:bottom w:w="0" w:type="dxa"/>
                    <w:right w:w="0" w:type="dxa"/>
                  </w:tcMar>
                  <w:vAlign w:val="center"/>
                </w:tcPr>
                <w:p w14:paraId="48016139">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tcBorders>
                    <w:tl2br w:val="nil"/>
                    <w:tr2bl w:val="nil"/>
                  </w:tcBorders>
                  <w:noWrap w:val="0"/>
                  <w:tcMar>
                    <w:top w:w="0" w:type="dxa"/>
                    <w:left w:w="0" w:type="dxa"/>
                    <w:bottom w:w="0" w:type="dxa"/>
                    <w:right w:w="0" w:type="dxa"/>
                  </w:tcMar>
                  <w:vAlign w:val="center"/>
                </w:tcPr>
                <w:p w14:paraId="0C86F81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w:t>
                  </w:r>
                </w:p>
              </w:tc>
              <w:tc>
                <w:tcPr>
                  <w:tcW w:w="432" w:type="pct"/>
                  <w:tcBorders>
                    <w:tl2br w:val="nil"/>
                    <w:tr2bl w:val="nil"/>
                  </w:tcBorders>
                  <w:noWrap w:val="0"/>
                  <w:tcMar>
                    <w:top w:w="0" w:type="dxa"/>
                    <w:left w:w="0" w:type="dxa"/>
                    <w:bottom w:w="0" w:type="dxa"/>
                    <w:right w:w="0" w:type="dxa"/>
                  </w:tcMar>
                  <w:vAlign w:val="center"/>
                </w:tcPr>
                <w:p w14:paraId="218126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2E3D50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5E1A18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15CD6A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0.468 </w:t>
                  </w:r>
                </w:p>
              </w:tc>
              <w:tc>
                <w:tcPr>
                  <w:tcW w:w="432" w:type="pct"/>
                  <w:tcBorders>
                    <w:tl2br w:val="nil"/>
                    <w:tr2bl w:val="nil"/>
                  </w:tcBorders>
                  <w:noWrap w:val="0"/>
                  <w:tcMar>
                    <w:top w:w="0" w:type="dxa"/>
                    <w:left w:w="0" w:type="dxa"/>
                    <w:bottom w:w="0" w:type="dxa"/>
                    <w:right w:w="0" w:type="dxa"/>
                  </w:tcMar>
                  <w:vAlign w:val="center"/>
                </w:tcPr>
                <w:p w14:paraId="04C782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0.243 </w:t>
                  </w:r>
                </w:p>
              </w:tc>
              <w:tc>
                <w:tcPr>
                  <w:tcW w:w="477" w:type="pct"/>
                  <w:tcBorders>
                    <w:tl2br w:val="nil"/>
                    <w:tr2bl w:val="nil"/>
                  </w:tcBorders>
                  <w:noWrap w:val="0"/>
                  <w:tcMar>
                    <w:top w:w="0" w:type="dxa"/>
                    <w:left w:w="0" w:type="dxa"/>
                    <w:bottom w:w="0" w:type="dxa"/>
                    <w:right w:w="0" w:type="dxa"/>
                  </w:tcMar>
                  <w:vAlign w:val="center"/>
                </w:tcPr>
                <w:p w14:paraId="52F6CB73">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20EBBB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5BE0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33A41611">
                  <w:pPr>
                    <w:pStyle w:val="109"/>
                    <w:bidi w:val="0"/>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喷粉粉尘</w:t>
                  </w:r>
                </w:p>
              </w:tc>
              <w:tc>
                <w:tcPr>
                  <w:tcW w:w="394" w:type="pct"/>
                  <w:tcBorders>
                    <w:tl2br w:val="nil"/>
                    <w:tr2bl w:val="nil"/>
                  </w:tcBorders>
                  <w:noWrap w:val="0"/>
                  <w:tcMar>
                    <w:top w:w="0" w:type="dxa"/>
                    <w:left w:w="0" w:type="dxa"/>
                    <w:bottom w:w="0" w:type="dxa"/>
                    <w:right w:w="0" w:type="dxa"/>
                  </w:tcMar>
                  <w:vAlign w:val="center"/>
                </w:tcPr>
                <w:p w14:paraId="7124BA43">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340" w:type="pct"/>
                  <w:tcBorders>
                    <w:tl2br w:val="nil"/>
                    <w:tr2bl w:val="nil"/>
                  </w:tcBorders>
                  <w:noWrap w:val="0"/>
                  <w:tcMar>
                    <w:top w:w="0" w:type="dxa"/>
                    <w:left w:w="0" w:type="dxa"/>
                    <w:bottom w:w="0" w:type="dxa"/>
                    <w:right w:w="0" w:type="dxa"/>
                  </w:tcMar>
                  <w:vAlign w:val="center"/>
                </w:tcPr>
                <w:p w14:paraId="41F7A83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1.302 </w:t>
                  </w:r>
                </w:p>
              </w:tc>
              <w:tc>
                <w:tcPr>
                  <w:tcW w:w="418" w:type="pct"/>
                  <w:tcBorders>
                    <w:tl2br w:val="nil"/>
                    <w:tr2bl w:val="nil"/>
                  </w:tcBorders>
                  <w:noWrap w:val="0"/>
                  <w:tcMar>
                    <w:top w:w="0" w:type="dxa"/>
                    <w:left w:w="0" w:type="dxa"/>
                    <w:bottom w:w="0" w:type="dxa"/>
                    <w:right w:w="0" w:type="dxa"/>
                  </w:tcMar>
                  <w:vAlign w:val="center"/>
                </w:tcPr>
                <w:p w14:paraId="59BE7E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0.675 </w:t>
                  </w:r>
                </w:p>
              </w:tc>
              <w:tc>
                <w:tcPr>
                  <w:tcW w:w="429" w:type="pct"/>
                  <w:tcBorders>
                    <w:tl2br w:val="nil"/>
                    <w:tr2bl w:val="nil"/>
                  </w:tcBorders>
                  <w:noWrap w:val="0"/>
                  <w:tcMar>
                    <w:top w:w="0" w:type="dxa"/>
                    <w:left w:w="0" w:type="dxa"/>
                    <w:bottom w:w="0" w:type="dxa"/>
                    <w:right w:w="0" w:type="dxa"/>
                  </w:tcMar>
                  <w:vAlign w:val="center"/>
                </w:tcPr>
                <w:p w14:paraId="520F0A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tcBorders>
                    <w:tl2br w:val="nil"/>
                    <w:tr2bl w:val="nil"/>
                  </w:tcBorders>
                  <w:noWrap w:val="0"/>
                  <w:tcMar>
                    <w:top w:w="0" w:type="dxa"/>
                    <w:left w:w="0" w:type="dxa"/>
                    <w:bottom w:w="0" w:type="dxa"/>
                    <w:right w:w="0" w:type="dxa"/>
                  </w:tcMar>
                  <w:vAlign w:val="center"/>
                </w:tcPr>
                <w:p w14:paraId="436B19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w:t>
                  </w:r>
                </w:p>
              </w:tc>
              <w:tc>
                <w:tcPr>
                  <w:tcW w:w="432" w:type="pct"/>
                  <w:tcBorders>
                    <w:tl2br w:val="nil"/>
                    <w:tr2bl w:val="nil"/>
                  </w:tcBorders>
                  <w:noWrap w:val="0"/>
                  <w:tcMar>
                    <w:top w:w="0" w:type="dxa"/>
                    <w:left w:w="0" w:type="dxa"/>
                    <w:bottom w:w="0" w:type="dxa"/>
                    <w:right w:w="0" w:type="dxa"/>
                  </w:tcMar>
                  <w:vAlign w:val="center"/>
                </w:tcPr>
                <w:p w14:paraId="2DEBC0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01820C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6828AB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60BECA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1.302 </w:t>
                  </w:r>
                </w:p>
              </w:tc>
              <w:tc>
                <w:tcPr>
                  <w:tcW w:w="432" w:type="pct"/>
                  <w:tcBorders>
                    <w:tl2br w:val="nil"/>
                    <w:tr2bl w:val="nil"/>
                  </w:tcBorders>
                  <w:noWrap w:val="0"/>
                  <w:tcMar>
                    <w:top w:w="0" w:type="dxa"/>
                    <w:left w:w="0" w:type="dxa"/>
                    <w:bottom w:w="0" w:type="dxa"/>
                    <w:right w:w="0" w:type="dxa"/>
                  </w:tcMar>
                  <w:vAlign w:val="center"/>
                </w:tcPr>
                <w:p w14:paraId="34B1D4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0.675 </w:t>
                  </w:r>
                </w:p>
              </w:tc>
              <w:tc>
                <w:tcPr>
                  <w:tcW w:w="477" w:type="pct"/>
                  <w:tcBorders>
                    <w:tl2br w:val="nil"/>
                    <w:tr2bl w:val="nil"/>
                  </w:tcBorders>
                  <w:noWrap w:val="0"/>
                  <w:tcMar>
                    <w:top w:w="0" w:type="dxa"/>
                    <w:left w:w="0" w:type="dxa"/>
                    <w:bottom w:w="0" w:type="dxa"/>
                    <w:right w:w="0" w:type="dxa"/>
                  </w:tcMar>
                  <w:vAlign w:val="center"/>
                </w:tcPr>
                <w:p w14:paraId="3DAB68C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tcBorders>
                    <w:tl2br w:val="nil"/>
                    <w:tr2bl w:val="nil"/>
                  </w:tcBorders>
                  <w:noWrap w:val="0"/>
                  <w:tcMar>
                    <w:top w:w="0" w:type="dxa"/>
                    <w:left w:w="0" w:type="dxa"/>
                    <w:bottom w:w="0" w:type="dxa"/>
                    <w:right w:w="0" w:type="dxa"/>
                  </w:tcMar>
                  <w:vAlign w:val="center"/>
                </w:tcPr>
                <w:p w14:paraId="6AF5FE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1928</w:t>
                  </w:r>
                </w:p>
              </w:tc>
            </w:tr>
            <w:tr w14:paraId="0C1A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75DF65E3">
                  <w:pPr>
                    <w:pStyle w:val="109"/>
                    <w:bidi w:val="0"/>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喷漆废气（DA001）</w:t>
                  </w:r>
                </w:p>
              </w:tc>
              <w:tc>
                <w:tcPr>
                  <w:tcW w:w="394" w:type="pct"/>
                  <w:tcBorders>
                    <w:tl2br w:val="nil"/>
                    <w:tr2bl w:val="nil"/>
                  </w:tcBorders>
                  <w:noWrap w:val="0"/>
                  <w:tcMar>
                    <w:top w:w="0" w:type="dxa"/>
                    <w:left w:w="0" w:type="dxa"/>
                    <w:bottom w:w="0" w:type="dxa"/>
                    <w:right w:w="0" w:type="dxa"/>
                  </w:tcMar>
                  <w:vAlign w:val="center"/>
                </w:tcPr>
                <w:p w14:paraId="59A3B808">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340" w:type="pct"/>
                  <w:tcBorders>
                    <w:tl2br w:val="nil"/>
                    <w:tr2bl w:val="nil"/>
                  </w:tcBorders>
                  <w:noWrap w:val="0"/>
                  <w:tcMar>
                    <w:top w:w="0" w:type="dxa"/>
                    <w:left w:w="0" w:type="dxa"/>
                    <w:bottom w:w="0" w:type="dxa"/>
                    <w:right w:w="0" w:type="dxa"/>
                  </w:tcMar>
                  <w:vAlign w:val="center"/>
                </w:tcPr>
                <w:p w14:paraId="0F5150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2.203 </w:t>
                  </w:r>
                </w:p>
              </w:tc>
              <w:tc>
                <w:tcPr>
                  <w:tcW w:w="418" w:type="pct"/>
                  <w:tcBorders>
                    <w:tl2br w:val="nil"/>
                    <w:tr2bl w:val="nil"/>
                  </w:tcBorders>
                  <w:noWrap w:val="0"/>
                  <w:tcMar>
                    <w:top w:w="0" w:type="dxa"/>
                    <w:left w:w="0" w:type="dxa"/>
                    <w:bottom w:w="0" w:type="dxa"/>
                    <w:right w:w="0" w:type="dxa"/>
                  </w:tcMar>
                  <w:vAlign w:val="center"/>
                </w:tcPr>
                <w:p w14:paraId="2899E1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1.143 </w:t>
                  </w:r>
                </w:p>
              </w:tc>
              <w:tc>
                <w:tcPr>
                  <w:tcW w:w="429" w:type="pct"/>
                  <w:tcBorders>
                    <w:tl2br w:val="nil"/>
                    <w:tr2bl w:val="nil"/>
                  </w:tcBorders>
                  <w:noWrap w:val="0"/>
                  <w:tcMar>
                    <w:top w:w="0" w:type="dxa"/>
                    <w:left w:w="0" w:type="dxa"/>
                    <w:bottom w:w="0" w:type="dxa"/>
                    <w:right w:w="0" w:type="dxa"/>
                  </w:tcMar>
                  <w:vAlign w:val="center"/>
                </w:tcPr>
                <w:p w14:paraId="34B726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6.3 </w:t>
                  </w:r>
                </w:p>
              </w:tc>
              <w:tc>
                <w:tcPr>
                  <w:tcW w:w="352" w:type="pct"/>
                  <w:vMerge w:val="restart"/>
                  <w:tcBorders>
                    <w:tl2br w:val="nil"/>
                    <w:tr2bl w:val="nil"/>
                  </w:tcBorders>
                  <w:noWrap w:val="0"/>
                  <w:tcMar>
                    <w:top w:w="0" w:type="dxa"/>
                    <w:left w:w="0" w:type="dxa"/>
                    <w:bottom w:w="0" w:type="dxa"/>
                    <w:right w:w="0" w:type="dxa"/>
                  </w:tcMar>
                  <w:vAlign w:val="center"/>
                </w:tcPr>
                <w:p w14:paraId="4C8EC3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有组织</w:t>
                  </w:r>
                </w:p>
              </w:tc>
              <w:tc>
                <w:tcPr>
                  <w:tcW w:w="432" w:type="pct"/>
                  <w:vMerge w:val="restart"/>
                  <w:tcBorders>
                    <w:tl2br w:val="nil"/>
                    <w:tr2bl w:val="nil"/>
                  </w:tcBorders>
                  <w:noWrap w:val="0"/>
                  <w:tcMar>
                    <w:top w:w="0" w:type="dxa"/>
                    <w:left w:w="0" w:type="dxa"/>
                    <w:bottom w:w="0" w:type="dxa"/>
                    <w:right w:w="0" w:type="dxa"/>
                  </w:tcMar>
                  <w:vAlign w:val="center"/>
                </w:tcPr>
                <w:p w14:paraId="7768D8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181200</w:t>
                  </w:r>
                </w:p>
              </w:tc>
              <w:tc>
                <w:tcPr>
                  <w:tcW w:w="286" w:type="pct"/>
                  <w:tcBorders>
                    <w:tl2br w:val="nil"/>
                    <w:tr2bl w:val="nil"/>
                  </w:tcBorders>
                  <w:shd w:val="clear" w:color="auto" w:fill="auto"/>
                  <w:noWrap w:val="0"/>
                  <w:tcMar>
                    <w:top w:w="0" w:type="dxa"/>
                    <w:left w:w="0" w:type="dxa"/>
                    <w:bottom w:w="0" w:type="dxa"/>
                    <w:right w:w="0" w:type="dxa"/>
                  </w:tcMar>
                  <w:vAlign w:val="center"/>
                </w:tcPr>
                <w:p w14:paraId="7D7B52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0D2679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w:t>
                  </w:r>
                </w:p>
              </w:tc>
              <w:tc>
                <w:tcPr>
                  <w:tcW w:w="340" w:type="pct"/>
                  <w:tcBorders>
                    <w:tl2br w:val="nil"/>
                    <w:tr2bl w:val="nil"/>
                  </w:tcBorders>
                  <w:noWrap w:val="0"/>
                  <w:tcMar>
                    <w:top w:w="0" w:type="dxa"/>
                    <w:left w:w="0" w:type="dxa"/>
                    <w:bottom w:w="0" w:type="dxa"/>
                    <w:right w:w="0" w:type="dxa"/>
                  </w:tcMar>
                  <w:vAlign w:val="center"/>
                </w:tcPr>
                <w:p w14:paraId="6B6642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 </w:t>
                  </w:r>
                </w:p>
              </w:tc>
              <w:tc>
                <w:tcPr>
                  <w:tcW w:w="432" w:type="pct"/>
                  <w:tcBorders>
                    <w:tl2br w:val="nil"/>
                    <w:tr2bl w:val="nil"/>
                  </w:tcBorders>
                  <w:noWrap w:val="0"/>
                  <w:tcMar>
                    <w:top w:w="0" w:type="dxa"/>
                    <w:left w:w="0" w:type="dxa"/>
                    <w:bottom w:w="0" w:type="dxa"/>
                    <w:right w:w="0" w:type="dxa"/>
                  </w:tcMar>
                  <w:vAlign w:val="center"/>
                </w:tcPr>
                <w:p w14:paraId="0479A5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0.011 </w:t>
                  </w:r>
                </w:p>
              </w:tc>
              <w:tc>
                <w:tcPr>
                  <w:tcW w:w="477" w:type="pct"/>
                  <w:tcBorders>
                    <w:tl2br w:val="nil"/>
                    <w:tr2bl w:val="nil"/>
                  </w:tcBorders>
                  <w:noWrap w:val="0"/>
                  <w:tcMar>
                    <w:top w:w="0" w:type="dxa"/>
                    <w:left w:w="0" w:type="dxa"/>
                    <w:bottom w:w="0" w:type="dxa"/>
                    <w:right w:w="0" w:type="dxa"/>
                  </w:tcMar>
                  <w:vAlign w:val="center"/>
                </w:tcPr>
                <w:p w14:paraId="591FD7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 </w:t>
                  </w:r>
                </w:p>
              </w:tc>
              <w:tc>
                <w:tcPr>
                  <w:tcW w:w="342" w:type="pct"/>
                  <w:vMerge w:val="restart"/>
                  <w:tcBorders>
                    <w:tl2br w:val="nil"/>
                    <w:tr2bl w:val="nil"/>
                  </w:tcBorders>
                  <w:noWrap w:val="0"/>
                  <w:tcMar>
                    <w:top w:w="0" w:type="dxa"/>
                    <w:left w:w="0" w:type="dxa"/>
                    <w:bottom w:w="0" w:type="dxa"/>
                    <w:right w:w="0" w:type="dxa"/>
                  </w:tcMar>
                  <w:vAlign w:val="center"/>
                </w:tcPr>
                <w:p w14:paraId="450A70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1928</w:t>
                  </w:r>
                </w:p>
              </w:tc>
            </w:tr>
            <w:tr w14:paraId="5EEA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6E947B38">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noWrap w:val="0"/>
                  <w:tcMar>
                    <w:top w:w="0" w:type="dxa"/>
                    <w:left w:w="0" w:type="dxa"/>
                    <w:bottom w:w="0" w:type="dxa"/>
                    <w:right w:w="0" w:type="dxa"/>
                  </w:tcMar>
                  <w:vAlign w:val="center"/>
                </w:tcPr>
                <w:p w14:paraId="05786F54">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340" w:type="pct"/>
                  <w:tcBorders>
                    <w:tl2br w:val="nil"/>
                    <w:tr2bl w:val="nil"/>
                  </w:tcBorders>
                  <w:noWrap w:val="0"/>
                  <w:tcMar>
                    <w:top w:w="0" w:type="dxa"/>
                    <w:left w:w="0" w:type="dxa"/>
                    <w:bottom w:w="0" w:type="dxa"/>
                    <w:right w:w="0" w:type="dxa"/>
                  </w:tcMar>
                  <w:vAlign w:val="center"/>
                </w:tcPr>
                <w:p w14:paraId="436EA5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3.012 </w:t>
                  </w:r>
                </w:p>
              </w:tc>
              <w:tc>
                <w:tcPr>
                  <w:tcW w:w="418" w:type="pct"/>
                  <w:tcBorders>
                    <w:tl2br w:val="nil"/>
                    <w:tr2bl w:val="nil"/>
                  </w:tcBorders>
                  <w:noWrap w:val="0"/>
                  <w:tcMar>
                    <w:top w:w="0" w:type="dxa"/>
                    <w:left w:w="0" w:type="dxa"/>
                    <w:bottom w:w="0" w:type="dxa"/>
                    <w:right w:w="0" w:type="dxa"/>
                  </w:tcMar>
                  <w:vAlign w:val="center"/>
                </w:tcPr>
                <w:p w14:paraId="747371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1.562 </w:t>
                  </w:r>
                </w:p>
              </w:tc>
              <w:tc>
                <w:tcPr>
                  <w:tcW w:w="429" w:type="pct"/>
                  <w:tcBorders>
                    <w:tl2br w:val="nil"/>
                    <w:tr2bl w:val="nil"/>
                  </w:tcBorders>
                  <w:noWrap w:val="0"/>
                  <w:tcMar>
                    <w:top w:w="0" w:type="dxa"/>
                    <w:left w:w="0" w:type="dxa"/>
                    <w:bottom w:w="0" w:type="dxa"/>
                    <w:right w:w="0" w:type="dxa"/>
                  </w:tcMar>
                  <w:vAlign w:val="center"/>
                </w:tcPr>
                <w:p w14:paraId="33E233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8.6 </w:t>
                  </w:r>
                </w:p>
              </w:tc>
              <w:tc>
                <w:tcPr>
                  <w:tcW w:w="352" w:type="pct"/>
                  <w:vMerge w:val="continue"/>
                  <w:tcBorders>
                    <w:tl2br w:val="nil"/>
                    <w:tr2bl w:val="nil"/>
                  </w:tcBorders>
                  <w:noWrap w:val="0"/>
                  <w:tcMar>
                    <w:top w:w="0" w:type="dxa"/>
                    <w:left w:w="0" w:type="dxa"/>
                    <w:bottom w:w="0" w:type="dxa"/>
                    <w:right w:w="0" w:type="dxa"/>
                  </w:tcMar>
                  <w:vAlign w:val="center"/>
                </w:tcPr>
                <w:p w14:paraId="25BD3C62">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vMerge w:val="continue"/>
                  <w:tcBorders>
                    <w:tl2br w:val="nil"/>
                    <w:tr2bl w:val="nil"/>
                  </w:tcBorders>
                  <w:noWrap w:val="0"/>
                  <w:tcMar>
                    <w:top w:w="0" w:type="dxa"/>
                    <w:left w:w="0" w:type="dxa"/>
                    <w:bottom w:w="0" w:type="dxa"/>
                    <w:right w:w="0" w:type="dxa"/>
                  </w:tcMar>
                  <w:vAlign w:val="center"/>
                </w:tcPr>
                <w:p w14:paraId="3B6BC962">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286" w:type="pct"/>
                  <w:tcBorders>
                    <w:tl2br w:val="nil"/>
                    <w:tr2bl w:val="nil"/>
                  </w:tcBorders>
                  <w:shd w:val="clear" w:color="auto" w:fill="auto"/>
                  <w:noWrap w:val="0"/>
                  <w:tcMar>
                    <w:top w:w="0" w:type="dxa"/>
                    <w:left w:w="0" w:type="dxa"/>
                    <w:bottom w:w="0" w:type="dxa"/>
                    <w:right w:w="0" w:type="dxa"/>
                  </w:tcMar>
                  <w:vAlign w:val="center"/>
                </w:tcPr>
                <w:p w14:paraId="1BF075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571F92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340" w:type="pct"/>
                  <w:tcBorders>
                    <w:tl2br w:val="nil"/>
                    <w:tr2bl w:val="nil"/>
                  </w:tcBorders>
                  <w:noWrap w:val="0"/>
                  <w:tcMar>
                    <w:top w:w="0" w:type="dxa"/>
                    <w:left w:w="0" w:type="dxa"/>
                    <w:bottom w:w="0" w:type="dxa"/>
                    <w:right w:w="0" w:type="dxa"/>
                  </w:tcMar>
                  <w:vAlign w:val="center"/>
                </w:tcPr>
                <w:p w14:paraId="0E56E3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0.602 </w:t>
                  </w:r>
                </w:p>
              </w:tc>
              <w:tc>
                <w:tcPr>
                  <w:tcW w:w="432" w:type="pct"/>
                  <w:tcBorders>
                    <w:tl2br w:val="nil"/>
                    <w:tr2bl w:val="nil"/>
                  </w:tcBorders>
                  <w:noWrap w:val="0"/>
                  <w:tcMar>
                    <w:top w:w="0" w:type="dxa"/>
                    <w:left w:w="0" w:type="dxa"/>
                    <w:bottom w:w="0" w:type="dxa"/>
                    <w:right w:w="0" w:type="dxa"/>
                  </w:tcMar>
                  <w:vAlign w:val="center"/>
                </w:tcPr>
                <w:p w14:paraId="1F0553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0.312 </w:t>
                  </w:r>
                </w:p>
              </w:tc>
              <w:tc>
                <w:tcPr>
                  <w:tcW w:w="477" w:type="pct"/>
                  <w:tcBorders>
                    <w:tl2br w:val="nil"/>
                    <w:tr2bl w:val="nil"/>
                  </w:tcBorders>
                  <w:noWrap w:val="0"/>
                  <w:tcMar>
                    <w:top w:w="0" w:type="dxa"/>
                    <w:left w:w="0" w:type="dxa"/>
                    <w:bottom w:w="0" w:type="dxa"/>
                    <w:right w:w="0" w:type="dxa"/>
                  </w:tcMar>
                  <w:vAlign w:val="center"/>
                </w:tcPr>
                <w:p w14:paraId="1C0486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1.7 </w:t>
                  </w:r>
                </w:p>
              </w:tc>
              <w:tc>
                <w:tcPr>
                  <w:tcW w:w="342" w:type="pct"/>
                  <w:vMerge w:val="continue"/>
                  <w:tcBorders>
                    <w:tl2br w:val="nil"/>
                    <w:tr2bl w:val="nil"/>
                  </w:tcBorders>
                  <w:noWrap w:val="0"/>
                  <w:tcMar>
                    <w:top w:w="0" w:type="dxa"/>
                    <w:left w:w="0" w:type="dxa"/>
                    <w:bottom w:w="0" w:type="dxa"/>
                    <w:right w:w="0" w:type="dxa"/>
                  </w:tcMar>
                  <w:vAlign w:val="center"/>
                </w:tcPr>
                <w:p w14:paraId="7E956A8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7CBF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04BBF791">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noWrap w:val="0"/>
                  <w:tcMar>
                    <w:top w:w="0" w:type="dxa"/>
                    <w:left w:w="0" w:type="dxa"/>
                    <w:bottom w:w="0" w:type="dxa"/>
                    <w:right w:w="0" w:type="dxa"/>
                  </w:tcMar>
                  <w:vAlign w:val="center"/>
                </w:tcPr>
                <w:p w14:paraId="7112A8E5">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苯系物</w:t>
                  </w:r>
                </w:p>
              </w:tc>
              <w:tc>
                <w:tcPr>
                  <w:tcW w:w="340" w:type="pct"/>
                  <w:tcBorders>
                    <w:tl2br w:val="nil"/>
                    <w:tr2bl w:val="nil"/>
                  </w:tcBorders>
                  <w:noWrap w:val="0"/>
                  <w:tcMar>
                    <w:top w:w="0" w:type="dxa"/>
                    <w:left w:w="0" w:type="dxa"/>
                    <w:bottom w:w="0" w:type="dxa"/>
                    <w:right w:w="0" w:type="dxa"/>
                  </w:tcMar>
                  <w:vAlign w:val="center"/>
                </w:tcPr>
                <w:p w14:paraId="6F52D1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1.489 </w:t>
                  </w:r>
                </w:p>
              </w:tc>
              <w:tc>
                <w:tcPr>
                  <w:tcW w:w="418" w:type="pct"/>
                  <w:tcBorders>
                    <w:tl2br w:val="nil"/>
                    <w:tr2bl w:val="nil"/>
                  </w:tcBorders>
                  <w:noWrap w:val="0"/>
                  <w:tcMar>
                    <w:top w:w="0" w:type="dxa"/>
                    <w:left w:w="0" w:type="dxa"/>
                    <w:bottom w:w="0" w:type="dxa"/>
                    <w:right w:w="0" w:type="dxa"/>
                  </w:tcMar>
                  <w:vAlign w:val="center"/>
                </w:tcPr>
                <w:p w14:paraId="15A1F7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0.772 </w:t>
                  </w:r>
                </w:p>
              </w:tc>
              <w:tc>
                <w:tcPr>
                  <w:tcW w:w="429" w:type="pct"/>
                  <w:tcBorders>
                    <w:tl2br w:val="nil"/>
                    <w:tr2bl w:val="nil"/>
                  </w:tcBorders>
                  <w:noWrap w:val="0"/>
                  <w:tcMar>
                    <w:top w:w="0" w:type="dxa"/>
                    <w:left w:w="0" w:type="dxa"/>
                    <w:bottom w:w="0" w:type="dxa"/>
                    <w:right w:w="0" w:type="dxa"/>
                  </w:tcMar>
                  <w:vAlign w:val="center"/>
                </w:tcPr>
                <w:p w14:paraId="67FE82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4.3 </w:t>
                  </w:r>
                </w:p>
              </w:tc>
              <w:tc>
                <w:tcPr>
                  <w:tcW w:w="352" w:type="pct"/>
                  <w:vMerge w:val="continue"/>
                  <w:tcBorders>
                    <w:tl2br w:val="nil"/>
                    <w:tr2bl w:val="nil"/>
                  </w:tcBorders>
                  <w:noWrap w:val="0"/>
                  <w:tcMar>
                    <w:top w:w="0" w:type="dxa"/>
                    <w:left w:w="0" w:type="dxa"/>
                    <w:bottom w:w="0" w:type="dxa"/>
                    <w:right w:w="0" w:type="dxa"/>
                  </w:tcMar>
                  <w:vAlign w:val="center"/>
                </w:tcPr>
                <w:p w14:paraId="70F8AF8E">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vMerge w:val="continue"/>
                  <w:tcBorders>
                    <w:tl2br w:val="nil"/>
                    <w:tr2bl w:val="nil"/>
                  </w:tcBorders>
                  <w:noWrap w:val="0"/>
                  <w:tcMar>
                    <w:top w:w="0" w:type="dxa"/>
                    <w:left w:w="0" w:type="dxa"/>
                    <w:bottom w:w="0" w:type="dxa"/>
                    <w:right w:w="0" w:type="dxa"/>
                  </w:tcMar>
                  <w:vAlign w:val="center"/>
                </w:tcPr>
                <w:p w14:paraId="3806232A">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286" w:type="pct"/>
                  <w:tcBorders>
                    <w:tl2br w:val="nil"/>
                    <w:tr2bl w:val="nil"/>
                  </w:tcBorders>
                  <w:shd w:val="clear" w:color="auto" w:fill="auto"/>
                  <w:noWrap w:val="0"/>
                  <w:tcMar>
                    <w:top w:w="0" w:type="dxa"/>
                    <w:left w:w="0" w:type="dxa"/>
                    <w:bottom w:w="0" w:type="dxa"/>
                    <w:right w:w="0" w:type="dxa"/>
                  </w:tcMar>
                  <w:vAlign w:val="center"/>
                </w:tcPr>
                <w:p w14:paraId="575312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04A007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340" w:type="pct"/>
                  <w:tcBorders>
                    <w:tl2br w:val="nil"/>
                    <w:tr2bl w:val="nil"/>
                  </w:tcBorders>
                  <w:noWrap w:val="0"/>
                  <w:tcMar>
                    <w:top w:w="0" w:type="dxa"/>
                    <w:left w:w="0" w:type="dxa"/>
                    <w:bottom w:w="0" w:type="dxa"/>
                    <w:right w:w="0" w:type="dxa"/>
                  </w:tcMar>
                  <w:vAlign w:val="center"/>
                </w:tcPr>
                <w:p w14:paraId="5FEFE41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0.298 </w:t>
                  </w:r>
                </w:p>
              </w:tc>
              <w:tc>
                <w:tcPr>
                  <w:tcW w:w="432" w:type="pct"/>
                  <w:tcBorders>
                    <w:tl2br w:val="nil"/>
                    <w:tr2bl w:val="nil"/>
                  </w:tcBorders>
                  <w:noWrap w:val="0"/>
                  <w:tcMar>
                    <w:top w:w="0" w:type="dxa"/>
                    <w:left w:w="0" w:type="dxa"/>
                    <w:bottom w:w="0" w:type="dxa"/>
                    <w:right w:w="0" w:type="dxa"/>
                  </w:tcMar>
                  <w:vAlign w:val="center"/>
                </w:tcPr>
                <w:p w14:paraId="09CABF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0.154 </w:t>
                  </w:r>
                </w:p>
              </w:tc>
              <w:tc>
                <w:tcPr>
                  <w:tcW w:w="477" w:type="pct"/>
                  <w:tcBorders>
                    <w:tl2br w:val="nil"/>
                    <w:tr2bl w:val="nil"/>
                  </w:tcBorders>
                  <w:noWrap w:val="0"/>
                  <w:tcMar>
                    <w:top w:w="0" w:type="dxa"/>
                    <w:left w:w="0" w:type="dxa"/>
                    <w:bottom w:w="0" w:type="dxa"/>
                    <w:right w:w="0" w:type="dxa"/>
                  </w:tcMar>
                  <w:vAlign w:val="center"/>
                </w:tcPr>
                <w:p w14:paraId="693168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 </w:t>
                  </w:r>
                </w:p>
              </w:tc>
              <w:tc>
                <w:tcPr>
                  <w:tcW w:w="342" w:type="pct"/>
                  <w:vMerge w:val="continue"/>
                  <w:tcBorders>
                    <w:tl2br w:val="nil"/>
                    <w:tr2bl w:val="nil"/>
                  </w:tcBorders>
                  <w:noWrap w:val="0"/>
                  <w:tcMar>
                    <w:top w:w="0" w:type="dxa"/>
                    <w:left w:w="0" w:type="dxa"/>
                    <w:bottom w:w="0" w:type="dxa"/>
                    <w:right w:w="0" w:type="dxa"/>
                  </w:tcMar>
                  <w:vAlign w:val="center"/>
                </w:tcPr>
                <w:p w14:paraId="5D0F8DD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69BF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5852B505">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noWrap w:val="0"/>
                  <w:tcMar>
                    <w:top w:w="0" w:type="dxa"/>
                    <w:left w:w="0" w:type="dxa"/>
                    <w:bottom w:w="0" w:type="dxa"/>
                    <w:right w:w="0" w:type="dxa"/>
                  </w:tcMar>
                  <w:vAlign w:val="center"/>
                </w:tcPr>
                <w:p w14:paraId="09D87456">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340" w:type="pct"/>
                  <w:tcBorders>
                    <w:tl2br w:val="nil"/>
                    <w:tr2bl w:val="nil"/>
                  </w:tcBorders>
                  <w:noWrap w:val="0"/>
                  <w:tcMar>
                    <w:top w:w="0" w:type="dxa"/>
                    <w:left w:w="0" w:type="dxa"/>
                    <w:bottom w:w="0" w:type="dxa"/>
                    <w:right w:w="0" w:type="dxa"/>
                  </w:tcMar>
                  <w:vAlign w:val="center"/>
                </w:tcPr>
                <w:p w14:paraId="500249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18" w:type="pct"/>
                  <w:tcBorders>
                    <w:tl2br w:val="nil"/>
                    <w:tr2bl w:val="nil"/>
                  </w:tcBorders>
                  <w:noWrap w:val="0"/>
                  <w:tcMar>
                    <w:top w:w="0" w:type="dxa"/>
                    <w:left w:w="0" w:type="dxa"/>
                    <w:bottom w:w="0" w:type="dxa"/>
                    <w:right w:w="0" w:type="dxa"/>
                  </w:tcMar>
                  <w:vAlign w:val="center"/>
                </w:tcPr>
                <w:p w14:paraId="7AA52C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29" w:type="pct"/>
                  <w:tcBorders>
                    <w:tl2br w:val="nil"/>
                    <w:tr2bl w:val="nil"/>
                  </w:tcBorders>
                  <w:noWrap w:val="0"/>
                  <w:tcMar>
                    <w:top w:w="0" w:type="dxa"/>
                    <w:left w:w="0" w:type="dxa"/>
                    <w:bottom w:w="0" w:type="dxa"/>
                    <w:right w:w="0" w:type="dxa"/>
                  </w:tcMar>
                  <w:vAlign w:val="center"/>
                </w:tcPr>
                <w:p w14:paraId="701D2C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vMerge w:val="continue"/>
                  <w:tcBorders>
                    <w:tl2br w:val="nil"/>
                    <w:tr2bl w:val="nil"/>
                  </w:tcBorders>
                  <w:noWrap w:val="0"/>
                  <w:tcMar>
                    <w:top w:w="0" w:type="dxa"/>
                    <w:left w:w="0" w:type="dxa"/>
                    <w:bottom w:w="0" w:type="dxa"/>
                    <w:right w:w="0" w:type="dxa"/>
                  </w:tcMar>
                  <w:vAlign w:val="center"/>
                </w:tcPr>
                <w:p w14:paraId="546FCF4F">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vMerge w:val="continue"/>
                  <w:tcBorders>
                    <w:tl2br w:val="nil"/>
                    <w:tr2bl w:val="nil"/>
                  </w:tcBorders>
                  <w:noWrap w:val="0"/>
                  <w:tcMar>
                    <w:top w:w="0" w:type="dxa"/>
                    <w:left w:w="0" w:type="dxa"/>
                    <w:bottom w:w="0" w:type="dxa"/>
                    <w:right w:w="0" w:type="dxa"/>
                  </w:tcMar>
                  <w:vAlign w:val="center"/>
                </w:tcPr>
                <w:p w14:paraId="1AC16480">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286" w:type="pct"/>
                  <w:tcBorders>
                    <w:tl2br w:val="nil"/>
                    <w:tr2bl w:val="nil"/>
                  </w:tcBorders>
                  <w:shd w:val="clear" w:color="auto" w:fill="auto"/>
                  <w:noWrap w:val="0"/>
                  <w:tcMar>
                    <w:top w:w="0" w:type="dxa"/>
                    <w:left w:w="0" w:type="dxa"/>
                    <w:bottom w:w="0" w:type="dxa"/>
                    <w:right w:w="0" w:type="dxa"/>
                  </w:tcMar>
                  <w:vAlign w:val="center"/>
                </w:tcPr>
                <w:p w14:paraId="4CA3E1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shd w:val="clear" w:color="auto" w:fill="auto"/>
                  <w:noWrap w:val="0"/>
                  <w:tcMar>
                    <w:top w:w="0" w:type="dxa"/>
                    <w:left w:w="0" w:type="dxa"/>
                    <w:bottom w:w="0" w:type="dxa"/>
                    <w:right w:w="0" w:type="dxa"/>
                  </w:tcMar>
                  <w:vAlign w:val="center"/>
                </w:tcPr>
                <w:p w14:paraId="691096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3C020C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32" w:type="pct"/>
                  <w:tcBorders>
                    <w:tl2br w:val="nil"/>
                    <w:tr2bl w:val="nil"/>
                  </w:tcBorders>
                  <w:noWrap w:val="0"/>
                  <w:tcMar>
                    <w:top w:w="0" w:type="dxa"/>
                    <w:left w:w="0" w:type="dxa"/>
                    <w:bottom w:w="0" w:type="dxa"/>
                    <w:right w:w="0" w:type="dxa"/>
                  </w:tcMar>
                  <w:vAlign w:val="center"/>
                </w:tcPr>
                <w:p w14:paraId="68B8A1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77" w:type="pct"/>
                  <w:tcBorders>
                    <w:tl2br w:val="nil"/>
                    <w:tr2bl w:val="nil"/>
                  </w:tcBorders>
                  <w:noWrap w:val="0"/>
                  <w:tcMar>
                    <w:top w:w="0" w:type="dxa"/>
                    <w:left w:w="0" w:type="dxa"/>
                    <w:bottom w:w="0" w:type="dxa"/>
                    <w:right w:w="0" w:type="dxa"/>
                  </w:tcMar>
                  <w:vAlign w:val="center"/>
                </w:tcPr>
                <w:p w14:paraId="3A717A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0E80E4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4059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0184B22">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6B292EDB">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340" w:type="pct"/>
                  <w:tcBorders>
                    <w:tl2br w:val="nil"/>
                    <w:tr2bl w:val="nil"/>
                  </w:tcBorders>
                  <w:noWrap w:val="0"/>
                  <w:tcMar>
                    <w:top w:w="0" w:type="dxa"/>
                    <w:left w:w="0" w:type="dxa"/>
                    <w:bottom w:w="0" w:type="dxa"/>
                    <w:right w:w="0" w:type="dxa"/>
                  </w:tcMar>
                  <w:vAlign w:val="center"/>
                </w:tcPr>
                <w:p w14:paraId="70AA6D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0.024 </w:t>
                  </w:r>
                </w:p>
              </w:tc>
              <w:tc>
                <w:tcPr>
                  <w:tcW w:w="418" w:type="pct"/>
                  <w:tcBorders>
                    <w:tl2br w:val="nil"/>
                    <w:tr2bl w:val="nil"/>
                  </w:tcBorders>
                  <w:noWrap w:val="0"/>
                  <w:tcMar>
                    <w:top w:w="0" w:type="dxa"/>
                    <w:left w:w="0" w:type="dxa"/>
                    <w:bottom w:w="0" w:type="dxa"/>
                    <w:right w:w="0" w:type="dxa"/>
                  </w:tcMar>
                  <w:vAlign w:val="center"/>
                </w:tcPr>
                <w:p w14:paraId="0A83A8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0.013 </w:t>
                  </w:r>
                </w:p>
              </w:tc>
              <w:tc>
                <w:tcPr>
                  <w:tcW w:w="429" w:type="pct"/>
                  <w:tcBorders>
                    <w:tl2br w:val="nil"/>
                    <w:tr2bl w:val="nil"/>
                  </w:tcBorders>
                  <w:noWrap w:val="0"/>
                  <w:tcMar>
                    <w:top w:w="0" w:type="dxa"/>
                    <w:left w:w="0" w:type="dxa"/>
                    <w:bottom w:w="0" w:type="dxa"/>
                    <w:right w:w="0" w:type="dxa"/>
                  </w:tcMar>
                  <w:vAlign w:val="center"/>
                </w:tcPr>
                <w:p w14:paraId="5FE7BE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vMerge w:val="restart"/>
                  <w:tcBorders>
                    <w:tl2br w:val="nil"/>
                    <w:tr2bl w:val="nil"/>
                  </w:tcBorders>
                  <w:noWrap w:val="0"/>
                  <w:tcMar>
                    <w:top w:w="0" w:type="dxa"/>
                    <w:left w:w="0" w:type="dxa"/>
                    <w:bottom w:w="0" w:type="dxa"/>
                    <w:right w:w="0" w:type="dxa"/>
                  </w:tcMar>
                  <w:vAlign w:val="center"/>
                </w:tcPr>
                <w:p w14:paraId="410D46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w:t>
                  </w:r>
                </w:p>
              </w:tc>
              <w:tc>
                <w:tcPr>
                  <w:tcW w:w="432" w:type="pct"/>
                  <w:tcBorders>
                    <w:tl2br w:val="nil"/>
                    <w:tr2bl w:val="nil"/>
                  </w:tcBorders>
                  <w:noWrap w:val="0"/>
                  <w:tcMar>
                    <w:top w:w="0" w:type="dxa"/>
                    <w:left w:w="0" w:type="dxa"/>
                    <w:bottom w:w="0" w:type="dxa"/>
                    <w:right w:w="0" w:type="dxa"/>
                  </w:tcMar>
                  <w:vAlign w:val="center"/>
                </w:tcPr>
                <w:p w14:paraId="50C9A61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38D31D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2FD699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21B83F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0.024 </w:t>
                  </w:r>
                </w:p>
              </w:tc>
              <w:tc>
                <w:tcPr>
                  <w:tcW w:w="432" w:type="pct"/>
                  <w:tcBorders>
                    <w:tl2br w:val="nil"/>
                    <w:tr2bl w:val="nil"/>
                  </w:tcBorders>
                  <w:noWrap w:val="0"/>
                  <w:tcMar>
                    <w:top w:w="0" w:type="dxa"/>
                    <w:left w:w="0" w:type="dxa"/>
                    <w:bottom w:w="0" w:type="dxa"/>
                    <w:right w:w="0" w:type="dxa"/>
                  </w:tcMar>
                  <w:vAlign w:val="center"/>
                </w:tcPr>
                <w:p w14:paraId="38769F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0.013 </w:t>
                  </w:r>
                </w:p>
              </w:tc>
              <w:tc>
                <w:tcPr>
                  <w:tcW w:w="477" w:type="pct"/>
                  <w:tcBorders>
                    <w:tl2br w:val="nil"/>
                    <w:tr2bl w:val="nil"/>
                  </w:tcBorders>
                  <w:noWrap w:val="0"/>
                  <w:tcMar>
                    <w:top w:w="0" w:type="dxa"/>
                    <w:left w:w="0" w:type="dxa"/>
                    <w:bottom w:w="0" w:type="dxa"/>
                    <w:right w:w="0" w:type="dxa"/>
                  </w:tcMar>
                  <w:vAlign w:val="center"/>
                </w:tcPr>
                <w:p w14:paraId="210E36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44198E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224E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537CA8F">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30832A3A">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340" w:type="pct"/>
                  <w:tcBorders>
                    <w:tl2br w:val="nil"/>
                    <w:tr2bl w:val="nil"/>
                  </w:tcBorders>
                  <w:noWrap w:val="0"/>
                  <w:tcMar>
                    <w:top w:w="0" w:type="dxa"/>
                    <w:left w:w="0" w:type="dxa"/>
                    <w:bottom w:w="0" w:type="dxa"/>
                    <w:right w:w="0" w:type="dxa"/>
                  </w:tcMar>
                  <w:vAlign w:val="center"/>
                </w:tcPr>
                <w:p w14:paraId="0F3A243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0.335 </w:t>
                  </w:r>
                </w:p>
              </w:tc>
              <w:tc>
                <w:tcPr>
                  <w:tcW w:w="418" w:type="pct"/>
                  <w:tcBorders>
                    <w:tl2br w:val="nil"/>
                    <w:tr2bl w:val="nil"/>
                  </w:tcBorders>
                  <w:noWrap w:val="0"/>
                  <w:tcMar>
                    <w:top w:w="0" w:type="dxa"/>
                    <w:left w:w="0" w:type="dxa"/>
                    <w:bottom w:w="0" w:type="dxa"/>
                    <w:right w:w="0" w:type="dxa"/>
                  </w:tcMar>
                  <w:vAlign w:val="center"/>
                </w:tcPr>
                <w:p w14:paraId="122E12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0.174 </w:t>
                  </w:r>
                </w:p>
              </w:tc>
              <w:tc>
                <w:tcPr>
                  <w:tcW w:w="429" w:type="pct"/>
                  <w:tcBorders>
                    <w:tl2br w:val="nil"/>
                    <w:tr2bl w:val="nil"/>
                  </w:tcBorders>
                  <w:noWrap w:val="0"/>
                  <w:tcMar>
                    <w:top w:w="0" w:type="dxa"/>
                    <w:left w:w="0" w:type="dxa"/>
                    <w:bottom w:w="0" w:type="dxa"/>
                    <w:right w:w="0" w:type="dxa"/>
                  </w:tcMar>
                  <w:vAlign w:val="center"/>
                </w:tcPr>
                <w:p w14:paraId="225DC4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vMerge w:val="continue"/>
                  <w:tcBorders>
                    <w:tl2br w:val="nil"/>
                    <w:tr2bl w:val="nil"/>
                  </w:tcBorders>
                  <w:noWrap w:val="0"/>
                  <w:tcMar>
                    <w:top w:w="0" w:type="dxa"/>
                    <w:left w:w="0" w:type="dxa"/>
                    <w:bottom w:w="0" w:type="dxa"/>
                    <w:right w:w="0" w:type="dxa"/>
                  </w:tcMar>
                  <w:vAlign w:val="center"/>
                </w:tcPr>
                <w:p w14:paraId="5D528056">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tcBorders>
                    <w:tl2br w:val="nil"/>
                    <w:tr2bl w:val="nil"/>
                  </w:tcBorders>
                  <w:noWrap w:val="0"/>
                  <w:tcMar>
                    <w:top w:w="0" w:type="dxa"/>
                    <w:left w:w="0" w:type="dxa"/>
                    <w:bottom w:w="0" w:type="dxa"/>
                    <w:right w:w="0" w:type="dxa"/>
                  </w:tcMar>
                  <w:vAlign w:val="center"/>
                </w:tcPr>
                <w:p w14:paraId="32A0E46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3BC333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65E734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29B0CB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0.335 </w:t>
                  </w:r>
                </w:p>
              </w:tc>
              <w:tc>
                <w:tcPr>
                  <w:tcW w:w="432" w:type="pct"/>
                  <w:tcBorders>
                    <w:tl2br w:val="nil"/>
                    <w:tr2bl w:val="nil"/>
                  </w:tcBorders>
                  <w:noWrap w:val="0"/>
                  <w:tcMar>
                    <w:top w:w="0" w:type="dxa"/>
                    <w:left w:w="0" w:type="dxa"/>
                    <w:bottom w:w="0" w:type="dxa"/>
                    <w:right w:w="0" w:type="dxa"/>
                  </w:tcMar>
                  <w:vAlign w:val="center"/>
                </w:tcPr>
                <w:p w14:paraId="6564FD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0.174 </w:t>
                  </w:r>
                </w:p>
              </w:tc>
              <w:tc>
                <w:tcPr>
                  <w:tcW w:w="477" w:type="pct"/>
                  <w:tcBorders>
                    <w:tl2br w:val="nil"/>
                    <w:tr2bl w:val="nil"/>
                  </w:tcBorders>
                  <w:noWrap w:val="0"/>
                  <w:tcMar>
                    <w:top w:w="0" w:type="dxa"/>
                    <w:left w:w="0" w:type="dxa"/>
                    <w:bottom w:w="0" w:type="dxa"/>
                    <w:right w:w="0" w:type="dxa"/>
                  </w:tcMar>
                  <w:vAlign w:val="center"/>
                </w:tcPr>
                <w:p w14:paraId="1DD234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53023E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1D28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2B1C40DB">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64710AA1">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苯系物</w:t>
                  </w:r>
                </w:p>
              </w:tc>
              <w:tc>
                <w:tcPr>
                  <w:tcW w:w="340" w:type="pct"/>
                  <w:tcBorders>
                    <w:tl2br w:val="nil"/>
                    <w:tr2bl w:val="nil"/>
                  </w:tcBorders>
                  <w:noWrap w:val="0"/>
                  <w:tcMar>
                    <w:top w:w="0" w:type="dxa"/>
                    <w:left w:w="0" w:type="dxa"/>
                    <w:bottom w:w="0" w:type="dxa"/>
                    <w:right w:w="0" w:type="dxa"/>
                  </w:tcMar>
                  <w:vAlign w:val="center"/>
                </w:tcPr>
                <w:p w14:paraId="6755AB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0.165 </w:t>
                  </w:r>
                </w:p>
              </w:tc>
              <w:tc>
                <w:tcPr>
                  <w:tcW w:w="418" w:type="pct"/>
                  <w:tcBorders>
                    <w:tl2br w:val="nil"/>
                    <w:tr2bl w:val="nil"/>
                  </w:tcBorders>
                  <w:noWrap w:val="0"/>
                  <w:tcMar>
                    <w:top w:w="0" w:type="dxa"/>
                    <w:left w:w="0" w:type="dxa"/>
                    <w:bottom w:w="0" w:type="dxa"/>
                    <w:right w:w="0" w:type="dxa"/>
                  </w:tcMar>
                  <w:vAlign w:val="center"/>
                </w:tcPr>
                <w:p w14:paraId="4C503E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0.086 </w:t>
                  </w:r>
                </w:p>
              </w:tc>
              <w:tc>
                <w:tcPr>
                  <w:tcW w:w="429" w:type="pct"/>
                  <w:tcBorders>
                    <w:tl2br w:val="nil"/>
                    <w:tr2bl w:val="nil"/>
                  </w:tcBorders>
                  <w:noWrap w:val="0"/>
                  <w:tcMar>
                    <w:top w:w="0" w:type="dxa"/>
                    <w:left w:w="0" w:type="dxa"/>
                    <w:bottom w:w="0" w:type="dxa"/>
                    <w:right w:w="0" w:type="dxa"/>
                  </w:tcMar>
                  <w:vAlign w:val="center"/>
                </w:tcPr>
                <w:p w14:paraId="7B5035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vMerge w:val="continue"/>
                  <w:tcBorders>
                    <w:tl2br w:val="nil"/>
                    <w:tr2bl w:val="nil"/>
                  </w:tcBorders>
                  <w:noWrap w:val="0"/>
                  <w:tcMar>
                    <w:top w:w="0" w:type="dxa"/>
                    <w:left w:w="0" w:type="dxa"/>
                    <w:bottom w:w="0" w:type="dxa"/>
                    <w:right w:w="0" w:type="dxa"/>
                  </w:tcMar>
                  <w:vAlign w:val="center"/>
                </w:tcPr>
                <w:p w14:paraId="6056F0D2">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tcBorders>
                    <w:tl2br w:val="nil"/>
                    <w:tr2bl w:val="nil"/>
                  </w:tcBorders>
                  <w:noWrap w:val="0"/>
                  <w:tcMar>
                    <w:top w:w="0" w:type="dxa"/>
                    <w:left w:w="0" w:type="dxa"/>
                    <w:bottom w:w="0" w:type="dxa"/>
                    <w:right w:w="0" w:type="dxa"/>
                  </w:tcMar>
                  <w:vAlign w:val="center"/>
                </w:tcPr>
                <w:p w14:paraId="47BBA1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468FAF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0429EB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2E6980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0.165 </w:t>
                  </w:r>
                </w:p>
              </w:tc>
              <w:tc>
                <w:tcPr>
                  <w:tcW w:w="432" w:type="pct"/>
                  <w:tcBorders>
                    <w:tl2br w:val="nil"/>
                    <w:tr2bl w:val="nil"/>
                  </w:tcBorders>
                  <w:noWrap w:val="0"/>
                  <w:tcMar>
                    <w:top w:w="0" w:type="dxa"/>
                    <w:left w:w="0" w:type="dxa"/>
                    <w:bottom w:w="0" w:type="dxa"/>
                    <w:right w:w="0" w:type="dxa"/>
                  </w:tcMar>
                  <w:vAlign w:val="center"/>
                </w:tcPr>
                <w:p w14:paraId="03A69A9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0.086 </w:t>
                  </w:r>
                </w:p>
              </w:tc>
              <w:tc>
                <w:tcPr>
                  <w:tcW w:w="477" w:type="pct"/>
                  <w:tcBorders>
                    <w:tl2br w:val="nil"/>
                    <w:tr2bl w:val="nil"/>
                  </w:tcBorders>
                  <w:noWrap w:val="0"/>
                  <w:tcMar>
                    <w:top w:w="0" w:type="dxa"/>
                    <w:left w:w="0" w:type="dxa"/>
                    <w:bottom w:w="0" w:type="dxa"/>
                    <w:right w:w="0" w:type="dxa"/>
                  </w:tcMar>
                  <w:vAlign w:val="center"/>
                </w:tcPr>
                <w:p w14:paraId="526717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34E51D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0399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D81BC97">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714C8CF">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340" w:type="pct"/>
                  <w:tcBorders>
                    <w:tl2br w:val="nil"/>
                    <w:tr2bl w:val="nil"/>
                  </w:tcBorders>
                  <w:noWrap w:val="0"/>
                  <w:tcMar>
                    <w:top w:w="0" w:type="dxa"/>
                    <w:left w:w="0" w:type="dxa"/>
                    <w:bottom w:w="0" w:type="dxa"/>
                    <w:right w:w="0" w:type="dxa"/>
                  </w:tcMar>
                  <w:vAlign w:val="center"/>
                </w:tcPr>
                <w:p w14:paraId="47224E1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18" w:type="pct"/>
                  <w:tcBorders>
                    <w:tl2br w:val="nil"/>
                    <w:tr2bl w:val="nil"/>
                  </w:tcBorders>
                  <w:noWrap w:val="0"/>
                  <w:tcMar>
                    <w:top w:w="0" w:type="dxa"/>
                    <w:left w:w="0" w:type="dxa"/>
                    <w:bottom w:w="0" w:type="dxa"/>
                    <w:right w:w="0" w:type="dxa"/>
                  </w:tcMar>
                  <w:vAlign w:val="center"/>
                </w:tcPr>
                <w:p w14:paraId="7ECF88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29" w:type="pct"/>
                  <w:tcBorders>
                    <w:tl2br w:val="nil"/>
                    <w:tr2bl w:val="nil"/>
                  </w:tcBorders>
                  <w:noWrap w:val="0"/>
                  <w:tcMar>
                    <w:top w:w="0" w:type="dxa"/>
                    <w:left w:w="0" w:type="dxa"/>
                    <w:bottom w:w="0" w:type="dxa"/>
                    <w:right w:w="0" w:type="dxa"/>
                  </w:tcMar>
                  <w:vAlign w:val="center"/>
                </w:tcPr>
                <w:p w14:paraId="36201B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vMerge w:val="continue"/>
                  <w:tcBorders>
                    <w:tl2br w:val="nil"/>
                    <w:tr2bl w:val="nil"/>
                  </w:tcBorders>
                  <w:noWrap w:val="0"/>
                  <w:tcMar>
                    <w:top w:w="0" w:type="dxa"/>
                    <w:left w:w="0" w:type="dxa"/>
                    <w:bottom w:w="0" w:type="dxa"/>
                    <w:right w:w="0" w:type="dxa"/>
                  </w:tcMar>
                  <w:vAlign w:val="center"/>
                </w:tcPr>
                <w:p w14:paraId="3DA40ECC">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tcBorders>
                    <w:tl2br w:val="nil"/>
                    <w:tr2bl w:val="nil"/>
                  </w:tcBorders>
                  <w:noWrap w:val="0"/>
                  <w:tcMar>
                    <w:top w:w="0" w:type="dxa"/>
                    <w:left w:w="0" w:type="dxa"/>
                    <w:bottom w:w="0" w:type="dxa"/>
                    <w:right w:w="0" w:type="dxa"/>
                  </w:tcMar>
                  <w:vAlign w:val="center"/>
                </w:tcPr>
                <w:p w14:paraId="65DF3F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55DCD2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0EA780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65DCAF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32" w:type="pct"/>
                  <w:tcBorders>
                    <w:tl2br w:val="nil"/>
                    <w:tr2bl w:val="nil"/>
                  </w:tcBorders>
                  <w:noWrap w:val="0"/>
                  <w:tcMar>
                    <w:top w:w="0" w:type="dxa"/>
                    <w:left w:w="0" w:type="dxa"/>
                    <w:bottom w:w="0" w:type="dxa"/>
                    <w:right w:w="0" w:type="dxa"/>
                  </w:tcMar>
                  <w:vAlign w:val="center"/>
                </w:tcPr>
                <w:p w14:paraId="314CB9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77" w:type="pct"/>
                  <w:tcBorders>
                    <w:tl2br w:val="nil"/>
                    <w:tr2bl w:val="nil"/>
                  </w:tcBorders>
                  <w:noWrap w:val="0"/>
                  <w:tcMar>
                    <w:top w:w="0" w:type="dxa"/>
                    <w:left w:w="0" w:type="dxa"/>
                    <w:bottom w:w="0" w:type="dxa"/>
                    <w:right w:w="0" w:type="dxa"/>
                  </w:tcMar>
                  <w:vAlign w:val="center"/>
                </w:tcPr>
                <w:p w14:paraId="3A0E5D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78AE48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4B25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5DAA45DE">
                  <w:pPr>
                    <w:pStyle w:val="109"/>
                    <w:bidi w:val="0"/>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固化废气（DA002）</w:t>
                  </w:r>
                </w:p>
              </w:tc>
              <w:tc>
                <w:tcPr>
                  <w:tcW w:w="394" w:type="pct"/>
                  <w:tcBorders>
                    <w:tl2br w:val="nil"/>
                    <w:tr2bl w:val="nil"/>
                  </w:tcBorders>
                  <w:noWrap w:val="0"/>
                  <w:tcMar>
                    <w:top w:w="0" w:type="dxa"/>
                    <w:left w:w="0" w:type="dxa"/>
                    <w:bottom w:w="0" w:type="dxa"/>
                    <w:right w:w="0" w:type="dxa"/>
                  </w:tcMar>
                  <w:vAlign w:val="center"/>
                </w:tcPr>
                <w:p w14:paraId="5C522D96">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340" w:type="pct"/>
                  <w:tcBorders>
                    <w:tl2br w:val="nil"/>
                    <w:tr2bl w:val="nil"/>
                  </w:tcBorders>
                  <w:noWrap w:val="0"/>
                  <w:tcMar>
                    <w:top w:w="0" w:type="dxa"/>
                    <w:left w:w="0" w:type="dxa"/>
                    <w:bottom w:w="0" w:type="dxa"/>
                    <w:right w:w="0" w:type="dxa"/>
                  </w:tcMar>
                  <w:vAlign w:val="center"/>
                </w:tcPr>
                <w:p w14:paraId="4ADEB8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0.337 </w:t>
                  </w:r>
                </w:p>
              </w:tc>
              <w:tc>
                <w:tcPr>
                  <w:tcW w:w="418" w:type="pct"/>
                  <w:tcBorders>
                    <w:tl2br w:val="nil"/>
                    <w:tr2bl w:val="nil"/>
                  </w:tcBorders>
                  <w:noWrap w:val="0"/>
                  <w:tcMar>
                    <w:top w:w="0" w:type="dxa"/>
                    <w:left w:w="0" w:type="dxa"/>
                    <w:bottom w:w="0" w:type="dxa"/>
                    <w:right w:w="0" w:type="dxa"/>
                  </w:tcMar>
                  <w:vAlign w:val="center"/>
                </w:tcPr>
                <w:p w14:paraId="3A1E14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0.175 </w:t>
                  </w:r>
                </w:p>
              </w:tc>
              <w:tc>
                <w:tcPr>
                  <w:tcW w:w="429" w:type="pct"/>
                  <w:tcBorders>
                    <w:tl2br w:val="nil"/>
                    <w:tr2bl w:val="nil"/>
                  </w:tcBorders>
                  <w:noWrap w:val="0"/>
                  <w:tcMar>
                    <w:top w:w="0" w:type="dxa"/>
                    <w:left w:w="0" w:type="dxa"/>
                    <w:bottom w:w="0" w:type="dxa"/>
                    <w:right w:w="0" w:type="dxa"/>
                  </w:tcMar>
                  <w:vAlign w:val="center"/>
                </w:tcPr>
                <w:p w14:paraId="24CA1A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4.4 </w:t>
                  </w:r>
                </w:p>
              </w:tc>
              <w:tc>
                <w:tcPr>
                  <w:tcW w:w="352" w:type="pct"/>
                  <w:vMerge w:val="restart"/>
                  <w:tcBorders>
                    <w:tl2br w:val="nil"/>
                    <w:tr2bl w:val="nil"/>
                  </w:tcBorders>
                  <w:noWrap w:val="0"/>
                  <w:tcMar>
                    <w:top w:w="0" w:type="dxa"/>
                    <w:left w:w="0" w:type="dxa"/>
                    <w:bottom w:w="0" w:type="dxa"/>
                    <w:right w:w="0" w:type="dxa"/>
                  </w:tcMar>
                  <w:vAlign w:val="center"/>
                </w:tcPr>
                <w:p w14:paraId="533212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有组织</w:t>
                  </w:r>
                </w:p>
              </w:tc>
              <w:tc>
                <w:tcPr>
                  <w:tcW w:w="432" w:type="pct"/>
                  <w:vMerge w:val="restart"/>
                  <w:tcBorders>
                    <w:tl2br w:val="nil"/>
                    <w:tr2bl w:val="nil"/>
                  </w:tcBorders>
                  <w:noWrap w:val="0"/>
                  <w:tcMar>
                    <w:top w:w="0" w:type="dxa"/>
                    <w:left w:w="0" w:type="dxa"/>
                    <w:bottom w:w="0" w:type="dxa"/>
                    <w:right w:w="0" w:type="dxa"/>
                  </w:tcMar>
                  <w:vAlign w:val="center"/>
                </w:tcPr>
                <w:p w14:paraId="217896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40000</w:t>
                  </w:r>
                </w:p>
              </w:tc>
              <w:tc>
                <w:tcPr>
                  <w:tcW w:w="286" w:type="pct"/>
                  <w:tcBorders>
                    <w:tl2br w:val="nil"/>
                    <w:tr2bl w:val="nil"/>
                  </w:tcBorders>
                  <w:noWrap w:val="0"/>
                  <w:tcMar>
                    <w:top w:w="0" w:type="dxa"/>
                    <w:left w:w="0" w:type="dxa"/>
                    <w:bottom w:w="0" w:type="dxa"/>
                    <w:right w:w="0" w:type="dxa"/>
                  </w:tcMar>
                  <w:vAlign w:val="center"/>
                </w:tcPr>
                <w:p w14:paraId="7DBCFD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w:t>
                  </w:r>
                </w:p>
              </w:tc>
              <w:tc>
                <w:tcPr>
                  <w:tcW w:w="261" w:type="pct"/>
                  <w:tcBorders>
                    <w:tl2br w:val="nil"/>
                    <w:tr2bl w:val="nil"/>
                  </w:tcBorders>
                  <w:noWrap w:val="0"/>
                  <w:tcMar>
                    <w:top w:w="0" w:type="dxa"/>
                    <w:left w:w="0" w:type="dxa"/>
                    <w:bottom w:w="0" w:type="dxa"/>
                    <w:right w:w="0" w:type="dxa"/>
                  </w:tcMar>
                  <w:vAlign w:val="center"/>
                </w:tcPr>
                <w:p w14:paraId="68D566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340" w:type="pct"/>
                  <w:tcBorders>
                    <w:tl2br w:val="nil"/>
                    <w:tr2bl w:val="nil"/>
                  </w:tcBorders>
                  <w:noWrap w:val="0"/>
                  <w:tcMar>
                    <w:top w:w="0" w:type="dxa"/>
                    <w:left w:w="0" w:type="dxa"/>
                    <w:bottom w:w="0" w:type="dxa"/>
                    <w:right w:w="0" w:type="dxa"/>
                  </w:tcMar>
                  <w:vAlign w:val="center"/>
                </w:tcPr>
                <w:p w14:paraId="32E807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0.067 </w:t>
                  </w:r>
                </w:p>
              </w:tc>
              <w:tc>
                <w:tcPr>
                  <w:tcW w:w="432" w:type="pct"/>
                  <w:tcBorders>
                    <w:tl2br w:val="nil"/>
                    <w:tr2bl w:val="nil"/>
                  </w:tcBorders>
                  <w:noWrap w:val="0"/>
                  <w:tcMar>
                    <w:top w:w="0" w:type="dxa"/>
                    <w:left w:w="0" w:type="dxa"/>
                    <w:bottom w:w="0" w:type="dxa"/>
                    <w:right w:w="0" w:type="dxa"/>
                  </w:tcMar>
                  <w:vAlign w:val="center"/>
                </w:tcPr>
                <w:p w14:paraId="37228B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0.035 </w:t>
                  </w:r>
                </w:p>
              </w:tc>
              <w:tc>
                <w:tcPr>
                  <w:tcW w:w="477" w:type="pct"/>
                  <w:tcBorders>
                    <w:tl2br w:val="nil"/>
                    <w:tr2bl w:val="nil"/>
                  </w:tcBorders>
                  <w:noWrap w:val="0"/>
                  <w:tcMar>
                    <w:top w:w="0" w:type="dxa"/>
                    <w:left w:w="0" w:type="dxa"/>
                    <w:bottom w:w="0" w:type="dxa"/>
                    <w:right w:w="0" w:type="dxa"/>
                  </w:tcMar>
                  <w:vAlign w:val="center"/>
                </w:tcPr>
                <w:p w14:paraId="1DDE120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0.874 </w:t>
                  </w:r>
                </w:p>
              </w:tc>
              <w:tc>
                <w:tcPr>
                  <w:tcW w:w="342" w:type="pct"/>
                  <w:vMerge w:val="restart"/>
                  <w:tcBorders>
                    <w:tl2br w:val="nil"/>
                    <w:tr2bl w:val="nil"/>
                  </w:tcBorders>
                  <w:noWrap w:val="0"/>
                  <w:tcMar>
                    <w:top w:w="0" w:type="dxa"/>
                    <w:left w:w="0" w:type="dxa"/>
                    <w:bottom w:w="0" w:type="dxa"/>
                    <w:right w:w="0" w:type="dxa"/>
                  </w:tcMar>
                  <w:vAlign w:val="center"/>
                </w:tcPr>
                <w:p w14:paraId="4AA5E2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1928</w:t>
                  </w:r>
                </w:p>
              </w:tc>
            </w:tr>
            <w:tr w14:paraId="2845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3343B195">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noWrap w:val="0"/>
                  <w:tcMar>
                    <w:top w:w="0" w:type="dxa"/>
                    <w:left w:w="0" w:type="dxa"/>
                    <w:bottom w:w="0" w:type="dxa"/>
                    <w:right w:w="0" w:type="dxa"/>
                  </w:tcMar>
                  <w:vAlign w:val="center"/>
                </w:tcPr>
                <w:p w14:paraId="34E7496F">
                  <w:pPr>
                    <w:keepNext w:val="0"/>
                    <w:keepLines w:val="0"/>
                    <w:widowControl/>
                    <w:suppressLineNumbers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苯系物</w:t>
                  </w:r>
                </w:p>
              </w:tc>
              <w:tc>
                <w:tcPr>
                  <w:tcW w:w="340" w:type="pct"/>
                  <w:tcBorders>
                    <w:tl2br w:val="nil"/>
                    <w:tr2bl w:val="nil"/>
                  </w:tcBorders>
                  <w:noWrap w:val="0"/>
                  <w:tcMar>
                    <w:top w:w="0" w:type="dxa"/>
                    <w:left w:w="0" w:type="dxa"/>
                    <w:bottom w:w="0" w:type="dxa"/>
                    <w:right w:w="0" w:type="dxa"/>
                  </w:tcMar>
                  <w:vAlign w:val="center"/>
                </w:tcPr>
                <w:p w14:paraId="1979FD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0.079 </w:t>
                  </w:r>
                </w:p>
              </w:tc>
              <w:tc>
                <w:tcPr>
                  <w:tcW w:w="418" w:type="pct"/>
                  <w:tcBorders>
                    <w:tl2br w:val="nil"/>
                    <w:tr2bl w:val="nil"/>
                  </w:tcBorders>
                  <w:noWrap w:val="0"/>
                  <w:tcMar>
                    <w:top w:w="0" w:type="dxa"/>
                    <w:left w:w="0" w:type="dxa"/>
                    <w:bottom w:w="0" w:type="dxa"/>
                    <w:right w:w="0" w:type="dxa"/>
                  </w:tcMar>
                  <w:vAlign w:val="center"/>
                </w:tcPr>
                <w:p w14:paraId="3940F5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c>
                <w:tcPr>
                  <w:tcW w:w="429" w:type="pct"/>
                  <w:tcBorders>
                    <w:tl2br w:val="nil"/>
                    <w:tr2bl w:val="nil"/>
                  </w:tcBorders>
                  <w:noWrap w:val="0"/>
                  <w:tcMar>
                    <w:top w:w="0" w:type="dxa"/>
                    <w:left w:w="0" w:type="dxa"/>
                    <w:bottom w:w="0" w:type="dxa"/>
                    <w:right w:w="0" w:type="dxa"/>
                  </w:tcMar>
                  <w:vAlign w:val="center"/>
                </w:tcPr>
                <w:p w14:paraId="28C68F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 </w:t>
                  </w:r>
                </w:p>
              </w:tc>
              <w:tc>
                <w:tcPr>
                  <w:tcW w:w="352" w:type="pct"/>
                  <w:vMerge w:val="continue"/>
                  <w:tcBorders>
                    <w:tl2br w:val="nil"/>
                    <w:tr2bl w:val="nil"/>
                  </w:tcBorders>
                  <w:noWrap w:val="0"/>
                  <w:tcMar>
                    <w:top w:w="0" w:type="dxa"/>
                    <w:left w:w="0" w:type="dxa"/>
                    <w:bottom w:w="0" w:type="dxa"/>
                    <w:right w:w="0" w:type="dxa"/>
                  </w:tcMar>
                  <w:vAlign w:val="center"/>
                </w:tcPr>
                <w:p w14:paraId="750D7241">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vMerge w:val="continue"/>
                  <w:tcBorders>
                    <w:tl2br w:val="nil"/>
                    <w:tr2bl w:val="nil"/>
                  </w:tcBorders>
                  <w:noWrap w:val="0"/>
                  <w:tcMar>
                    <w:top w:w="0" w:type="dxa"/>
                    <w:left w:w="0" w:type="dxa"/>
                    <w:bottom w:w="0" w:type="dxa"/>
                    <w:right w:w="0" w:type="dxa"/>
                  </w:tcMar>
                  <w:vAlign w:val="center"/>
                </w:tcPr>
                <w:p w14:paraId="200468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286" w:type="pct"/>
                  <w:tcBorders>
                    <w:tl2br w:val="nil"/>
                    <w:tr2bl w:val="nil"/>
                  </w:tcBorders>
                  <w:noWrap w:val="0"/>
                  <w:tcMar>
                    <w:top w:w="0" w:type="dxa"/>
                    <w:left w:w="0" w:type="dxa"/>
                    <w:bottom w:w="0" w:type="dxa"/>
                    <w:right w:w="0" w:type="dxa"/>
                  </w:tcMar>
                  <w:vAlign w:val="center"/>
                </w:tcPr>
                <w:p w14:paraId="5DC921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w:t>
                  </w:r>
                </w:p>
              </w:tc>
              <w:tc>
                <w:tcPr>
                  <w:tcW w:w="261" w:type="pct"/>
                  <w:tcBorders>
                    <w:tl2br w:val="nil"/>
                    <w:tr2bl w:val="nil"/>
                  </w:tcBorders>
                  <w:noWrap w:val="0"/>
                  <w:tcMar>
                    <w:top w:w="0" w:type="dxa"/>
                    <w:left w:w="0" w:type="dxa"/>
                    <w:bottom w:w="0" w:type="dxa"/>
                    <w:right w:w="0" w:type="dxa"/>
                  </w:tcMar>
                  <w:vAlign w:val="center"/>
                </w:tcPr>
                <w:p w14:paraId="7A740E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340" w:type="pct"/>
                  <w:tcBorders>
                    <w:tl2br w:val="nil"/>
                    <w:tr2bl w:val="nil"/>
                  </w:tcBorders>
                  <w:noWrap w:val="0"/>
                  <w:tcMar>
                    <w:top w:w="0" w:type="dxa"/>
                    <w:left w:w="0" w:type="dxa"/>
                    <w:bottom w:w="0" w:type="dxa"/>
                    <w:right w:w="0" w:type="dxa"/>
                  </w:tcMar>
                  <w:vAlign w:val="center"/>
                </w:tcPr>
                <w:p w14:paraId="2728B3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0.016 </w:t>
                  </w:r>
                </w:p>
              </w:tc>
              <w:tc>
                <w:tcPr>
                  <w:tcW w:w="432" w:type="pct"/>
                  <w:tcBorders>
                    <w:tl2br w:val="nil"/>
                    <w:tr2bl w:val="nil"/>
                  </w:tcBorders>
                  <w:noWrap w:val="0"/>
                  <w:tcMar>
                    <w:top w:w="0" w:type="dxa"/>
                    <w:left w:w="0" w:type="dxa"/>
                    <w:bottom w:w="0" w:type="dxa"/>
                    <w:right w:w="0" w:type="dxa"/>
                  </w:tcMar>
                  <w:vAlign w:val="center"/>
                </w:tcPr>
                <w:p w14:paraId="12C1ED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0.008 </w:t>
                  </w:r>
                </w:p>
              </w:tc>
              <w:tc>
                <w:tcPr>
                  <w:tcW w:w="477" w:type="pct"/>
                  <w:tcBorders>
                    <w:tl2br w:val="nil"/>
                    <w:tr2bl w:val="nil"/>
                  </w:tcBorders>
                  <w:noWrap w:val="0"/>
                  <w:tcMar>
                    <w:top w:w="0" w:type="dxa"/>
                    <w:left w:w="0" w:type="dxa"/>
                    <w:bottom w:w="0" w:type="dxa"/>
                    <w:right w:w="0" w:type="dxa"/>
                  </w:tcMar>
                  <w:vAlign w:val="center"/>
                </w:tcPr>
                <w:p w14:paraId="34CBF3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0.204 </w:t>
                  </w:r>
                </w:p>
              </w:tc>
              <w:tc>
                <w:tcPr>
                  <w:tcW w:w="342" w:type="pct"/>
                  <w:vMerge w:val="continue"/>
                  <w:tcBorders>
                    <w:tl2br w:val="nil"/>
                    <w:tr2bl w:val="nil"/>
                  </w:tcBorders>
                  <w:noWrap w:val="0"/>
                  <w:tcMar>
                    <w:top w:w="0" w:type="dxa"/>
                    <w:left w:w="0" w:type="dxa"/>
                    <w:bottom w:w="0" w:type="dxa"/>
                    <w:right w:w="0" w:type="dxa"/>
                  </w:tcMar>
                  <w:vAlign w:val="center"/>
                </w:tcPr>
                <w:p w14:paraId="25C4E6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1A91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3B72046A">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noWrap w:val="0"/>
                  <w:tcMar>
                    <w:top w:w="0" w:type="dxa"/>
                    <w:left w:w="0" w:type="dxa"/>
                    <w:bottom w:w="0" w:type="dxa"/>
                    <w:right w:w="0" w:type="dxa"/>
                  </w:tcMar>
                  <w:vAlign w:val="center"/>
                </w:tcPr>
                <w:p w14:paraId="49133CB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340" w:type="pct"/>
                  <w:tcBorders>
                    <w:tl2br w:val="nil"/>
                    <w:tr2bl w:val="nil"/>
                  </w:tcBorders>
                  <w:noWrap w:val="0"/>
                  <w:tcMar>
                    <w:top w:w="0" w:type="dxa"/>
                    <w:left w:w="0" w:type="dxa"/>
                    <w:bottom w:w="0" w:type="dxa"/>
                    <w:right w:w="0" w:type="dxa"/>
                  </w:tcMar>
                  <w:vAlign w:val="center"/>
                </w:tcPr>
                <w:p w14:paraId="42EFD3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18" w:type="pct"/>
                  <w:tcBorders>
                    <w:tl2br w:val="nil"/>
                    <w:tr2bl w:val="nil"/>
                  </w:tcBorders>
                  <w:noWrap w:val="0"/>
                  <w:tcMar>
                    <w:top w:w="0" w:type="dxa"/>
                    <w:left w:w="0" w:type="dxa"/>
                    <w:bottom w:w="0" w:type="dxa"/>
                    <w:right w:w="0" w:type="dxa"/>
                  </w:tcMar>
                  <w:vAlign w:val="center"/>
                </w:tcPr>
                <w:p w14:paraId="0D13B1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29" w:type="pct"/>
                  <w:tcBorders>
                    <w:tl2br w:val="nil"/>
                    <w:tr2bl w:val="nil"/>
                  </w:tcBorders>
                  <w:noWrap w:val="0"/>
                  <w:tcMar>
                    <w:top w:w="0" w:type="dxa"/>
                    <w:left w:w="0" w:type="dxa"/>
                    <w:bottom w:w="0" w:type="dxa"/>
                    <w:right w:w="0" w:type="dxa"/>
                  </w:tcMar>
                  <w:vAlign w:val="center"/>
                </w:tcPr>
                <w:p w14:paraId="56203C4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vMerge w:val="continue"/>
                  <w:tcBorders>
                    <w:tl2br w:val="nil"/>
                    <w:tr2bl w:val="nil"/>
                  </w:tcBorders>
                  <w:noWrap w:val="0"/>
                  <w:tcMar>
                    <w:top w:w="0" w:type="dxa"/>
                    <w:left w:w="0" w:type="dxa"/>
                    <w:bottom w:w="0" w:type="dxa"/>
                    <w:right w:w="0" w:type="dxa"/>
                  </w:tcMar>
                  <w:vAlign w:val="center"/>
                </w:tcPr>
                <w:p w14:paraId="140F1723">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vMerge w:val="continue"/>
                  <w:tcBorders>
                    <w:tl2br w:val="nil"/>
                    <w:tr2bl w:val="nil"/>
                  </w:tcBorders>
                  <w:noWrap w:val="0"/>
                  <w:tcMar>
                    <w:top w:w="0" w:type="dxa"/>
                    <w:left w:w="0" w:type="dxa"/>
                    <w:bottom w:w="0" w:type="dxa"/>
                    <w:right w:w="0" w:type="dxa"/>
                  </w:tcMar>
                  <w:vAlign w:val="center"/>
                </w:tcPr>
                <w:p w14:paraId="21DBF9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286" w:type="pct"/>
                  <w:tcBorders>
                    <w:tl2br w:val="nil"/>
                    <w:tr2bl w:val="nil"/>
                  </w:tcBorders>
                  <w:shd w:val="clear" w:color="auto" w:fill="auto"/>
                  <w:noWrap w:val="0"/>
                  <w:tcMar>
                    <w:top w:w="0" w:type="dxa"/>
                    <w:left w:w="0" w:type="dxa"/>
                    <w:bottom w:w="0" w:type="dxa"/>
                    <w:right w:w="0" w:type="dxa"/>
                  </w:tcMar>
                  <w:vAlign w:val="center"/>
                </w:tcPr>
                <w:p w14:paraId="2A3DDA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shd w:val="clear" w:color="auto" w:fill="auto"/>
                  <w:noWrap w:val="0"/>
                  <w:tcMar>
                    <w:top w:w="0" w:type="dxa"/>
                    <w:left w:w="0" w:type="dxa"/>
                    <w:bottom w:w="0" w:type="dxa"/>
                    <w:right w:w="0" w:type="dxa"/>
                  </w:tcMar>
                  <w:vAlign w:val="center"/>
                </w:tcPr>
                <w:p w14:paraId="4CBBB91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shd w:val="clear" w:color="auto" w:fill="auto"/>
                  <w:noWrap w:val="0"/>
                  <w:tcMar>
                    <w:top w:w="0" w:type="dxa"/>
                    <w:left w:w="0" w:type="dxa"/>
                    <w:bottom w:w="0" w:type="dxa"/>
                    <w:right w:w="0" w:type="dxa"/>
                  </w:tcMar>
                  <w:vAlign w:val="center"/>
                </w:tcPr>
                <w:p w14:paraId="6B09DB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32" w:type="pct"/>
                  <w:tcBorders>
                    <w:tl2br w:val="nil"/>
                    <w:tr2bl w:val="nil"/>
                  </w:tcBorders>
                  <w:shd w:val="clear" w:color="auto" w:fill="auto"/>
                  <w:noWrap w:val="0"/>
                  <w:tcMar>
                    <w:top w:w="0" w:type="dxa"/>
                    <w:left w:w="0" w:type="dxa"/>
                    <w:bottom w:w="0" w:type="dxa"/>
                    <w:right w:w="0" w:type="dxa"/>
                  </w:tcMar>
                  <w:vAlign w:val="center"/>
                </w:tcPr>
                <w:p w14:paraId="7D5CB0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77" w:type="pct"/>
                  <w:tcBorders>
                    <w:tl2br w:val="nil"/>
                    <w:tr2bl w:val="nil"/>
                  </w:tcBorders>
                  <w:shd w:val="clear" w:color="auto" w:fill="auto"/>
                  <w:noWrap w:val="0"/>
                  <w:tcMar>
                    <w:top w:w="0" w:type="dxa"/>
                    <w:left w:w="0" w:type="dxa"/>
                    <w:bottom w:w="0" w:type="dxa"/>
                    <w:right w:w="0" w:type="dxa"/>
                  </w:tcMar>
                  <w:vAlign w:val="center"/>
                </w:tcPr>
                <w:p w14:paraId="7A083DD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01AB56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736C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18BC6584">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5FF1D693">
                  <w:pPr>
                    <w:keepNext w:val="0"/>
                    <w:keepLines w:val="0"/>
                    <w:widowControl/>
                    <w:suppressLineNumbers w:val="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340" w:type="pct"/>
                  <w:tcBorders>
                    <w:tl2br w:val="nil"/>
                    <w:tr2bl w:val="nil"/>
                  </w:tcBorders>
                  <w:noWrap w:val="0"/>
                  <w:tcMar>
                    <w:top w:w="0" w:type="dxa"/>
                    <w:left w:w="0" w:type="dxa"/>
                    <w:bottom w:w="0" w:type="dxa"/>
                    <w:right w:w="0" w:type="dxa"/>
                  </w:tcMar>
                  <w:vAlign w:val="center"/>
                </w:tcPr>
                <w:p w14:paraId="02D5BC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0.036 </w:t>
                  </w:r>
                </w:p>
              </w:tc>
              <w:tc>
                <w:tcPr>
                  <w:tcW w:w="418" w:type="pct"/>
                  <w:tcBorders>
                    <w:tl2br w:val="nil"/>
                    <w:tr2bl w:val="nil"/>
                  </w:tcBorders>
                  <w:noWrap w:val="0"/>
                  <w:tcMar>
                    <w:top w:w="0" w:type="dxa"/>
                    <w:left w:w="0" w:type="dxa"/>
                    <w:bottom w:w="0" w:type="dxa"/>
                    <w:right w:w="0" w:type="dxa"/>
                  </w:tcMar>
                  <w:vAlign w:val="center"/>
                </w:tcPr>
                <w:p w14:paraId="01A969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 </w:t>
                  </w:r>
                </w:p>
              </w:tc>
              <w:tc>
                <w:tcPr>
                  <w:tcW w:w="429" w:type="pct"/>
                  <w:tcBorders>
                    <w:tl2br w:val="nil"/>
                    <w:tr2bl w:val="nil"/>
                  </w:tcBorders>
                  <w:noWrap w:val="0"/>
                  <w:tcMar>
                    <w:top w:w="0" w:type="dxa"/>
                    <w:left w:w="0" w:type="dxa"/>
                    <w:bottom w:w="0" w:type="dxa"/>
                    <w:right w:w="0" w:type="dxa"/>
                  </w:tcMar>
                  <w:vAlign w:val="center"/>
                </w:tcPr>
                <w:p w14:paraId="5E63AB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 </w:t>
                  </w:r>
                </w:p>
              </w:tc>
              <w:tc>
                <w:tcPr>
                  <w:tcW w:w="352" w:type="pct"/>
                  <w:vMerge w:val="continue"/>
                  <w:tcBorders>
                    <w:tl2br w:val="nil"/>
                    <w:tr2bl w:val="nil"/>
                  </w:tcBorders>
                  <w:noWrap w:val="0"/>
                  <w:tcMar>
                    <w:top w:w="0" w:type="dxa"/>
                    <w:left w:w="0" w:type="dxa"/>
                    <w:bottom w:w="0" w:type="dxa"/>
                    <w:right w:w="0" w:type="dxa"/>
                  </w:tcMar>
                  <w:vAlign w:val="center"/>
                </w:tcPr>
                <w:p w14:paraId="635F3588">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vMerge w:val="continue"/>
                  <w:tcBorders>
                    <w:tl2br w:val="nil"/>
                    <w:tr2bl w:val="nil"/>
                  </w:tcBorders>
                  <w:noWrap w:val="0"/>
                  <w:tcMar>
                    <w:top w:w="0" w:type="dxa"/>
                    <w:left w:w="0" w:type="dxa"/>
                    <w:bottom w:w="0" w:type="dxa"/>
                    <w:right w:w="0" w:type="dxa"/>
                  </w:tcMar>
                  <w:vAlign w:val="center"/>
                </w:tcPr>
                <w:p w14:paraId="5F6E1E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286" w:type="pct"/>
                  <w:tcBorders>
                    <w:tl2br w:val="nil"/>
                    <w:tr2bl w:val="nil"/>
                  </w:tcBorders>
                  <w:noWrap w:val="0"/>
                  <w:tcMar>
                    <w:top w:w="0" w:type="dxa"/>
                    <w:left w:w="0" w:type="dxa"/>
                    <w:bottom w:w="0" w:type="dxa"/>
                    <w:right w:w="0" w:type="dxa"/>
                  </w:tcMar>
                  <w:vAlign w:val="center"/>
                </w:tcPr>
                <w:p w14:paraId="24A13C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261" w:type="pct"/>
                  <w:tcBorders>
                    <w:tl2br w:val="nil"/>
                    <w:tr2bl w:val="nil"/>
                  </w:tcBorders>
                  <w:noWrap w:val="0"/>
                  <w:tcMar>
                    <w:top w:w="0" w:type="dxa"/>
                    <w:left w:w="0" w:type="dxa"/>
                    <w:bottom w:w="0" w:type="dxa"/>
                    <w:right w:w="0" w:type="dxa"/>
                  </w:tcMar>
                  <w:vAlign w:val="center"/>
                </w:tcPr>
                <w:p w14:paraId="31FB25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2FD7DE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0.036 </w:t>
                  </w:r>
                </w:p>
              </w:tc>
              <w:tc>
                <w:tcPr>
                  <w:tcW w:w="432" w:type="pct"/>
                  <w:tcBorders>
                    <w:tl2br w:val="nil"/>
                    <w:tr2bl w:val="nil"/>
                  </w:tcBorders>
                  <w:noWrap w:val="0"/>
                  <w:tcMar>
                    <w:top w:w="0" w:type="dxa"/>
                    <w:left w:w="0" w:type="dxa"/>
                    <w:bottom w:w="0" w:type="dxa"/>
                    <w:right w:w="0" w:type="dxa"/>
                  </w:tcMar>
                  <w:vAlign w:val="center"/>
                </w:tcPr>
                <w:p w14:paraId="6DDF135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 </w:t>
                  </w:r>
                </w:p>
              </w:tc>
              <w:tc>
                <w:tcPr>
                  <w:tcW w:w="477" w:type="pct"/>
                  <w:tcBorders>
                    <w:tl2br w:val="nil"/>
                    <w:tr2bl w:val="nil"/>
                  </w:tcBorders>
                  <w:noWrap w:val="0"/>
                  <w:tcMar>
                    <w:top w:w="0" w:type="dxa"/>
                    <w:left w:w="0" w:type="dxa"/>
                    <w:bottom w:w="0" w:type="dxa"/>
                    <w:right w:w="0" w:type="dxa"/>
                  </w:tcMar>
                  <w:vAlign w:val="center"/>
                </w:tcPr>
                <w:p w14:paraId="6ADF0E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 </w:t>
                  </w:r>
                </w:p>
              </w:tc>
              <w:tc>
                <w:tcPr>
                  <w:tcW w:w="342" w:type="pct"/>
                  <w:vMerge w:val="continue"/>
                  <w:tcBorders>
                    <w:tl2br w:val="nil"/>
                    <w:tr2bl w:val="nil"/>
                  </w:tcBorders>
                  <w:noWrap w:val="0"/>
                  <w:tcMar>
                    <w:top w:w="0" w:type="dxa"/>
                    <w:left w:w="0" w:type="dxa"/>
                    <w:bottom w:w="0" w:type="dxa"/>
                    <w:right w:w="0" w:type="dxa"/>
                  </w:tcMar>
                  <w:vAlign w:val="center"/>
                </w:tcPr>
                <w:p w14:paraId="179A1A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777F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A78F14F">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C62894E">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X</w:t>
                  </w:r>
                </w:p>
              </w:tc>
              <w:tc>
                <w:tcPr>
                  <w:tcW w:w="340" w:type="pct"/>
                  <w:tcBorders>
                    <w:tl2br w:val="nil"/>
                    <w:tr2bl w:val="nil"/>
                  </w:tcBorders>
                  <w:noWrap w:val="0"/>
                  <w:tcMar>
                    <w:top w:w="0" w:type="dxa"/>
                    <w:left w:w="0" w:type="dxa"/>
                    <w:bottom w:w="0" w:type="dxa"/>
                    <w:right w:w="0" w:type="dxa"/>
                  </w:tcMar>
                  <w:vAlign w:val="center"/>
                </w:tcPr>
                <w:p w14:paraId="42AB35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0.341 </w:t>
                  </w:r>
                </w:p>
              </w:tc>
              <w:tc>
                <w:tcPr>
                  <w:tcW w:w="418" w:type="pct"/>
                  <w:tcBorders>
                    <w:tl2br w:val="nil"/>
                    <w:tr2bl w:val="nil"/>
                  </w:tcBorders>
                  <w:noWrap w:val="0"/>
                  <w:tcMar>
                    <w:top w:w="0" w:type="dxa"/>
                    <w:left w:w="0" w:type="dxa"/>
                    <w:bottom w:w="0" w:type="dxa"/>
                    <w:right w:w="0" w:type="dxa"/>
                  </w:tcMar>
                  <w:vAlign w:val="center"/>
                </w:tcPr>
                <w:p w14:paraId="1BABF9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0.177 </w:t>
                  </w:r>
                </w:p>
              </w:tc>
              <w:tc>
                <w:tcPr>
                  <w:tcW w:w="429" w:type="pct"/>
                  <w:tcBorders>
                    <w:tl2br w:val="nil"/>
                    <w:tr2bl w:val="nil"/>
                  </w:tcBorders>
                  <w:noWrap w:val="0"/>
                  <w:tcMar>
                    <w:top w:w="0" w:type="dxa"/>
                    <w:left w:w="0" w:type="dxa"/>
                    <w:bottom w:w="0" w:type="dxa"/>
                    <w:right w:w="0" w:type="dxa"/>
                  </w:tcMar>
                  <w:vAlign w:val="center"/>
                </w:tcPr>
                <w:p w14:paraId="2EEC04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4.4 </w:t>
                  </w:r>
                </w:p>
              </w:tc>
              <w:tc>
                <w:tcPr>
                  <w:tcW w:w="352" w:type="pct"/>
                  <w:vMerge w:val="continue"/>
                  <w:tcBorders>
                    <w:tl2br w:val="nil"/>
                    <w:tr2bl w:val="nil"/>
                  </w:tcBorders>
                  <w:noWrap w:val="0"/>
                  <w:tcMar>
                    <w:top w:w="0" w:type="dxa"/>
                    <w:left w:w="0" w:type="dxa"/>
                    <w:bottom w:w="0" w:type="dxa"/>
                    <w:right w:w="0" w:type="dxa"/>
                  </w:tcMar>
                  <w:vAlign w:val="center"/>
                </w:tcPr>
                <w:p w14:paraId="7013FEC4">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vMerge w:val="continue"/>
                  <w:tcBorders>
                    <w:tl2br w:val="nil"/>
                    <w:tr2bl w:val="nil"/>
                  </w:tcBorders>
                  <w:noWrap w:val="0"/>
                  <w:tcMar>
                    <w:top w:w="0" w:type="dxa"/>
                    <w:left w:w="0" w:type="dxa"/>
                    <w:bottom w:w="0" w:type="dxa"/>
                    <w:right w:w="0" w:type="dxa"/>
                  </w:tcMar>
                  <w:vAlign w:val="center"/>
                </w:tcPr>
                <w:p w14:paraId="776D9B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286" w:type="pct"/>
                  <w:tcBorders>
                    <w:tl2br w:val="nil"/>
                    <w:tr2bl w:val="nil"/>
                  </w:tcBorders>
                  <w:noWrap w:val="0"/>
                  <w:tcMar>
                    <w:top w:w="0" w:type="dxa"/>
                    <w:left w:w="0" w:type="dxa"/>
                    <w:bottom w:w="0" w:type="dxa"/>
                    <w:right w:w="0" w:type="dxa"/>
                  </w:tcMar>
                  <w:vAlign w:val="center"/>
                </w:tcPr>
                <w:p w14:paraId="756C0C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261" w:type="pct"/>
                  <w:tcBorders>
                    <w:tl2br w:val="nil"/>
                    <w:tr2bl w:val="nil"/>
                  </w:tcBorders>
                  <w:noWrap w:val="0"/>
                  <w:tcMar>
                    <w:top w:w="0" w:type="dxa"/>
                    <w:left w:w="0" w:type="dxa"/>
                    <w:bottom w:w="0" w:type="dxa"/>
                    <w:right w:w="0" w:type="dxa"/>
                  </w:tcMar>
                  <w:vAlign w:val="center"/>
                </w:tcPr>
                <w:p w14:paraId="110EF1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3E6DC0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0.341 </w:t>
                  </w:r>
                </w:p>
              </w:tc>
              <w:tc>
                <w:tcPr>
                  <w:tcW w:w="432" w:type="pct"/>
                  <w:tcBorders>
                    <w:tl2br w:val="nil"/>
                    <w:tr2bl w:val="nil"/>
                  </w:tcBorders>
                  <w:noWrap w:val="0"/>
                  <w:tcMar>
                    <w:top w:w="0" w:type="dxa"/>
                    <w:left w:w="0" w:type="dxa"/>
                    <w:bottom w:w="0" w:type="dxa"/>
                    <w:right w:w="0" w:type="dxa"/>
                  </w:tcMar>
                  <w:vAlign w:val="center"/>
                </w:tcPr>
                <w:p w14:paraId="1EAF8E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0.177 </w:t>
                  </w:r>
                </w:p>
              </w:tc>
              <w:tc>
                <w:tcPr>
                  <w:tcW w:w="477" w:type="pct"/>
                  <w:tcBorders>
                    <w:tl2br w:val="nil"/>
                    <w:tr2bl w:val="nil"/>
                  </w:tcBorders>
                  <w:noWrap w:val="0"/>
                  <w:tcMar>
                    <w:top w:w="0" w:type="dxa"/>
                    <w:left w:w="0" w:type="dxa"/>
                    <w:bottom w:w="0" w:type="dxa"/>
                    <w:right w:w="0" w:type="dxa"/>
                  </w:tcMar>
                  <w:vAlign w:val="center"/>
                </w:tcPr>
                <w:p w14:paraId="0CD53B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4.4 </w:t>
                  </w:r>
                </w:p>
              </w:tc>
              <w:tc>
                <w:tcPr>
                  <w:tcW w:w="342" w:type="pct"/>
                  <w:vMerge w:val="continue"/>
                  <w:tcBorders>
                    <w:tl2br w:val="nil"/>
                    <w:tr2bl w:val="nil"/>
                  </w:tcBorders>
                  <w:noWrap w:val="0"/>
                  <w:tcMar>
                    <w:top w:w="0" w:type="dxa"/>
                    <w:left w:w="0" w:type="dxa"/>
                    <w:bottom w:w="0" w:type="dxa"/>
                    <w:right w:w="0" w:type="dxa"/>
                  </w:tcMar>
                  <w:vAlign w:val="center"/>
                </w:tcPr>
                <w:p w14:paraId="73A549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2A32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7F06BB1E">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noWrap w:val="0"/>
                  <w:tcMar>
                    <w:top w:w="0" w:type="dxa"/>
                    <w:left w:w="0" w:type="dxa"/>
                    <w:bottom w:w="0" w:type="dxa"/>
                    <w:right w:w="0" w:type="dxa"/>
                  </w:tcMar>
                  <w:vAlign w:val="center"/>
                </w:tcPr>
                <w:p w14:paraId="33AC6F5F">
                  <w:pPr>
                    <w:keepNext w:val="0"/>
                    <w:keepLines w:val="0"/>
                    <w:widowControl/>
                    <w:suppressLineNumbers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340" w:type="pct"/>
                  <w:tcBorders>
                    <w:tl2br w:val="nil"/>
                    <w:tr2bl w:val="nil"/>
                  </w:tcBorders>
                  <w:noWrap w:val="0"/>
                  <w:tcMar>
                    <w:top w:w="0" w:type="dxa"/>
                    <w:left w:w="0" w:type="dxa"/>
                    <w:bottom w:w="0" w:type="dxa"/>
                    <w:right w:w="0" w:type="dxa"/>
                  </w:tcMar>
                  <w:vAlign w:val="center"/>
                </w:tcPr>
                <w:p w14:paraId="444AC8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0.052 </w:t>
                  </w:r>
                </w:p>
              </w:tc>
              <w:tc>
                <w:tcPr>
                  <w:tcW w:w="418" w:type="pct"/>
                  <w:tcBorders>
                    <w:tl2br w:val="nil"/>
                    <w:tr2bl w:val="nil"/>
                  </w:tcBorders>
                  <w:noWrap w:val="0"/>
                  <w:tcMar>
                    <w:top w:w="0" w:type="dxa"/>
                    <w:left w:w="0" w:type="dxa"/>
                    <w:bottom w:w="0" w:type="dxa"/>
                    <w:right w:w="0" w:type="dxa"/>
                  </w:tcMar>
                  <w:vAlign w:val="center"/>
                </w:tcPr>
                <w:p w14:paraId="566900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0.027 </w:t>
                  </w:r>
                </w:p>
              </w:tc>
              <w:tc>
                <w:tcPr>
                  <w:tcW w:w="429" w:type="pct"/>
                  <w:tcBorders>
                    <w:tl2br w:val="nil"/>
                    <w:tr2bl w:val="nil"/>
                  </w:tcBorders>
                  <w:noWrap w:val="0"/>
                  <w:tcMar>
                    <w:top w:w="0" w:type="dxa"/>
                    <w:left w:w="0" w:type="dxa"/>
                    <w:bottom w:w="0" w:type="dxa"/>
                    <w:right w:w="0" w:type="dxa"/>
                  </w:tcMar>
                  <w:vAlign w:val="center"/>
                </w:tcPr>
                <w:p w14:paraId="70EBCC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 </w:t>
                  </w:r>
                </w:p>
              </w:tc>
              <w:tc>
                <w:tcPr>
                  <w:tcW w:w="352" w:type="pct"/>
                  <w:vMerge w:val="continue"/>
                  <w:tcBorders>
                    <w:tl2br w:val="nil"/>
                    <w:tr2bl w:val="nil"/>
                  </w:tcBorders>
                  <w:noWrap w:val="0"/>
                  <w:tcMar>
                    <w:top w:w="0" w:type="dxa"/>
                    <w:left w:w="0" w:type="dxa"/>
                    <w:bottom w:w="0" w:type="dxa"/>
                    <w:right w:w="0" w:type="dxa"/>
                  </w:tcMar>
                  <w:vAlign w:val="center"/>
                </w:tcPr>
                <w:p w14:paraId="3E0F9046">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vMerge w:val="continue"/>
                  <w:tcBorders>
                    <w:tl2br w:val="nil"/>
                    <w:tr2bl w:val="nil"/>
                  </w:tcBorders>
                  <w:noWrap w:val="0"/>
                  <w:tcMar>
                    <w:top w:w="0" w:type="dxa"/>
                    <w:left w:w="0" w:type="dxa"/>
                    <w:bottom w:w="0" w:type="dxa"/>
                    <w:right w:w="0" w:type="dxa"/>
                  </w:tcMar>
                  <w:vAlign w:val="center"/>
                </w:tcPr>
                <w:p w14:paraId="3ECD73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286" w:type="pct"/>
                  <w:tcBorders>
                    <w:tl2br w:val="nil"/>
                    <w:tr2bl w:val="nil"/>
                  </w:tcBorders>
                  <w:noWrap w:val="0"/>
                  <w:tcMar>
                    <w:top w:w="0" w:type="dxa"/>
                    <w:left w:w="0" w:type="dxa"/>
                    <w:bottom w:w="0" w:type="dxa"/>
                    <w:right w:w="0" w:type="dxa"/>
                  </w:tcMar>
                  <w:vAlign w:val="center"/>
                </w:tcPr>
                <w:p w14:paraId="58F3E0B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261" w:type="pct"/>
                  <w:tcBorders>
                    <w:tl2br w:val="nil"/>
                    <w:tr2bl w:val="nil"/>
                  </w:tcBorders>
                  <w:noWrap w:val="0"/>
                  <w:tcMar>
                    <w:top w:w="0" w:type="dxa"/>
                    <w:left w:w="0" w:type="dxa"/>
                    <w:bottom w:w="0" w:type="dxa"/>
                    <w:right w:w="0" w:type="dxa"/>
                  </w:tcMar>
                  <w:vAlign w:val="center"/>
                </w:tcPr>
                <w:p w14:paraId="14E3045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018998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0.052 </w:t>
                  </w:r>
                </w:p>
              </w:tc>
              <w:tc>
                <w:tcPr>
                  <w:tcW w:w="432" w:type="pct"/>
                  <w:tcBorders>
                    <w:tl2br w:val="nil"/>
                    <w:tr2bl w:val="nil"/>
                  </w:tcBorders>
                  <w:noWrap w:val="0"/>
                  <w:tcMar>
                    <w:top w:w="0" w:type="dxa"/>
                    <w:left w:w="0" w:type="dxa"/>
                    <w:bottom w:w="0" w:type="dxa"/>
                    <w:right w:w="0" w:type="dxa"/>
                  </w:tcMar>
                  <w:vAlign w:val="center"/>
                </w:tcPr>
                <w:p w14:paraId="254B41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0.027 </w:t>
                  </w:r>
                </w:p>
              </w:tc>
              <w:tc>
                <w:tcPr>
                  <w:tcW w:w="477" w:type="pct"/>
                  <w:tcBorders>
                    <w:tl2br w:val="nil"/>
                    <w:tr2bl w:val="nil"/>
                  </w:tcBorders>
                  <w:noWrap w:val="0"/>
                  <w:tcMar>
                    <w:top w:w="0" w:type="dxa"/>
                    <w:left w:w="0" w:type="dxa"/>
                    <w:bottom w:w="0" w:type="dxa"/>
                    <w:right w:w="0" w:type="dxa"/>
                  </w:tcMar>
                  <w:vAlign w:val="center"/>
                </w:tcPr>
                <w:p w14:paraId="10EC65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 </w:t>
                  </w:r>
                </w:p>
              </w:tc>
              <w:tc>
                <w:tcPr>
                  <w:tcW w:w="342" w:type="pct"/>
                  <w:vMerge w:val="continue"/>
                  <w:tcBorders>
                    <w:tl2br w:val="nil"/>
                    <w:tr2bl w:val="nil"/>
                  </w:tcBorders>
                  <w:noWrap w:val="0"/>
                  <w:tcMar>
                    <w:top w:w="0" w:type="dxa"/>
                    <w:left w:w="0" w:type="dxa"/>
                    <w:bottom w:w="0" w:type="dxa"/>
                    <w:right w:w="0" w:type="dxa"/>
                  </w:tcMar>
                  <w:vAlign w:val="center"/>
                </w:tcPr>
                <w:p w14:paraId="2A624F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1579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4" w:type="pct"/>
                  <w:vMerge w:val="continue"/>
                  <w:tcBorders>
                    <w:tl2br w:val="nil"/>
                    <w:tr2bl w:val="nil"/>
                  </w:tcBorders>
                  <w:noWrap w:val="0"/>
                  <w:tcMar>
                    <w:top w:w="0" w:type="dxa"/>
                    <w:left w:w="0" w:type="dxa"/>
                    <w:bottom w:w="0" w:type="dxa"/>
                    <w:right w:w="0" w:type="dxa"/>
                  </w:tcMar>
                  <w:vAlign w:val="center"/>
                </w:tcPr>
                <w:p w14:paraId="1473C5FA">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53FAD01D">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340" w:type="pct"/>
                  <w:tcBorders>
                    <w:tl2br w:val="nil"/>
                    <w:tr2bl w:val="nil"/>
                  </w:tcBorders>
                  <w:noWrap w:val="0"/>
                  <w:tcMar>
                    <w:top w:w="0" w:type="dxa"/>
                    <w:left w:w="0" w:type="dxa"/>
                    <w:bottom w:w="0" w:type="dxa"/>
                    <w:right w:w="0" w:type="dxa"/>
                  </w:tcMar>
                  <w:vAlign w:val="center"/>
                </w:tcPr>
                <w:p w14:paraId="2DBDCA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0.018 </w:t>
                  </w:r>
                </w:p>
              </w:tc>
              <w:tc>
                <w:tcPr>
                  <w:tcW w:w="418" w:type="pct"/>
                  <w:tcBorders>
                    <w:tl2br w:val="nil"/>
                    <w:tr2bl w:val="nil"/>
                  </w:tcBorders>
                  <w:noWrap w:val="0"/>
                  <w:tcMar>
                    <w:top w:w="0" w:type="dxa"/>
                    <w:left w:w="0" w:type="dxa"/>
                    <w:bottom w:w="0" w:type="dxa"/>
                    <w:right w:w="0" w:type="dxa"/>
                  </w:tcMar>
                  <w:vAlign w:val="center"/>
                </w:tcPr>
                <w:p w14:paraId="48E9FC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c>
                <w:tcPr>
                  <w:tcW w:w="429" w:type="pct"/>
                  <w:tcBorders>
                    <w:tl2br w:val="nil"/>
                    <w:tr2bl w:val="nil"/>
                  </w:tcBorders>
                  <w:noWrap w:val="0"/>
                  <w:tcMar>
                    <w:top w:w="0" w:type="dxa"/>
                    <w:left w:w="0" w:type="dxa"/>
                    <w:bottom w:w="0" w:type="dxa"/>
                    <w:right w:w="0" w:type="dxa"/>
                  </w:tcMar>
                  <w:vAlign w:val="center"/>
                </w:tcPr>
                <w:p w14:paraId="058182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vMerge w:val="restart"/>
                  <w:tcBorders>
                    <w:tl2br w:val="nil"/>
                    <w:tr2bl w:val="nil"/>
                  </w:tcBorders>
                  <w:noWrap w:val="0"/>
                  <w:tcMar>
                    <w:top w:w="0" w:type="dxa"/>
                    <w:left w:w="0" w:type="dxa"/>
                    <w:bottom w:w="0" w:type="dxa"/>
                    <w:right w:w="0" w:type="dxa"/>
                  </w:tcMar>
                  <w:vAlign w:val="center"/>
                </w:tcPr>
                <w:p w14:paraId="7E27EB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w:t>
                  </w:r>
                </w:p>
              </w:tc>
              <w:tc>
                <w:tcPr>
                  <w:tcW w:w="432" w:type="pct"/>
                  <w:tcBorders>
                    <w:tl2br w:val="nil"/>
                    <w:tr2bl w:val="nil"/>
                  </w:tcBorders>
                  <w:noWrap w:val="0"/>
                  <w:tcMar>
                    <w:top w:w="0" w:type="dxa"/>
                    <w:left w:w="0" w:type="dxa"/>
                    <w:bottom w:w="0" w:type="dxa"/>
                    <w:right w:w="0" w:type="dxa"/>
                  </w:tcMar>
                  <w:vAlign w:val="center"/>
                </w:tcPr>
                <w:p w14:paraId="40E210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426469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34B348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1E40AF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0.018 </w:t>
                  </w:r>
                </w:p>
              </w:tc>
              <w:tc>
                <w:tcPr>
                  <w:tcW w:w="432" w:type="pct"/>
                  <w:tcBorders>
                    <w:tl2br w:val="nil"/>
                    <w:tr2bl w:val="nil"/>
                  </w:tcBorders>
                  <w:noWrap w:val="0"/>
                  <w:tcMar>
                    <w:top w:w="0" w:type="dxa"/>
                    <w:left w:w="0" w:type="dxa"/>
                    <w:bottom w:w="0" w:type="dxa"/>
                    <w:right w:w="0" w:type="dxa"/>
                  </w:tcMar>
                  <w:vAlign w:val="center"/>
                </w:tcPr>
                <w:p w14:paraId="509D4A9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c>
                <w:tcPr>
                  <w:tcW w:w="477" w:type="pct"/>
                  <w:tcBorders>
                    <w:tl2br w:val="nil"/>
                    <w:tr2bl w:val="nil"/>
                  </w:tcBorders>
                  <w:noWrap w:val="0"/>
                  <w:tcMar>
                    <w:top w:w="0" w:type="dxa"/>
                    <w:left w:w="0" w:type="dxa"/>
                    <w:bottom w:w="0" w:type="dxa"/>
                    <w:right w:w="0" w:type="dxa"/>
                  </w:tcMar>
                  <w:vAlign w:val="center"/>
                </w:tcPr>
                <w:p w14:paraId="0C0A49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5A11921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068E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03844130">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9FA61D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苯系物</w:t>
                  </w:r>
                </w:p>
              </w:tc>
              <w:tc>
                <w:tcPr>
                  <w:tcW w:w="340" w:type="pct"/>
                  <w:tcBorders>
                    <w:tl2br w:val="nil"/>
                    <w:tr2bl w:val="nil"/>
                  </w:tcBorders>
                  <w:noWrap w:val="0"/>
                  <w:tcMar>
                    <w:top w:w="0" w:type="dxa"/>
                    <w:left w:w="0" w:type="dxa"/>
                    <w:bottom w:w="0" w:type="dxa"/>
                    <w:right w:w="0" w:type="dxa"/>
                  </w:tcMar>
                  <w:vAlign w:val="center"/>
                </w:tcPr>
                <w:p w14:paraId="759BE3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0.004 </w:t>
                  </w:r>
                </w:p>
              </w:tc>
              <w:tc>
                <w:tcPr>
                  <w:tcW w:w="418" w:type="pct"/>
                  <w:tcBorders>
                    <w:tl2br w:val="nil"/>
                    <w:tr2bl w:val="nil"/>
                  </w:tcBorders>
                  <w:noWrap w:val="0"/>
                  <w:tcMar>
                    <w:top w:w="0" w:type="dxa"/>
                    <w:left w:w="0" w:type="dxa"/>
                    <w:bottom w:w="0" w:type="dxa"/>
                    <w:right w:w="0" w:type="dxa"/>
                  </w:tcMar>
                  <w:vAlign w:val="center"/>
                </w:tcPr>
                <w:p w14:paraId="6CFE0C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0.002 </w:t>
                  </w:r>
                </w:p>
              </w:tc>
              <w:tc>
                <w:tcPr>
                  <w:tcW w:w="429" w:type="pct"/>
                  <w:tcBorders>
                    <w:tl2br w:val="nil"/>
                    <w:tr2bl w:val="nil"/>
                  </w:tcBorders>
                  <w:noWrap w:val="0"/>
                  <w:tcMar>
                    <w:top w:w="0" w:type="dxa"/>
                    <w:left w:w="0" w:type="dxa"/>
                    <w:bottom w:w="0" w:type="dxa"/>
                    <w:right w:w="0" w:type="dxa"/>
                  </w:tcMar>
                  <w:vAlign w:val="center"/>
                </w:tcPr>
                <w:p w14:paraId="0E6652D6">
                  <w:pPr>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352" w:type="pct"/>
                  <w:vMerge w:val="continue"/>
                  <w:tcBorders>
                    <w:tl2br w:val="nil"/>
                    <w:tr2bl w:val="nil"/>
                  </w:tcBorders>
                  <w:noWrap w:val="0"/>
                  <w:tcMar>
                    <w:top w:w="0" w:type="dxa"/>
                    <w:left w:w="0" w:type="dxa"/>
                    <w:bottom w:w="0" w:type="dxa"/>
                    <w:right w:w="0" w:type="dxa"/>
                  </w:tcMar>
                  <w:vAlign w:val="center"/>
                </w:tcPr>
                <w:p w14:paraId="6C0B852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tc>
              <w:tc>
                <w:tcPr>
                  <w:tcW w:w="432" w:type="pct"/>
                  <w:tcBorders>
                    <w:tl2br w:val="nil"/>
                    <w:tr2bl w:val="nil"/>
                  </w:tcBorders>
                  <w:noWrap w:val="0"/>
                  <w:tcMar>
                    <w:top w:w="0" w:type="dxa"/>
                    <w:left w:w="0" w:type="dxa"/>
                    <w:bottom w:w="0" w:type="dxa"/>
                    <w:right w:w="0" w:type="dxa"/>
                  </w:tcMar>
                  <w:vAlign w:val="center"/>
                </w:tcPr>
                <w:p w14:paraId="428B1D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4F8105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7427CD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2C20AD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0.004 </w:t>
                  </w:r>
                </w:p>
              </w:tc>
              <w:tc>
                <w:tcPr>
                  <w:tcW w:w="432" w:type="pct"/>
                  <w:tcBorders>
                    <w:tl2br w:val="nil"/>
                    <w:tr2bl w:val="nil"/>
                  </w:tcBorders>
                  <w:noWrap w:val="0"/>
                  <w:tcMar>
                    <w:top w:w="0" w:type="dxa"/>
                    <w:left w:w="0" w:type="dxa"/>
                    <w:bottom w:w="0" w:type="dxa"/>
                    <w:right w:w="0" w:type="dxa"/>
                  </w:tcMar>
                  <w:vAlign w:val="center"/>
                </w:tcPr>
                <w:p w14:paraId="6A0933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0.002 </w:t>
                  </w:r>
                </w:p>
              </w:tc>
              <w:tc>
                <w:tcPr>
                  <w:tcW w:w="477" w:type="pct"/>
                  <w:tcBorders>
                    <w:tl2br w:val="nil"/>
                    <w:tr2bl w:val="nil"/>
                  </w:tcBorders>
                  <w:noWrap w:val="0"/>
                  <w:tcMar>
                    <w:top w:w="0" w:type="dxa"/>
                    <w:left w:w="0" w:type="dxa"/>
                    <w:bottom w:w="0" w:type="dxa"/>
                    <w:right w:w="0" w:type="dxa"/>
                  </w:tcMar>
                  <w:vAlign w:val="center"/>
                </w:tcPr>
                <w:p w14:paraId="3215EDB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56B404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6699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532EEC65">
                  <w:pPr>
                    <w:pStyle w:val="109"/>
                    <w:bidi w:val="0"/>
                    <w:rPr>
                      <w:rFonts w:hint="default" w:ascii="Times New Roman" w:hAnsi="Times New Roman" w:cs="Times New Roman"/>
                      <w:bCs/>
                      <w:color w:val="000000" w:themeColor="text1"/>
                      <w:sz w:val="21"/>
                      <w:szCs w:val="21"/>
                      <w:highlight w:val="none"/>
                      <w14:textFill>
                        <w14:solidFill>
                          <w14:schemeClr w14:val="tx1"/>
                        </w14:solidFill>
                      </w14:textFill>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16166AE">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340" w:type="pct"/>
                  <w:tcBorders>
                    <w:tl2br w:val="nil"/>
                    <w:tr2bl w:val="nil"/>
                  </w:tcBorders>
                  <w:noWrap w:val="0"/>
                  <w:tcMar>
                    <w:top w:w="0" w:type="dxa"/>
                    <w:left w:w="0" w:type="dxa"/>
                    <w:bottom w:w="0" w:type="dxa"/>
                    <w:right w:w="0" w:type="dxa"/>
                  </w:tcMar>
                  <w:vAlign w:val="center"/>
                </w:tcPr>
                <w:p w14:paraId="01A3445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18" w:type="pct"/>
                  <w:tcBorders>
                    <w:tl2br w:val="nil"/>
                    <w:tr2bl w:val="nil"/>
                  </w:tcBorders>
                  <w:noWrap w:val="0"/>
                  <w:tcMar>
                    <w:top w:w="0" w:type="dxa"/>
                    <w:left w:w="0" w:type="dxa"/>
                    <w:bottom w:w="0" w:type="dxa"/>
                    <w:right w:w="0" w:type="dxa"/>
                  </w:tcMar>
                  <w:vAlign w:val="center"/>
                </w:tcPr>
                <w:p w14:paraId="070D95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29" w:type="pct"/>
                  <w:tcBorders>
                    <w:tl2br w:val="nil"/>
                    <w:tr2bl w:val="nil"/>
                  </w:tcBorders>
                  <w:noWrap w:val="0"/>
                  <w:tcMar>
                    <w:top w:w="0" w:type="dxa"/>
                    <w:left w:w="0" w:type="dxa"/>
                    <w:bottom w:w="0" w:type="dxa"/>
                    <w:right w:w="0" w:type="dxa"/>
                  </w:tcMar>
                  <w:vAlign w:val="center"/>
                </w:tcPr>
                <w:p w14:paraId="5B7758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vMerge w:val="continue"/>
                  <w:tcBorders>
                    <w:tl2br w:val="nil"/>
                    <w:tr2bl w:val="nil"/>
                  </w:tcBorders>
                  <w:noWrap w:val="0"/>
                  <w:tcMar>
                    <w:top w:w="0" w:type="dxa"/>
                    <w:left w:w="0" w:type="dxa"/>
                    <w:bottom w:w="0" w:type="dxa"/>
                    <w:right w:w="0" w:type="dxa"/>
                  </w:tcMar>
                  <w:vAlign w:val="center"/>
                </w:tcPr>
                <w:p w14:paraId="7EE1CA55">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432" w:type="pct"/>
                  <w:tcBorders>
                    <w:tl2br w:val="nil"/>
                    <w:tr2bl w:val="nil"/>
                  </w:tcBorders>
                  <w:noWrap w:val="0"/>
                  <w:tcMar>
                    <w:top w:w="0" w:type="dxa"/>
                    <w:left w:w="0" w:type="dxa"/>
                    <w:bottom w:w="0" w:type="dxa"/>
                    <w:right w:w="0" w:type="dxa"/>
                  </w:tcMar>
                  <w:vAlign w:val="center"/>
                </w:tcPr>
                <w:p w14:paraId="044925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45D1EB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005007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0FF321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32" w:type="pct"/>
                  <w:tcBorders>
                    <w:tl2br w:val="nil"/>
                    <w:tr2bl w:val="nil"/>
                  </w:tcBorders>
                  <w:noWrap w:val="0"/>
                  <w:tcMar>
                    <w:top w:w="0" w:type="dxa"/>
                    <w:left w:w="0" w:type="dxa"/>
                    <w:bottom w:w="0" w:type="dxa"/>
                    <w:right w:w="0" w:type="dxa"/>
                  </w:tcMar>
                  <w:vAlign w:val="center"/>
                </w:tcPr>
                <w:p w14:paraId="5E7D83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77" w:type="pct"/>
                  <w:tcBorders>
                    <w:tl2br w:val="nil"/>
                    <w:tr2bl w:val="nil"/>
                  </w:tcBorders>
                  <w:noWrap w:val="0"/>
                  <w:tcMar>
                    <w:top w:w="0" w:type="dxa"/>
                    <w:left w:w="0" w:type="dxa"/>
                    <w:bottom w:w="0" w:type="dxa"/>
                    <w:right w:w="0" w:type="dxa"/>
                  </w:tcMar>
                  <w:vAlign w:val="center"/>
                </w:tcPr>
                <w:p w14:paraId="7999AC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51E35F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5D5F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6B4912A9">
                  <w:pPr>
                    <w:pStyle w:val="109"/>
                    <w:bidi w:val="0"/>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脱脂工序</w:t>
                  </w:r>
                </w:p>
              </w:tc>
              <w:tc>
                <w:tcPr>
                  <w:tcW w:w="394" w:type="pct"/>
                  <w:tcBorders>
                    <w:tl2br w:val="nil"/>
                    <w:tr2bl w:val="nil"/>
                  </w:tcBorders>
                  <w:shd w:val="clear" w:color="auto" w:fill="auto"/>
                  <w:noWrap w:val="0"/>
                  <w:tcMar>
                    <w:top w:w="0" w:type="dxa"/>
                    <w:left w:w="0" w:type="dxa"/>
                    <w:bottom w:w="0" w:type="dxa"/>
                    <w:right w:w="0" w:type="dxa"/>
                  </w:tcMar>
                  <w:vAlign w:val="center"/>
                </w:tcPr>
                <w:p w14:paraId="5BA63305">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氟化物</w:t>
                  </w:r>
                </w:p>
              </w:tc>
              <w:tc>
                <w:tcPr>
                  <w:tcW w:w="340" w:type="pct"/>
                  <w:tcBorders>
                    <w:tl2br w:val="nil"/>
                    <w:tr2bl w:val="nil"/>
                  </w:tcBorders>
                  <w:noWrap w:val="0"/>
                  <w:tcMar>
                    <w:top w:w="0" w:type="dxa"/>
                    <w:left w:w="0" w:type="dxa"/>
                    <w:bottom w:w="0" w:type="dxa"/>
                    <w:right w:w="0" w:type="dxa"/>
                  </w:tcMar>
                  <w:vAlign w:val="center"/>
                </w:tcPr>
                <w:p w14:paraId="4F23ED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18" w:type="pct"/>
                  <w:tcBorders>
                    <w:tl2br w:val="nil"/>
                    <w:tr2bl w:val="nil"/>
                  </w:tcBorders>
                  <w:noWrap w:val="0"/>
                  <w:tcMar>
                    <w:top w:w="0" w:type="dxa"/>
                    <w:left w:w="0" w:type="dxa"/>
                    <w:bottom w:w="0" w:type="dxa"/>
                    <w:right w:w="0" w:type="dxa"/>
                  </w:tcMar>
                  <w:vAlign w:val="center"/>
                </w:tcPr>
                <w:p w14:paraId="1F89A7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29" w:type="pct"/>
                  <w:tcBorders>
                    <w:tl2br w:val="nil"/>
                    <w:tr2bl w:val="nil"/>
                  </w:tcBorders>
                  <w:noWrap w:val="0"/>
                  <w:tcMar>
                    <w:top w:w="0" w:type="dxa"/>
                    <w:left w:w="0" w:type="dxa"/>
                    <w:bottom w:w="0" w:type="dxa"/>
                    <w:right w:w="0" w:type="dxa"/>
                  </w:tcMar>
                  <w:vAlign w:val="center"/>
                </w:tcPr>
                <w:p w14:paraId="6ACDB1B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tcBorders>
                    <w:tl2br w:val="nil"/>
                    <w:tr2bl w:val="nil"/>
                  </w:tcBorders>
                  <w:noWrap w:val="0"/>
                  <w:tcMar>
                    <w:top w:w="0" w:type="dxa"/>
                    <w:left w:w="0" w:type="dxa"/>
                    <w:bottom w:w="0" w:type="dxa"/>
                    <w:right w:w="0" w:type="dxa"/>
                  </w:tcMar>
                  <w:vAlign w:val="center"/>
                </w:tcPr>
                <w:p w14:paraId="64BBC9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无组织</w:t>
                  </w:r>
                </w:p>
              </w:tc>
              <w:tc>
                <w:tcPr>
                  <w:tcW w:w="432" w:type="pct"/>
                  <w:tcBorders>
                    <w:tl2br w:val="nil"/>
                    <w:tr2bl w:val="nil"/>
                  </w:tcBorders>
                  <w:noWrap w:val="0"/>
                  <w:tcMar>
                    <w:top w:w="0" w:type="dxa"/>
                    <w:left w:w="0" w:type="dxa"/>
                    <w:bottom w:w="0" w:type="dxa"/>
                    <w:right w:w="0" w:type="dxa"/>
                  </w:tcMar>
                  <w:vAlign w:val="center"/>
                </w:tcPr>
                <w:p w14:paraId="28102A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10613C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14B8B9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144526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32" w:type="pct"/>
                  <w:tcBorders>
                    <w:tl2br w:val="nil"/>
                    <w:tr2bl w:val="nil"/>
                  </w:tcBorders>
                  <w:noWrap w:val="0"/>
                  <w:tcMar>
                    <w:top w:w="0" w:type="dxa"/>
                    <w:left w:w="0" w:type="dxa"/>
                    <w:bottom w:w="0" w:type="dxa"/>
                    <w:right w:w="0" w:type="dxa"/>
                  </w:tcMar>
                  <w:vAlign w:val="center"/>
                </w:tcPr>
                <w:p w14:paraId="3DFB77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77" w:type="pct"/>
                  <w:tcBorders>
                    <w:tl2br w:val="nil"/>
                    <w:tr2bl w:val="nil"/>
                  </w:tcBorders>
                  <w:noWrap w:val="0"/>
                  <w:tcMar>
                    <w:top w:w="0" w:type="dxa"/>
                    <w:left w:w="0" w:type="dxa"/>
                    <w:bottom w:w="0" w:type="dxa"/>
                    <w:right w:w="0" w:type="dxa"/>
                  </w:tcMar>
                  <w:vAlign w:val="center"/>
                </w:tcPr>
                <w:p w14:paraId="4542DB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tcBorders>
                    <w:tl2br w:val="nil"/>
                    <w:tr2bl w:val="nil"/>
                  </w:tcBorders>
                  <w:noWrap w:val="0"/>
                  <w:tcMar>
                    <w:top w:w="0" w:type="dxa"/>
                    <w:left w:w="0" w:type="dxa"/>
                    <w:bottom w:w="0" w:type="dxa"/>
                    <w:right w:w="0" w:type="dxa"/>
                  </w:tcMar>
                  <w:vAlign w:val="center"/>
                </w:tcPr>
                <w:p w14:paraId="0B4A09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1928</w:t>
                  </w:r>
                </w:p>
              </w:tc>
            </w:tr>
            <w:tr w14:paraId="7CAA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3A8B00E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厨房油烟废气</w:t>
                  </w:r>
                  <w:r>
                    <w:rPr>
                      <w:rFonts w:hint="eastAsia"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w:t>
                  </w:r>
                  <w:r>
                    <w:rPr>
                      <w:rFonts w:hint="eastAsia" w:cs="Times New Roman"/>
                      <w:snapToGrid/>
                      <w:color w:val="000000" w:themeColor="text1"/>
                      <w:kern w:val="2"/>
                      <w:sz w:val="21"/>
                      <w:szCs w:val="21"/>
                      <w:highlight w:val="none"/>
                      <w:lang w:val="en-US" w:eastAsia="zh-CN"/>
                      <w14:textFill>
                        <w14:solidFill>
                          <w14:schemeClr w14:val="tx1"/>
                        </w14:solidFill>
                      </w14:textFill>
                    </w:rPr>
                    <w:t>DA003</w:t>
                  </w:r>
                  <w:r>
                    <w:rPr>
                      <w:rFonts w:hint="eastAsia"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w:t>
                  </w:r>
                </w:p>
              </w:tc>
              <w:tc>
                <w:tcPr>
                  <w:tcW w:w="394" w:type="pct"/>
                  <w:vMerge w:val="restart"/>
                  <w:tcBorders>
                    <w:tl2br w:val="nil"/>
                    <w:tr2bl w:val="nil"/>
                  </w:tcBorders>
                  <w:noWrap w:val="0"/>
                  <w:tcMar>
                    <w:top w:w="0" w:type="dxa"/>
                    <w:left w:w="0" w:type="dxa"/>
                    <w:bottom w:w="0" w:type="dxa"/>
                    <w:right w:w="0" w:type="dxa"/>
                  </w:tcMar>
                  <w:vAlign w:val="center"/>
                </w:tcPr>
                <w:p w14:paraId="27FB74AE">
                  <w:pPr>
                    <w:keepNext w:val="0"/>
                    <w:keepLines w:val="0"/>
                    <w:widowControl/>
                    <w:suppressLineNumbers w:val="0"/>
                    <w:jc w:val="center"/>
                    <w:textAlignment w:val="cente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油烟</w:t>
                  </w:r>
                </w:p>
              </w:tc>
              <w:tc>
                <w:tcPr>
                  <w:tcW w:w="340" w:type="pct"/>
                  <w:tcBorders>
                    <w:tl2br w:val="nil"/>
                    <w:tr2bl w:val="nil"/>
                  </w:tcBorders>
                  <w:noWrap w:val="0"/>
                  <w:tcMar>
                    <w:top w:w="0" w:type="dxa"/>
                    <w:left w:w="0" w:type="dxa"/>
                    <w:bottom w:w="0" w:type="dxa"/>
                    <w:right w:w="0" w:type="dxa"/>
                  </w:tcMar>
                  <w:vAlign w:val="center"/>
                </w:tcPr>
                <w:p w14:paraId="1B22D272">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0.028 </w:t>
                  </w:r>
                </w:p>
              </w:tc>
              <w:tc>
                <w:tcPr>
                  <w:tcW w:w="418" w:type="pct"/>
                  <w:tcBorders>
                    <w:tl2br w:val="nil"/>
                    <w:tr2bl w:val="nil"/>
                  </w:tcBorders>
                  <w:noWrap w:val="0"/>
                  <w:tcMar>
                    <w:top w:w="0" w:type="dxa"/>
                    <w:left w:w="0" w:type="dxa"/>
                    <w:bottom w:w="0" w:type="dxa"/>
                    <w:right w:w="0" w:type="dxa"/>
                  </w:tcMar>
                  <w:vAlign w:val="center"/>
                </w:tcPr>
                <w:p w14:paraId="492E75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0.029 </w:t>
                  </w:r>
                </w:p>
              </w:tc>
              <w:tc>
                <w:tcPr>
                  <w:tcW w:w="429" w:type="pct"/>
                  <w:tcBorders>
                    <w:tl2br w:val="nil"/>
                    <w:tr2bl w:val="nil"/>
                  </w:tcBorders>
                  <w:noWrap w:val="0"/>
                  <w:tcMar>
                    <w:top w:w="0" w:type="dxa"/>
                    <w:left w:w="0" w:type="dxa"/>
                    <w:bottom w:w="0" w:type="dxa"/>
                    <w:right w:w="0" w:type="dxa"/>
                  </w:tcMar>
                  <w:vAlign w:val="center"/>
                </w:tcPr>
                <w:p w14:paraId="180922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w:t>
                  </w:r>
                </w:p>
              </w:tc>
              <w:tc>
                <w:tcPr>
                  <w:tcW w:w="352" w:type="pct"/>
                  <w:tcBorders>
                    <w:tl2br w:val="nil"/>
                    <w:tr2bl w:val="nil"/>
                  </w:tcBorders>
                  <w:noWrap w:val="0"/>
                  <w:tcMar>
                    <w:top w:w="0" w:type="dxa"/>
                    <w:left w:w="0" w:type="dxa"/>
                    <w:bottom w:w="0" w:type="dxa"/>
                    <w:right w:w="0" w:type="dxa"/>
                  </w:tcMar>
                  <w:vAlign w:val="center"/>
                </w:tcPr>
                <w:p w14:paraId="6768FA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有组织</w:t>
                  </w:r>
                </w:p>
              </w:tc>
              <w:tc>
                <w:tcPr>
                  <w:tcW w:w="432" w:type="pct"/>
                  <w:tcBorders>
                    <w:tl2br w:val="nil"/>
                    <w:tr2bl w:val="nil"/>
                  </w:tcBorders>
                  <w:noWrap w:val="0"/>
                  <w:tcMar>
                    <w:top w:w="0" w:type="dxa"/>
                    <w:left w:w="0" w:type="dxa"/>
                    <w:bottom w:w="0" w:type="dxa"/>
                    <w:right w:w="0" w:type="dxa"/>
                  </w:tcMar>
                  <w:vAlign w:val="center"/>
                </w:tcPr>
                <w:p w14:paraId="2F2D4D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6000</w:t>
                  </w:r>
                </w:p>
              </w:tc>
              <w:tc>
                <w:tcPr>
                  <w:tcW w:w="286" w:type="pct"/>
                  <w:tcBorders>
                    <w:tl2br w:val="nil"/>
                    <w:tr2bl w:val="nil"/>
                  </w:tcBorders>
                  <w:noWrap w:val="0"/>
                  <w:tcMar>
                    <w:top w:w="0" w:type="dxa"/>
                    <w:left w:w="0" w:type="dxa"/>
                    <w:bottom w:w="0" w:type="dxa"/>
                    <w:right w:w="0" w:type="dxa"/>
                  </w:tcMar>
                  <w:vAlign w:val="center"/>
                </w:tcPr>
                <w:p w14:paraId="20C5F3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p>
              </w:tc>
              <w:tc>
                <w:tcPr>
                  <w:tcW w:w="261" w:type="pct"/>
                  <w:tcBorders>
                    <w:tl2br w:val="nil"/>
                    <w:tr2bl w:val="nil"/>
                  </w:tcBorders>
                  <w:noWrap w:val="0"/>
                  <w:tcMar>
                    <w:top w:w="0" w:type="dxa"/>
                    <w:left w:w="0" w:type="dxa"/>
                    <w:bottom w:w="0" w:type="dxa"/>
                    <w:right w:w="0" w:type="dxa"/>
                  </w:tcMar>
                  <w:vAlign w:val="center"/>
                </w:tcPr>
                <w:p w14:paraId="3D513B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75%</w:t>
                  </w:r>
                </w:p>
              </w:tc>
              <w:tc>
                <w:tcPr>
                  <w:tcW w:w="340" w:type="pct"/>
                  <w:tcBorders>
                    <w:tl2br w:val="nil"/>
                    <w:tr2bl w:val="nil"/>
                  </w:tcBorders>
                  <w:noWrap w:val="0"/>
                  <w:tcMar>
                    <w:top w:w="0" w:type="dxa"/>
                    <w:left w:w="0" w:type="dxa"/>
                    <w:bottom w:w="0" w:type="dxa"/>
                    <w:right w:w="0" w:type="dxa"/>
                  </w:tcMar>
                  <w:vAlign w:val="center"/>
                </w:tcPr>
                <w:p w14:paraId="026BC8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c>
                <w:tcPr>
                  <w:tcW w:w="432" w:type="pct"/>
                  <w:tcBorders>
                    <w:tl2br w:val="nil"/>
                    <w:tr2bl w:val="nil"/>
                  </w:tcBorders>
                  <w:noWrap w:val="0"/>
                  <w:tcMar>
                    <w:top w:w="0" w:type="dxa"/>
                    <w:left w:w="0" w:type="dxa"/>
                    <w:bottom w:w="0" w:type="dxa"/>
                    <w:right w:w="0" w:type="dxa"/>
                  </w:tcMar>
                  <w:vAlign w:val="center"/>
                </w:tcPr>
                <w:p w14:paraId="69A094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c>
                <w:tcPr>
                  <w:tcW w:w="477" w:type="pct"/>
                  <w:tcBorders>
                    <w:tl2br w:val="nil"/>
                    <w:tr2bl w:val="nil"/>
                  </w:tcBorders>
                  <w:noWrap w:val="0"/>
                  <w:tcMar>
                    <w:top w:w="0" w:type="dxa"/>
                    <w:left w:w="0" w:type="dxa"/>
                    <w:bottom w:w="0" w:type="dxa"/>
                    <w:right w:w="0" w:type="dxa"/>
                  </w:tcMar>
                  <w:vAlign w:val="center"/>
                </w:tcPr>
                <w:p w14:paraId="4E86D7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 </w:t>
                  </w:r>
                </w:p>
              </w:tc>
              <w:tc>
                <w:tcPr>
                  <w:tcW w:w="342" w:type="pct"/>
                  <w:vMerge w:val="restart"/>
                  <w:tcBorders>
                    <w:tl2br w:val="nil"/>
                    <w:tr2bl w:val="nil"/>
                  </w:tcBorders>
                  <w:noWrap w:val="0"/>
                  <w:tcMar>
                    <w:top w:w="0" w:type="dxa"/>
                    <w:left w:w="0" w:type="dxa"/>
                    <w:bottom w:w="0" w:type="dxa"/>
                    <w:right w:w="0" w:type="dxa"/>
                  </w:tcMar>
                  <w:vAlign w:val="center"/>
                </w:tcPr>
                <w:p w14:paraId="621DB160">
                  <w:pPr>
                    <w:widowControl w:val="0"/>
                    <w:kinsoku/>
                    <w:autoSpaceDE/>
                    <w:autoSpaceDN/>
                    <w:adjustRightInd w:val="0"/>
                    <w:snapToGrid w:val="0"/>
                    <w:spacing w:line="240" w:lineRule="auto"/>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964</w:t>
                  </w:r>
                </w:p>
              </w:tc>
            </w:tr>
            <w:tr w14:paraId="2001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2B5E14A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394" w:type="pct"/>
                  <w:vMerge w:val="continue"/>
                  <w:tcBorders>
                    <w:tl2br w:val="nil"/>
                    <w:tr2bl w:val="nil"/>
                  </w:tcBorders>
                  <w:noWrap w:val="0"/>
                  <w:tcMar>
                    <w:top w:w="0" w:type="dxa"/>
                    <w:left w:w="0" w:type="dxa"/>
                    <w:bottom w:w="0" w:type="dxa"/>
                    <w:right w:w="0" w:type="dxa"/>
                  </w:tcMar>
                  <w:vAlign w:val="center"/>
                </w:tcPr>
                <w:p w14:paraId="02EDE441">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340" w:type="pct"/>
                  <w:tcBorders>
                    <w:tl2br w:val="nil"/>
                    <w:tr2bl w:val="nil"/>
                  </w:tcBorders>
                  <w:noWrap w:val="0"/>
                  <w:tcMar>
                    <w:top w:w="0" w:type="dxa"/>
                    <w:left w:w="0" w:type="dxa"/>
                    <w:bottom w:w="0" w:type="dxa"/>
                    <w:right w:w="0" w:type="dxa"/>
                  </w:tcMar>
                  <w:vAlign w:val="center"/>
                </w:tcPr>
                <w:p w14:paraId="4DE8B3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0.012 </w:t>
                  </w:r>
                </w:p>
              </w:tc>
              <w:tc>
                <w:tcPr>
                  <w:tcW w:w="418" w:type="pct"/>
                  <w:tcBorders>
                    <w:tl2br w:val="nil"/>
                    <w:tr2bl w:val="nil"/>
                  </w:tcBorders>
                  <w:noWrap w:val="0"/>
                  <w:tcMar>
                    <w:top w:w="0" w:type="dxa"/>
                    <w:left w:w="0" w:type="dxa"/>
                    <w:bottom w:w="0" w:type="dxa"/>
                    <w:right w:w="0" w:type="dxa"/>
                  </w:tcMar>
                  <w:vAlign w:val="center"/>
                </w:tcPr>
                <w:p w14:paraId="55FF0E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0.013 </w:t>
                  </w:r>
                </w:p>
              </w:tc>
              <w:tc>
                <w:tcPr>
                  <w:tcW w:w="429" w:type="pct"/>
                  <w:tcBorders>
                    <w:tl2br w:val="nil"/>
                    <w:tr2bl w:val="nil"/>
                  </w:tcBorders>
                  <w:noWrap w:val="0"/>
                  <w:tcMar>
                    <w:top w:w="0" w:type="dxa"/>
                    <w:left w:w="0" w:type="dxa"/>
                    <w:bottom w:w="0" w:type="dxa"/>
                    <w:right w:w="0" w:type="dxa"/>
                  </w:tcMar>
                  <w:vAlign w:val="center"/>
                </w:tcPr>
                <w:p w14:paraId="56DAAA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52" w:type="pct"/>
                  <w:tcBorders>
                    <w:tl2br w:val="nil"/>
                    <w:tr2bl w:val="nil"/>
                  </w:tcBorders>
                  <w:noWrap w:val="0"/>
                  <w:tcMar>
                    <w:top w:w="0" w:type="dxa"/>
                    <w:left w:w="0" w:type="dxa"/>
                    <w:bottom w:w="0" w:type="dxa"/>
                    <w:right w:w="0" w:type="dxa"/>
                  </w:tcMar>
                  <w:vAlign w:val="center"/>
                </w:tcPr>
                <w:p w14:paraId="5DA40486">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无组织</w:t>
                  </w:r>
                </w:p>
              </w:tc>
              <w:tc>
                <w:tcPr>
                  <w:tcW w:w="432" w:type="pct"/>
                  <w:tcBorders>
                    <w:tl2br w:val="nil"/>
                    <w:tr2bl w:val="nil"/>
                  </w:tcBorders>
                  <w:noWrap w:val="0"/>
                  <w:tcMar>
                    <w:top w:w="0" w:type="dxa"/>
                    <w:left w:w="0" w:type="dxa"/>
                    <w:bottom w:w="0" w:type="dxa"/>
                    <w:right w:w="0" w:type="dxa"/>
                  </w:tcMar>
                  <w:vAlign w:val="center"/>
                </w:tcPr>
                <w:p w14:paraId="75B22B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86" w:type="pct"/>
                  <w:tcBorders>
                    <w:tl2br w:val="nil"/>
                    <w:tr2bl w:val="nil"/>
                  </w:tcBorders>
                  <w:noWrap w:val="0"/>
                  <w:tcMar>
                    <w:top w:w="0" w:type="dxa"/>
                    <w:left w:w="0" w:type="dxa"/>
                    <w:bottom w:w="0" w:type="dxa"/>
                    <w:right w:w="0" w:type="dxa"/>
                  </w:tcMar>
                  <w:vAlign w:val="center"/>
                </w:tcPr>
                <w:p w14:paraId="7D3469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261" w:type="pct"/>
                  <w:tcBorders>
                    <w:tl2br w:val="nil"/>
                    <w:tr2bl w:val="nil"/>
                  </w:tcBorders>
                  <w:noWrap w:val="0"/>
                  <w:tcMar>
                    <w:top w:w="0" w:type="dxa"/>
                    <w:left w:w="0" w:type="dxa"/>
                    <w:bottom w:w="0" w:type="dxa"/>
                    <w:right w:w="0" w:type="dxa"/>
                  </w:tcMar>
                  <w:vAlign w:val="center"/>
                </w:tcPr>
                <w:p w14:paraId="074176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340" w:type="pct"/>
                  <w:tcBorders>
                    <w:tl2br w:val="nil"/>
                    <w:tr2bl w:val="nil"/>
                  </w:tcBorders>
                  <w:noWrap w:val="0"/>
                  <w:tcMar>
                    <w:top w:w="0" w:type="dxa"/>
                    <w:left w:w="0" w:type="dxa"/>
                    <w:bottom w:w="0" w:type="dxa"/>
                    <w:right w:w="0" w:type="dxa"/>
                  </w:tcMar>
                  <w:vAlign w:val="center"/>
                </w:tcPr>
                <w:p w14:paraId="7440A1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0.012 </w:t>
                  </w:r>
                </w:p>
              </w:tc>
              <w:tc>
                <w:tcPr>
                  <w:tcW w:w="432" w:type="pct"/>
                  <w:tcBorders>
                    <w:tl2br w:val="nil"/>
                    <w:tr2bl w:val="nil"/>
                  </w:tcBorders>
                  <w:noWrap w:val="0"/>
                  <w:tcMar>
                    <w:top w:w="0" w:type="dxa"/>
                    <w:left w:w="0" w:type="dxa"/>
                    <w:bottom w:w="0" w:type="dxa"/>
                    <w:right w:w="0" w:type="dxa"/>
                  </w:tcMar>
                  <w:vAlign w:val="center"/>
                </w:tcPr>
                <w:p w14:paraId="7B759D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0.013 </w:t>
                  </w:r>
                </w:p>
              </w:tc>
              <w:tc>
                <w:tcPr>
                  <w:tcW w:w="477" w:type="pct"/>
                  <w:tcBorders>
                    <w:tl2br w:val="nil"/>
                    <w:tr2bl w:val="nil"/>
                  </w:tcBorders>
                  <w:noWrap w:val="0"/>
                  <w:tcMar>
                    <w:top w:w="0" w:type="dxa"/>
                    <w:left w:w="0" w:type="dxa"/>
                    <w:bottom w:w="0" w:type="dxa"/>
                    <w:right w:w="0" w:type="dxa"/>
                  </w:tcMar>
                  <w:vAlign w:val="center"/>
                </w:tcPr>
                <w:p w14:paraId="3C09DD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342" w:type="pct"/>
                  <w:vMerge w:val="continue"/>
                  <w:tcBorders>
                    <w:tl2br w:val="nil"/>
                    <w:tr2bl w:val="nil"/>
                  </w:tcBorders>
                  <w:noWrap w:val="0"/>
                  <w:tcMar>
                    <w:top w:w="0" w:type="dxa"/>
                    <w:left w:w="0" w:type="dxa"/>
                    <w:bottom w:w="0" w:type="dxa"/>
                    <w:right w:w="0" w:type="dxa"/>
                  </w:tcMar>
                  <w:vAlign w:val="center"/>
                </w:tcPr>
                <w:p w14:paraId="0328D606">
                  <w:pPr>
                    <w:widowControl w:val="0"/>
                    <w:kinsoku/>
                    <w:autoSpaceDE/>
                    <w:autoSpaceDN/>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bl>
          <w:p w14:paraId="6AFCA1D6">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pPr>
          </w:p>
          <w:p w14:paraId="54A8FB33">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b/>
                <w:color w:val="000000" w:themeColor="text1"/>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表4-3</w:t>
            </w:r>
            <w:r>
              <w:rPr>
                <w:rFonts w:hint="eastAsia" w:ascii="Times New Roman" w:eastAsia="宋体" w:cs="Times New Roman"/>
                <w:b/>
                <w:bCs/>
                <w:color w:val="000000" w:themeColor="text1"/>
                <w:kern w:val="2"/>
                <w:sz w:val="21"/>
                <w:szCs w:val="21"/>
                <w:lang w:val="en-US" w:eastAsia="zh-CN" w:bidi="ar-SA"/>
                <w14:textFill>
                  <w14:solidFill>
                    <w14:schemeClr w14:val="tx1"/>
                  </w14:solidFill>
                </w14:textFill>
              </w:rPr>
              <w:t xml:space="preserve">  </w:t>
            </w:r>
            <w:r>
              <w:rPr>
                <w:b/>
                <w:color w:val="000000" w:themeColor="text1"/>
                <w:sz w:val="21"/>
                <w:szCs w:val="21"/>
                <w:lang w:bidi="ar"/>
                <w14:textFill>
                  <w14:solidFill>
                    <w14:schemeClr w14:val="tx1"/>
                  </w14:solidFill>
                </w14:textFill>
              </w:rPr>
              <w:t>大气污染物有组织排放量核算表</w:t>
            </w:r>
          </w:p>
          <w:tbl>
            <w:tblPr>
              <w:tblStyle w:val="44"/>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01"/>
              <w:gridCol w:w="2109"/>
              <w:gridCol w:w="2271"/>
              <w:gridCol w:w="2127"/>
              <w:gridCol w:w="2106"/>
              <w:gridCol w:w="2129"/>
            </w:tblGrid>
            <w:tr w14:paraId="3C878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5C8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序号</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E97C8">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排放口编号</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9B44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污染物</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3B6A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排放速率</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024FE">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排放浓度</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8734">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年排放量（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r>
            <w:tr w14:paraId="647F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CD8AF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一般排放口</w:t>
                  </w:r>
                </w:p>
              </w:tc>
            </w:tr>
            <w:tr w14:paraId="1A3FF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D0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10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排气筒</w:t>
                  </w:r>
                  <w:r>
                    <w:rPr>
                      <w:rFonts w:hint="eastAsia" w:cs="Times New Roman"/>
                      <w:i w:val="0"/>
                      <w:iCs w:val="0"/>
                      <w:color w:val="000000" w:themeColor="text1"/>
                      <w:kern w:val="0"/>
                      <w:sz w:val="21"/>
                      <w:szCs w:val="21"/>
                      <w:u w:val="none"/>
                      <w:lang w:val="en-US" w:eastAsia="zh-CN" w:bidi="ar"/>
                      <w14:textFill>
                        <w14:solidFill>
                          <w14:schemeClr w14:val="tx1"/>
                        </w14:solidFill>
                      </w14:textFill>
                    </w:rPr>
                    <w:t>DA003</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28F8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油烟</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24B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91C5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D3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r>
            <w:tr w14:paraId="303C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D2E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主要排放口</w:t>
                  </w:r>
                </w:p>
              </w:tc>
            </w:tr>
            <w:tr w14:paraId="6F544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46A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p>
              </w:tc>
              <w:tc>
                <w:tcPr>
                  <w:tcW w:w="8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9B98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排气筒</w:t>
                  </w:r>
                  <w:r>
                    <w:rPr>
                      <w:rFonts w:hint="eastAsia" w:cs="Times New Roman"/>
                      <w:i w:val="0"/>
                      <w:iCs w:val="0"/>
                      <w:color w:val="000000" w:themeColor="text1"/>
                      <w:kern w:val="0"/>
                      <w:sz w:val="21"/>
                      <w:szCs w:val="21"/>
                      <w:u w:val="none"/>
                      <w:lang w:val="en-US" w:eastAsia="zh-CN" w:bidi="ar"/>
                      <w14:textFill>
                        <w14:solidFill>
                          <w14:schemeClr w14:val="tx1"/>
                        </w14:solidFill>
                      </w14:textFill>
                    </w:rPr>
                    <w:t>DA001</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04E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2F5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0.011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B2A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A8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 </w:t>
                  </w:r>
                </w:p>
              </w:tc>
            </w:tr>
            <w:tr w14:paraId="648E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 w:hRule="atLeast"/>
              </w:trPr>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E22C5">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E16A">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CC0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9DC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0.312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B6C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1.7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49E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0.602 </w:t>
                  </w:r>
                </w:p>
              </w:tc>
            </w:tr>
            <w:tr w14:paraId="5BD3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DDB49">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D7E74">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DBF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苯系物</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970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0.154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8A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65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0.298 </w:t>
                  </w:r>
                </w:p>
              </w:tc>
            </w:tr>
            <w:tr w14:paraId="0CA4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69434">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7EB96">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B5DA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255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E4D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30C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4307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DC9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w:t>
                  </w:r>
                </w:p>
              </w:tc>
              <w:tc>
                <w:tcPr>
                  <w:tcW w:w="8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9CF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排气筒</w:t>
                  </w:r>
                  <w:r>
                    <w:rPr>
                      <w:rFonts w:hint="eastAsia" w:cs="Times New Roman"/>
                      <w:i w:val="0"/>
                      <w:iCs w:val="0"/>
                      <w:color w:val="000000" w:themeColor="text1"/>
                      <w:kern w:val="0"/>
                      <w:sz w:val="21"/>
                      <w:szCs w:val="21"/>
                      <w:u w:val="none"/>
                      <w:lang w:val="en-US" w:eastAsia="zh-CN" w:bidi="ar"/>
                      <w14:textFill>
                        <w14:solidFill>
                          <w14:schemeClr w14:val="tx1"/>
                        </w14:solidFill>
                      </w14:textFill>
                    </w:rPr>
                    <w:t>DA002</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C642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9EE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0.035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3B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630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0.067 </w:t>
                  </w:r>
                </w:p>
              </w:tc>
            </w:tr>
            <w:tr w14:paraId="6DA3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440E">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32FB0">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A7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苯系物</w:t>
                  </w:r>
                </w:p>
              </w:tc>
              <w:tc>
                <w:tcPr>
                  <w:tcW w:w="8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8C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0.008 </w:t>
                  </w:r>
                </w:p>
              </w:tc>
              <w:tc>
                <w:tcPr>
                  <w:tcW w:w="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E1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3E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0.016 </w:t>
                  </w:r>
                </w:p>
              </w:tc>
            </w:tr>
            <w:tr w14:paraId="5DA4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9B44">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E60F7">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34A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DB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EA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8E3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2F754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67F44">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525EA">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03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FA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A7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673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0.036 </w:t>
                  </w:r>
                </w:p>
              </w:tc>
            </w:tr>
            <w:tr w14:paraId="6E85F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90BA9">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D299A">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A0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X</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9FD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0.177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A065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4.4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B2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0.341 </w:t>
                  </w:r>
                </w:p>
              </w:tc>
            </w:tr>
            <w:tr w14:paraId="5C15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9878">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FEBB9">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EFC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81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0.027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8A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997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0.052 </w:t>
                  </w:r>
                </w:p>
              </w:tc>
            </w:tr>
            <w:tr w14:paraId="3F844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1625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有组织排放合计</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ABF4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737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074</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546BC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2B05">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6A43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B4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0.670 </w:t>
                  </w:r>
                </w:p>
              </w:tc>
            </w:tr>
            <w:tr w14:paraId="34AF7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C6855">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8638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苯系物</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5F0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0.314 </w:t>
                  </w:r>
                </w:p>
              </w:tc>
            </w:tr>
            <w:tr w14:paraId="3D5E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78B77">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742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2F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0.036 </w:t>
                  </w:r>
                </w:p>
              </w:tc>
            </w:tr>
            <w:tr w14:paraId="0DF4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7D317">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222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X</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26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0.341 </w:t>
                  </w:r>
                </w:p>
              </w:tc>
            </w:tr>
            <w:tr w14:paraId="01093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90DF0">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EE8FA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油烟</w:t>
                  </w:r>
                </w:p>
              </w:tc>
              <w:tc>
                <w:tcPr>
                  <w:tcW w:w="8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55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r>
            <w:tr w14:paraId="33B17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7B40">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3B41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9E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bl>
          <w:p w14:paraId="243A0338">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表4-4</w:t>
            </w:r>
            <w:r>
              <w:rPr>
                <w:rFonts w:hint="eastAsia" w:ascii="Times New Roman" w:eastAsia="宋体" w:cs="Times New Roman"/>
                <w:b/>
                <w:bCs/>
                <w:color w:val="000000" w:themeColor="text1"/>
                <w:kern w:val="2"/>
                <w:sz w:val="21"/>
                <w:szCs w:val="21"/>
                <w:lang w:val="en-US" w:eastAsia="zh-CN" w:bidi="ar-SA"/>
                <w14:textFill>
                  <w14:solidFill>
                    <w14:schemeClr w14:val="tx1"/>
                  </w14:solidFill>
                </w14:textFill>
              </w:rPr>
              <w:t xml:space="preserve"> </w:t>
            </w:r>
            <w:r>
              <w:rPr>
                <w:b/>
                <w:color w:val="000000" w:themeColor="text1"/>
                <w:sz w:val="21"/>
                <w:szCs w:val="21"/>
                <w:lang w:bidi="ar"/>
                <w14:textFill>
                  <w14:solidFill>
                    <w14:schemeClr w14:val="tx1"/>
                  </w14:solidFill>
                </w14:textFill>
              </w:rPr>
              <w:t>大气污染物无组织排放核算表</w:t>
            </w:r>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9"/>
              <w:gridCol w:w="741"/>
              <w:gridCol w:w="1217"/>
              <w:gridCol w:w="1099"/>
              <w:gridCol w:w="832"/>
              <w:gridCol w:w="3971"/>
              <w:gridCol w:w="1825"/>
              <w:gridCol w:w="1016"/>
              <w:gridCol w:w="1273"/>
            </w:tblGrid>
            <w:tr w14:paraId="35EF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restart"/>
                  <w:shd w:val="clear" w:color="auto" w:fill="auto"/>
                  <w:vAlign w:val="center"/>
                </w:tcPr>
                <w:p w14:paraId="516A09D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序号</w:t>
                  </w:r>
                </w:p>
              </w:tc>
              <w:tc>
                <w:tcPr>
                  <w:tcW w:w="289" w:type="pct"/>
                  <w:vMerge w:val="restart"/>
                  <w:shd w:val="clear" w:color="auto" w:fill="auto"/>
                  <w:vAlign w:val="center"/>
                </w:tcPr>
                <w:p w14:paraId="340D6D9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排放口编号</w:t>
                  </w:r>
                </w:p>
              </w:tc>
              <w:tc>
                <w:tcPr>
                  <w:tcW w:w="474" w:type="pct"/>
                  <w:vMerge w:val="restart"/>
                  <w:shd w:val="clear" w:color="auto" w:fill="auto"/>
                  <w:vAlign w:val="center"/>
                </w:tcPr>
                <w:p w14:paraId="0E1E052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产污环节</w:t>
                  </w:r>
                </w:p>
              </w:tc>
              <w:tc>
                <w:tcPr>
                  <w:tcW w:w="428" w:type="pct"/>
                  <w:vMerge w:val="restart"/>
                  <w:shd w:val="clear" w:color="auto" w:fill="auto"/>
                  <w:vAlign w:val="center"/>
                </w:tcPr>
                <w:p w14:paraId="1E416E9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污染物种类</w:t>
                  </w:r>
                </w:p>
              </w:tc>
              <w:tc>
                <w:tcPr>
                  <w:tcW w:w="324" w:type="pct"/>
                  <w:vMerge w:val="restart"/>
                  <w:shd w:val="clear" w:color="auto" w:fill="auto"/>
                  <w:vAlign w:val="center"/>
                </w:tcPr>
                <w:p w14:paraId="4A99C39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主要污染防治措施</w:t>
                  </w:r>
                </w:p>
              </w:tc>
              <w:tc>
                <w:tcPr>
                  <w:tcW w:w="2650" w:type="pct"/>
                  <w:gridSpan w:val="3"/>
                  <w:shd w:val="clear" w:color="auto" w:fill="auto"/>
                  <w:vAlign w:val="center"/>
                </w:tcPr>
                <w:p w14:paraId="11359E0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国家或地方污染物排放标准</w:t>
                  </w:r>
                </w:p>
              </w:tc>
              <w:tc>
                <w:tcPr>
                  <w:tcW w:w="495" w:type="pct"/>
                  <w:vMerge w:val="restart"/>
                  <w:shd w:val="clear" w:color="auto" w:fill="auto"/>
                  <w:vAlign w:val="center"/>
                </w:tcPr>
                <w:p w14:paraId="5F09056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r>
            <w:tr w14:paraId="2772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35" w:type="pct"/>
                  <w:vMerge w:val="continue"/>
                  <w:shd w:val="clear" w:color="auto" w:fill="auto"/>
                  <w:vAlign w:val="center"/>
                </w:tcPr>
                <w:p w14:paraId="62690D27">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289" w:type="pct"/>
                  <w:vMerge w:val="continue"/>
                  <w:shd w:val="clear" w:color="auto" w:fill="auto"/>
                  <w:vAlign w:val="center"/>
                </w:tcPr>
                <w:p w14:paraId="79E2B16F">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74" w:type="pct"/>
                  <w:vMerge w:val="continue"/>
                  <w:shd w:val="clear" w:color="auto" w:fill="auto"/>
                  <w:vAlign w:val="center"/>
                </w:tcPr>
                <w:p w14:paraId="41EA0EE8">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28" w:type="pct"/>
                  <w:vMerge w:val="continue"/>
                  <w:shd w:val="clear" w:color="auto" w:fill="auto"/>
                  <w:vAlign w:val="center"/>
                </w:tcPr>
                <w:p w14:paraId="6CB5A04A">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324" w:type="pct"/>
                  <w:vMerge w:val="continue"/>
                  <w:shd w:val="clear" w:color="auto" w:fill="auto"/>
                  <w:vAlign w:val="center"/>
                </w:tcPr>
                <w:p w14:paraId="32EFA5A7">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547" w:type="pct"/>
                  <w:shd w:val="clear" w:color="auto" w:fill="auto"/>
                  <w:vAlign w:val="center"/>
                </w:tcPr>
                <w:p w14:paraId="4097B3E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标准名称</w:t>
                  </w:r>
                </w:p>
              </w:tc>
              <w:tc>
                <w:tcPr>
                  <w:tcW w:w="1103" w:type="pct"/>
                  <w:gridSpan w:val="2"/>
                  <w:shd w:val="clear" w:color="auto" w:fill="auto"/>
                  <w:vAlign w:val="center"/>
                </w:tcPr>
                <w:p w14:paraId="6D59488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浓度限值</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mg/m</w:t>
                  </w:r>
                  <w:r>
                    <w:rPr>
                      <w:rStyle w:val="165"/>
                      <w:rFonts w:eastAsia="宋体"/>
                      <w:color w:val="000000" w:themeColor="text1"/>
                      <w:lang w:val="en-US" w:eastAsia="zh-CN" w:bidi="ar"/>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495" w:type="pct"/>
                  <w:vMerge w:val="continue"/>
                  <w:shd w:val="clear" w:color="auto" w:fill="auto"/>
                  <w:vAlign w:val="center"/>
                </w:tcPr>
                <w:p w14:paraId="4CAA3F8D">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r>
            <w:tr w14:paraId="477A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335" w:type="pct"/>
                  <w:vMerge w:val="restart"/>
                  <w:shd w:val="clear" w:color="auto" w:fill="auto"/>
                  <w:vAlign w:val="center"/>
                </w:tcPr>
                <w:p w14:paraId="62ACAEE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1</w:t>
                  </w:r>
                </w:p>
              </w:tc>
              <w:tc>
                <w:tcPr>
                  <w:tcW w:w="289" w:type="pct"/>
                  <w:vMerge w:val="restart"/>
                  <w:shd w:val="clear" w:color="auto" w:fill="auto"/>
                  <w:vAlign w:val="center"/>
                </w:tcPr>
                <w:p w14:paraId="4657FFE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Style w:val="166"/>
                      <w:rFonts w:hint="eastAsia"/>
                      <w:color w:val="000000" w:themeColor="text1"/>
                      <w:lang w:val="en-US" w:eastAsia="zh-CN" w:bidi="ar"/>
                      <w14:textFill>
                        <w14:solidFill>
                          <w14:schemeClr w14:val="tx1"/>
                        </w14:solidFill>
                      </w14:textFill>
                    </w:rPr>
                    <w:t>/</w:t>
                  </w:r>
                </w:p>
              </w:tc>
              <w:tc>
                <w:tcPr>
                  <w:tcW w:w="474" w:type="pct"/>
                  <w:vMerge w:val="restart"/>
                  <w:shd w:val="clear" w:color="auto" w:fill="auto"/>
                  <w:vAlign w:val="center"/>
                </w:tcPr>
                <w:p w14:paraId="59F5BD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Style w:val="167"/>
                      <w:rFonts w:hint="eastAsia"/>
                      <w:color w:val="000000" w:themeColor="text1"/>
                      <w:lang w:val="en-US" w:eastAsia="zh-CN" w:bidi="ar"/>
                      <w14:textFill>
                        <w14:solidFill>
                          <w14:schemeClr w14:val="tx1"/>
                        </w14:solidFill>
                      </w14:textFill>
                    </w:rPr>
                    <w:t>生产全程</w:t>
                  </w:r>
                </w:p>
              </w:tc>
              <w:tc>
                <w:tcPr>
                  <w:tcW w:w="428" w:type="pct"/>
                  <w:shd w:val="clear" w:color="auto" w:fill="auto"/>
                  <w:vAlign w:val="center"/>
                </w:tcPr>
                <w:p w14:paraId="64B61BCC">
                  <w:pPr>
                    <w:pStyle w:val="109"/>
                    <w:keepNext w:val="0"/>
                    <w:keepLines w:val="0"/>
                    <w:pageBreakBefore w:val="0"/>
                    <w:tabs>
                      <w:tab w:val="left" w:pos="-2848"/>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color w:val="000000" w:themeColor="text1"/>
                      <w:szCs w:val="21"/>
                      <w14:textFill>
                        <w14:solidFill>
                          <w14:schemeClr w14:val="tx1"/>
                        </w14:solidFill>
                      </w14:textFill>
                    </w:rPr>
                    <w:t>颗粒物</w:t>
                  </w:r>
                </w:p>
              </w:tc>
              <w:tc>
                <w:tcPr>
                  <w:tcW w:w="324" w:type="pct"/>
                  <w:vMerge w:val="restart"/>
                  <w:shd w:val="clear" w:color="auto" w:fill="auto"/>
                  <w:vAlign w:val="center"/>
                </w:tcPr>
                <w:p w14:paraId="0BD242C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lang w:val="en-US" w:eastAsia="zh-CN"/>
                      <w14:textFill>
                        <w14:solidFill>
                          <w14:schemeClr w14:val="tx1"/>
                        </w14:solidFill>
                      </w14:textFill>
                    </w:rPr>
                  </w:pPr>
                  <w:r>
                    <w:rPr>
                      <w:color w:val="000000" w:themeColor="text1"/>
                      <w:sz w:val="21"/>
                      <w:szCs w:val="21"/>
                      <w14:textFill>
                        <w14:solidFill>
                          <w14:schemeClr w14:val="tx1"/>
                        </w14:solidFill>
                      </w14:textFill>
                    </w:rPr>
                    <w:t>加强车间通风换气</w:t>
                  </w:r>
                </w:p>
              </w:tc>
              <w:tc>
                <w:tcPr>
                  <w:tcW w:w="1547" w:type="pct"/>
                  <w:shd w:val="clear" w:color="auto" w:fill="auto"/>
                  <w:vAlign w:val="center"/>
                </w:tcPr>
                <w:p w14:paraId="541D916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14:textFill>
                        <w14:solidFill>
                          <w14:schemeClr w14:val="tx1"/>
                        </w14:solidFill>
                      </w14:textFill>
                    </w:rPr>
                    <w:t>广东省《大气污染物排放限值》（DB44/27-2001）第二时段无组织排放浓度限值</w:t>
                  </w:r>
                </w:p>
              </w:tc>
              <w:tc>
                <w:tcPr>
                  <w:tcW w:w="1103" w:type="pct"/>
                  <w:gridSpan w:val="2"/>
                  <w:shd w:val="clear" w:color="auto" w:fill="auto"/>
                  <w:vAlign w:val="center"/>
                </w:tcPr>
                <w:p w14:paraId="393E740E">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14:textFill>
                        <w14:solidFill>
                          <w14:schemeClr w14:val="tx1"/>
                        </w14:solidFill>
                      </w14:textFill>
                    </w:rPr>
                    <w:t>1.0</w:t>
                  </w:r>
                </w:p>
              </w:tc>
              <w:tc>
                <w:tcPr>
                  <w:tcW w:w="495" w:type="pct"/>
                  <w:shd w:val="clear" w:color="auto" w:fill="auto"/>
                  <w:vAlign w:val="center"/>
                </w:tcPr>
                <w:p w14:paraId="2627AD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cs="Times New Roman"/>
                      <w:i w:val="0"/>
                      <w:iCs w:val="0"/>
                      <w:color w:val="000000" w:themeColor="text1"/>
                      <w:kern w:val="0"/>
                      <w:sz w:val="21"/>
                      <w:szCs w:val="21"/>
                      <w:u w:val="none"/>
                      <w:lang w:val="en-US" w:eastAsia="zh-CN" w:bidi="ar"/>
                      <w14:textFill>
                        <w14:solidFill>
                          <w14:schemeClr w14:val="tx1"/>
                        </w14:solidFill>
                      </w14:textFill>
                    </w:rPr>
                    <w:t>277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7014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335" w:type="pct"/>
                  <w:vMerge w:val="continue"/>
                  <w:shd w:val="clear" w:color="auto" w:fill="auto"/>
                  <w:vAlign w:val="center"/>
                </w:tcPr>
                <w:p w14:paraId="7A0659F6">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289" w:type="pct"/>
                  <w:vMerge w:val="continue"/>
                  <w:shd w:val="clear" w:color="auto" w:fill="auto"/>
                  <w:vAlign w:val="center"/>
                </w:tcPr>
                <w:p w14:paraId="00D2F7F0">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74" w:type="pct"/>
                  <w:vMerge w:val="continue"/>
                  <w:shd w:val="clear" w:color="auto" w:fill="auto"/>
                  <w:vAlign w:val="center"/>
                </w:tcPr>
                <w:p w14:paraId="2EA4B9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28" w:type="pct"/>
                  <w:vMerge w:val="restart"/>
                  <w:shd w:val="clear" w:color="auto" w:fill="auto"/>
                  <w:vAlign w:val="center"/>
                </w:tcPr>
                <w:p w14:paraId="5CB177B8">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olor w:val="000000" w:themeColor="text1"/>
                      <w:sz w:val="21"/>
                      <w:szCs w:val="21"/>
                      <w:lang w:val="en-US" w:eastAsia="zh-CN" w:bidi="ar"/>
                      <w14:textFill>
                        <w14:solidFill>
                          <w14:schemeClr w14:val="tx1"/>
                        </w14:solidFill>
                      </w14:textFill>
                    </w:rPr>
                    <w:t>VOCs（以</w:t>
                  </w:r>
                  <w:r>
                    <w:rPr>
                      <w:rFonts w:hint="eastAsia"/>
                      <w:color w:val="000000" w:themeColor="text1"/>
                      <w:sz w:val="21"/>
                      <w:szCs w:val="21"/>
                      <w:lang w:bidi="ar"/>
                      <w14:textFill>
                        <w14:solidFill>
                          <w14:schemeClr w14:val="tx1"/>
                        </w14:solidFill>
                      </w14:textFill>
                    </w:rPr>
                    <w:t>N</w:t>
                  </w:r>
                  <w:r>
                    <w:rPr>
                      <w:rFonts w:hint="eastAsia"/>
                      <w:color w:val="000000" w:themeColor="text1"/>
                      <w:sz w:val="21"/>
                      <w:szCs w:val="21"/>
                      <w:lang w:val="en-US" w:eastAsia="zh-CN" w:bidi="ar"/>
                      <w14:textFill>
                        <w14:solidFill>
                          <w14:schemeClr w14:val="tx1"/>
                        </w14:solidFill>
                      </w14:textFill>
                    </w:rPr>
                    <w:t>M</w:t>
                  </w:r>
                  <w:r>
                    <w:rPr>
                      <w:rFonts w:hint="eastAsia"/>
                      <w:color w:val="000000" w:themeColor="text1"/>
                      <w:sz w:val="21"/>
                      <w:szCs w:val="21"/>
                      <w:lang w:bidi="ar"/>
                      <w14:textFill>
                        <w14:solidFill>
                          <w14:schemeClr w14:val="tx1"/>
                        </w14:solidFill>
                      </w14:textFill>
                    </w:rPr>
                    <w:t>HC</w:t>
                  </w:r>
                  <w:r>
                    <w:rPr>
                      <w:rFonts w:hint="eastAsia"/>
                      <w:color w:val="000000" w:themeColor="text1"/>
                      <w:sz w:val="21"/>
                      <w:szCs w:val="21"/>
                      <w:lang w:val="en-US" w:eastAsia="zh-CN" w:bidi="ar"/>
                      <w14:textFill>
                        <w14:solidFill>
                          <w14:schemeClr w14:val="tx1"/>
                        </w14:solidFill>
                      </w14:textFill>
                    </w:rPr>
                    <w:t>计）</w:t>
                  </w:r>
                </w:p>
              </w:tc>
              <w:tc>
                <w:tcPr>
                  <w:tcW w:w="324" w:type="pct"/>
                  <w:vMerge w:val="continue"/>
                  <w:shd w:val="clear" w:color="auto" w:fill="auto"/>
                  <w:vAlign w:val="center"/>
                </w:tcPr>
                <w:p w14:paraId="2A1DFA1A">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547" w:type="pct"/>
                  <w:vMerge w:val="restart"/>
                  <w:shd w:val="clear" w:color="auto" w:fill="auto"/>
                  <w:vAlign w:val="center"/>
                </w:tcPr>
                <w:p w14:paraId="30FE725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color w:val="000000" w:themeColor="text1"/>
                      <w:sz w:val="21"/>
                      <w:szCs w:val="21"/>
                      <w14:textFill>
                        <w14:solidFill>
                          <w14:schemeClr w14:val="tx1"/>
                        </w14:solidFill>
                      </w14:textFill>
                    </w:rPr>
                    <w:t>广东省《固定污染源挥发性有机物综合排放标准》（DB44/2367-2022）表3厂区内VOCs 无组织排放限值要求</w:t>
                  </w:r>
                </w:p>
              </w:tc>
              <w:tc>
                <w:tcPr>
                  <w:tcW w:w="711" w:type="pct"/>
                  <w:shd w:val="clear" w:color="auto" w:fill="auto"/>
                  <w:vAlign w:val="center"/>
                </w:tcPr>
                <w:p w14:paraId="4992ADC0">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14:textFill>
                        <w14:solidFill>
                          <w14:schemeClr w14:val="tx1"/>
                        </w14:solidFill>
                      </w14:textFill>
                    </w:rPr>
                    <w:t>监控点处1小时平均浓度值</w:t>
                  </w:r>
                </w:p>
              </w:tc>
              <w:tc>
                <w:tcPr>
                  <w:tcW w:w="391" w:type="pct"/>
                  <w:shd w:val="clear" w:color="auto" w:fill="auto"/>
                  <w:vAlign w:val="center"/>
                </w:tcPr>
                <w:p w14:paraId="2C798A20">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color w:val="000000" w:themeColor="text1"/>
                      <w:sz w:val="21"/>
                      <w:szCs w:val="21"/>
                      <w14:textFill>
                        <w14:solidFill>
                          <w14:schemeClr w14:val="tx1"/>
                        </w14:solidFill>
                      </w14:textFill>
                    </w:rPr>
                    <w:t>6</w:t>
                  </w:r>
                </w:p>
              </w:tc>
              <w:tc>
                <w:tcPr>
                  <w:tcW w:w="495" w:type="pct"/>
                  <w:vMerge w:val="restart"/>
                  <w:shd w:val="clear" w:color="auto" w:fill="auto"/>
                  <w:vAlign w:val="center"/>
                </w:tcPr>
                <w:p w14:paraId="02EA29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0.352 </w:t>
                  </w:r>
                </w:p>
              </w:tc>
            </w:tr>
            <w:tr w14:paraId="5BB7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335" w:type="pct"/>
                  <w:vMerge w:val="continue"/>
                  <w:shd w:val="clear" w:color="auto" w:fill="auto"/>
                  <w:vAlign w:val="center"/>
                </w:tcPr>
                <w:p w14:paraId="6B7FCED0">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289" w:type="pct"/>
                  <w:vMerge w:val="continue"/>
                  <w:shd w:val="clear" w:color="auto" w:fill="auto"/>
                  <w:vAlign w:val="center"/>
                </w:tcPr>
                <w:p w14:paraId="590CAE9B">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74" w:type="pct"/>
                  <w:vMerge w:val="continue"/>
                  <w:shd w:val="clear" w:color="auto" w:fill="auto"/>
                  <w:vAlign w:val="center"/>
                </w:tcPr>
                <w:p w14:paraId="65743D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28" w:type="pct"/>
                  <w:vMerge w:val="continue"/>
                  <w:shd w:val="clear" w:color="auto" w:fill="auto"/>
                  <w:vAlign w:val="center"/>
                </w:tcPr>
                <w:p w14:paraId="5681D7CB">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324" w:type="pct"/>
                  <w:vMerge w:val="continue"/>
                  <w:shd w:val="clear" w:color="auto" w:fill="auto"/>
                  <w:vAlign w:val="center"/>
                </w:tcPr>
                <w:p w14:paraId="6F90A841">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547" w:type="pct"/>
                  <w:vMerge w:val="continue"/>
                  <w:shd w:val="clear" w:color="auto" w:fill="auto"/>
                  <w:vAlign w:val="center"/>
                </w:tcPr>
                <w:p w14:paraId="79AB7A39">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711" w:type="pct"/>
                  <w:shd w:val="clear" w:color="auto" w:fill="auto"/>
                  <w:vAlign w:val="center"/>
                </w:tcPr>
                <w:p w14:paraId="1616E103">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14:textFill>
                        <w14:solidFill>
                          <w14:schemeClr w14:val="tx1"/>
                        </w14:solidFill>
                      </w14:textFill>
                    </w:rPr>
                    <w:t>监控点处任意一次浓度值</w:t>
                  </w:r>
                </w:p>
              </w:tc>
              <w:tc>
                <w:tcPr>
                  <w:tcW w:w="391" w:type="pct"/>
                  <w:shd w:val="clear" w:color="auto" w:fill="auto"/>
                  <w:vAlign w:val="center"/>
                </w:tcPr>
                <w:p w14:paraId="75E6BACC">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color w:val="000000" w:themeColor="text1"/>
                      <w:sz w:val="21"/>
                      <w:szCs w:val="21"/>
                      <w14:textFill>
                        <w14:solidFill>
                          <w14:schemeClr w14:val="tx1"/>
                        </w14:solidFill>
                      </w14:textFill>
                    </w:rPr>
                    <w:t>20</w:t>
                  </w:r>
                </w:p>
              </w:tc>
              <w:tc>
                <w:tcPr>
                  <w:tcW w:w="495" w:type="pct"/>
                  <w:vMerge w:val="continue"/>
                  <w:shd w:val="clear" w:color="auto" w:fill="auto"/>
                  <w:vAlign w:val="center"/>
                </w:tcPr>
                <w:p w14:paraId="106FC5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p>
              </w:tc>
            </w:tr>
            <w:tr w14:paraId="2539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35" w:type="pct"/>
                  <w:vMerge w:val="continue"/>
                  <w:shd w:val="clear" w:color="auto" w:fill="auto"/>
                  <w:vAlign w:val="center"/>
                </w:tcPr>
                <w:p w14:paraId="1384BA7E">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289" w:type="pct"/>
                  <w:vMerge w:val="continue"/>
                  <w:shd w:val="clear" w:color="auto" w:fill="auto"/>
                  <w:vAlign w:val="center"/>
                </w:tcPr>
                <w:p w14:paraId="5B4BACDA">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74" w:type="pct"/>
                  <w:vMerge w:val="continue"/>
                  <w:shd w:val="clear" w:color="auto" w:fill="auto"/>
                  <w:vAlign w:val="center"/>
                </w:tcPr>
                <w:p w14:paraId="5B1A59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28" w:type="pct"/>
                  <w:shd w:val="clear" w:color="auto" w:fill="auto"/>
                  <w:vAlign w:val="center"/>
                </w:tcPr>
                <w:p w14:paraId="1480AEB2">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color w:val="000000" w:themeColor="text1"/>
                      <w:sz w:val="21"/>
                      <w:szCs w:val="21"/>
                      <w:lang w:bidi="ar"/>
                      <w14:textFill>
                        <w14:solidFill>
                          <w14:schemeClr w14:val="tx1"/>
                        </w14:solidFill>
                      </w14:textFill>
                    </w:rPr>
                    <w:t>苯系物</w:t>
                  </w:r>
                </w:p>
              </w:tc>
              <w:tc>
                <w:tcPr>
                  <w:tcW w:w="324" w:type="pct"/>
                  <w:vMerge w:val="continue"/>
                  <w:shd w:val="clear" w:color="auto" w:fill="auto"/>
                  <w:vAlign w:val="center"/>
                </w:tcPr>
                <w:p w14:paraId="463EA0E8">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547" w:type="pct"/>
                  <w:shd w:val="clear" w:color="auto" w:fill="auto"/>
                  <w:vAlign w:val="center"/>
                </w:tcPr>
                <w:p w14:paraId="2F83B527">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kern w:val="2"/>
                      <w:sz w:val="21"/>
                      <w:szCs w:val="21"/>
                      <w:u w:val="none"/>
                      <w:lang w:val="en-US" w:eastAsia="zh-CN" w:bidi="ar-SA"/>
                      <w14:textFill>
                        <w14:solidFill>
                          <w14:schemeClr w14:val="tx1"/>
                        </w14:solidFill>
                      </w14:textFill>
                    </w:rPr>
                  </w:pPr>
                  <w:r>
                    <w:rPr>
                      <w:color w:val="000000" w:themeColor="text1"/>
                      <w:sz w:val="21"/>
                      <w:szCs w:val="21"/>
                      <w14:textFill>
                        <w14:solidFill>
                          <w14:schemeClr w14:val="tx1"/>
                        </w14:solidFill>
                      </w14:textFill>
                    </w:rPr>
                    <w:t>广东省《大气污染物排放限值》（DB44/27-2001）第二时段无组织排放浓度限值</w:t>
                  </w:r>
                </w:p>
              </w:tc>
              <w:tc>
                <w:tcPr>
                  <w:tcW w:w="1103" w:type="pct"/>
                  <w:gridSpan w:val="2"/>
                  <w:shd w:val="clear" w:color="auto" w:fill="auto"/>
                  <w:vAlign w:val="center"/>
                </w:tcPr>
                <w:p w14:paraId="4CDE179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1.2</w:t>
                  </w:r>
                </w:p>
              </w:tc>
              <w:tc>
                <w:tcPr>
                  <w:tcW w:w="495" w:type="pct"/>
                  <w:shd w:val="clear" w:color="auto" w:fill="auto"/>
                  <w:vAlign w:val="center"/>
                </w:tcPr>
                <w:p w14:paraId="793ECC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0.170 </w:t>
                  </w:r>
                </w:p>
              </w:tc>
            </w:tr>
            <w:tr w14:paraId="37E9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35" w:type="pct"/>
                  <w:vMerge w:val="continue"/>
                  <w:shd w:val="clear" w:color="auto" w:fill="auto"/>
                  <w:vAlign w:val="center"/>
                </w:tcPr>
                <w:p w14:paraId="78884526">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289" w:type="pct"/>
                  <w:vMerge w:val="continue"/>
                  <w:shd w:val="clear" w:color="auto" w:fill="auto"/>
                  <w:vAlign w:val="center"/>
                </w:tcPr>
                <w:p w14:paraId="21977259">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74" w:type="pct"/>
                  <w:vMerge w:val="continue"/>
                  <w:shd w:val="clear" w:color="auto" w:fill="auto"/>
                  <w:vAlign w:val="center"/>
                </w:tcPr>
                <w:p w14:paraId="3F06580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28" w:type="pct"/>
                  <w:shd w:val="clear" w:color="auto" w:fill="auto"/>
                  <w:vAlign w:val="center"/>
                </w:tcPr>
                <w:p w14:paraId="7E01D7D4">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color w:val="000000" w:themeColor="text1"/>
                      <w:sz w:val="21"/>
                      <w:szCs w:val="21"/>
                      <w:lang w:bidi="ar"/>
                      <w14:textFill>
                        <w14:solidFill>
                          <w14:schemeClr w14:val="tx1"/>
                        </w14:solidFill>
                      </w14:textFill>
                    </w:rPr>
                    <w:t>SO</w:t>
                  </w:r>
                  <w:r>
                    <w:rPr>
                      <w:color w:val="000000" w:themeColor="text1"/>
                      <w:sz w:val="21"/>
                      <w:szCs w:val="21"/>
                      <w:vertAlign w:val="subscript"/>
                      <w:lang w:bidi="ar"/>
                      <w14:textFill>
                        <w14:solidFill>
                          <w14:schemeClr w14:val="tx1"/>
                        </w14:solidFill>
                      </w14:textFill>
                    </w:rPr>
                    <w:t>2</w:t>
                  </w:r>
                </w:p>
              </w:tc>
              <w:tc>
                <w:tcPr>
                  <w:tcW w:w="324" w:type="pct"/>
                  <w:vMerge w:val="continue"/>
                  <w:shd w:val="clear" w:color="auto" w:fill="auto"/>
                  <w:vAlign w:val="center"/>
                </w:tcPr>
                <w:p w14:paraId="702176DB">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547" w:type="pct"/>
                  <w:vMerge w:val="restart"/>
                  <w:shd w:val="clear" w:color="auto" w:fill="auto"/>
                  <w:vAlign w:val="center"/>
                </w:tcPr>
                <w:p w14:paraId="311BF74E">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lang w:bidi="ar"/>
                      <w14:textFill>
                        <w14:solidFill>
                          <w14:schemeClr w14:val="tx1"/>
                        </w14:solidFill>
                      </w14:textFill>
                    </w:rPr>
                    <w:t>根据《关于印发&lt;工业炉窑大气污染综合治理方案&gt;的通知》（环大气〔2019〕56号）和《关于贯彻落实&lt;工业炉窑大气污染物综合治理方案&gt;的实施意见》（粤环函〔2019〕1112号），废气按照二氧化硫、氮氧化物排放限值分别不高于200、300毫克/立方米控制</w:t>
                  </w:r>
                </w:p>
              </w:tc>
              <w:tc>
                <w:tcPr>
                  <w:tcW w:w="1103" w:type="pct"/>
                  <w:gridSpan w:val="2"/>
                  <w:shd w:val="clear" w:color="auto" w:fill="auto"/>
                  <w:vAlign w:val="center"/>
                </w:tcPr>
                <w:p w14:paraId="60FE4091">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14:textFill>
                        <w14:solidFill>
                          <w14:schemeClr w14:val="tx1"/>
                        </w14:solidFill>
                      </w14:textFill>
                    </w:rPr>
                    <w:t>/</w:t>
                  </w:r>
                </w:p>
              </w:tc>
              <w:tc>
                <w:tcPr>
                  <w:tcW w:w="495" w:type="pct"/>
                  <w:shd w:val="clear" w:color="auto" w:fill="auto"/>
                  <w:vAlign w:val="center"/>
                </w:tcPr>
                <w:p w14:paraId="35367B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w:t>
                  </w:r>
                </w:p>
              </w:tc>
            </w:tr>
            <w:tr w14:paraId="684A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335" w:type="pct"/>
                  <w:vMerge w:val="continue"/>
                  <w:shd w:val="clear" w:color="auto" w:fill="auto"/>
                  <w:vAlign w:val="center"/>
                </w:tcPr>
                <w:p w14:paraId="23E128D4">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289" w:type="pct"/>
                  <w:vMerge w:val="continue"/>
                  <w:shd w:val="clear" w:color="auto" w:fill="auto"/>
                  <w:vAlign w:val="center"/>
                </w:tcPr>
                <w:p w14:paraId="16C2267F">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74" w:type="pct"/>
                  <w:vMerge w:val="continue"/>
                  <w:shd w:val="clear" w:color="auto" w:fill="auto"/>
                  <w:vAlign w:val="center"/>
                </w:tcPr>
                <w:p w14:paraId="4CB3BA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28" w:type="pct"/>
                  <w:shd w:val="clear" w:color="auto" w:fill="auto"/>
                  <w:vAlign w:val="center"/>
                </w:tcPr>
                <w:p w14:paraId="3E34C7CA">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color w:val="000000" w:themeColor="text1"/>
                      <w:sz w:val="21"/>
                      <w:szCs w:val="21"/>
                      <w:lang w:bidi="ar"/>
                      <w14:textFill>
                        <w14:solidFill>
                          <w14:schemeClr w14:val="tx1"/>
                        </w14:solidFill>
                      </w14:textFill>
                    </w:rPr>
                    <w:t>NO</w:t>
                  </w:r>
                  <w:r>
                    <w:rPr>
                      <w:color w:val="000000" w:themeColor="text1"/>
                      <w:sz w:val="21"/>
                      <w:szCs w:val="21"/>
                      <w:vertAlign w:val="subscript"/>
                      <w:lang w:bidi="ar"/>
                      <w14:textFill>
                        <w14:solidFill>
                          <w14:schemeClr w14:val="tx1"/>
                        </w14:solidFill>
                      </w14:textFill>
                    </w:rPr>
                    <w:t>2</w:t>
                  </w:r>
                </w:p>
              </w:tc>
              <w:tc>
                <w:tcPr>
                  <w:tcW w:w="324" w:type="pct"/>
                  <w:vMerge w:val="continue"/>
                  <w:shd w:val="clear" w:color="auto" w:fill="auto"/>
                  <w:vAlign w:val="center"/>
                </w:tcPr>
                <w:p w14:paraId="241C25D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547" w:type="pct"/>
                  <w:vMerge w:val="continue"/>
                  <w:shd w:val="clear" w:color="auto" w:fill="auto"/>
                  <w:vAlign w:val="center"/>
                </w:tcPr>
                <w:p w14:paraId="7324408F">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103" w:type="pct"/>
                  <w:gridSpan w:val="2"/>
                  <w:shd w:val="clear" w:color="auto" w:fill="auto"/>
                  <w:vAlign w:val="center"/>
                </w:tcPr>
                <w:p w14:paraId="1088DB69">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14:textFill>
                        <w14:solidFill>
                          <w14:schemeClr w14:val="tx1"/>
                        </w14:solidFill>
                      </w14:textFill>
                    </w:rPr>
                    <w:t>/</w:t>
                  </w:r>
                </w:p>
              </w:tc>
              <w:tc>
                <w:tcPr>
                  <w:tcW w:w="495" w:type="pct"/>
                  <w:shd w:val="clear" w:color="auto" w:fill="auto"/>
                  <w:vAlign w:val="center"/>
                </w:tcPr>
                <w:p w14:paraId="2BFD19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t>0</w:t>
                  </w:r>
                </w:p>
              </w:tc>
            </w:tr>
            <w:tr w14:paraId="1757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5" w:type="pct"/>
                  <w:vMerge w:val="continue"/>
                  <w:shd w:val="clear" w:color="auto" w:fill="auto"/>
                  <w:vAlign w:val="center"/>
                </w:tcPr>
                <w:p w14:paraId="192D9D40">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289" w:type="pct"/>
                  <w:vMerge w:val="continue"/>
                  <w:shd w:val="clear" w:color="auto" w:fill="auto"/>
                  <w:vAlign w:val="center"/>
                </w:tcPr>
                <w:p w14:paraId="578D13D7">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74" w:type="pct"/>
                  <w:vMerge w:val="continue"/>
                  <w:shd w:val="clear" w:color="auto" w:fill="auto"/>
                  <w:vAlign w:val="center"/>
                </w:tcPr>
                <w:p w14:paraId="76D24E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28" w:type="pct"/>
                  <w:shd w:val="clear" w:color="auto" w:fill="auto"/>
                  <w:vAlign w:val="center"/>
                </w:tcPr>
                <w:p w14:paraId="1FDF4D91">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color w:val="000000" w:themeColor="text1"/>
                      <w:sz w:val="21"/>
                      <w:szCs w:val="21"/>
                      <w:lang w:bidi="ar"/>
                      <w14:textFill>
                        <w14:solidFill>
                          <w14:schemeClr w14:val="tx1"/>
                        </w14:solidFill>
                      </w14:textFill>
                    </w:rPr>
                  </w:pPr>
                  <w:r>
                    <w:rPr>
                      <w:color w:val="000000" w:themeColor="text1"/>
                      <w:szCs w:val="21"/>
                      <w14:textFill>
                        <w14:solidFill>
                          <w14:schemeClr w14:val="tx1"/>
                        </w14:solidFill>
                      </w14:textFill>
                    </w:rPr>
                    <w:t>臭气浓度</w:t>
                  </w:r>
                </w:p>
              </w:tc>
              <w:tc>
                <w:tcPr>
                  <w:tcW w:w="324" w:type="pct"/>
                  <w:vMerge w:val="continue"/>
                  <w:shd w:val="clear" w:color="auto" w:fill="auto"/>
                  <w:vAlign w:val="center"/>
                </w:tcPr>
                <w:p w14:paraId="45055C9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547" w:type="pct"/>
                  <w:shd w:val="clear" w:color="auto" w:fill="auto"/>
                  <w:vAlign w:val="center"/>
                </w:tcPr>
                <w:p w14:paraId="35A9359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14:textFill>
                        <w14:solidFill>
                          <w14:schemeClr w14:val="tx1"/>
                        </w14:solidFill>
                      </w14:textFill>
                    </w:rPr>
                    <w:t>《恶臭污染物排放标准》（</w:t>
                  </w:r>
                  <w:r>
                    <w:rPr>
                      <w:rFonts w:hint="eastAsia"/>
                      <w:color w:val="000000" w:themeColor="text1"/>
                      <w:sz w:val="21"/>
                      <w:szCs w:val="21"/>
                      <w:lang w:eastAsia="zh-CN"/>
                      <w14:textFill>
                        <w14:solidFill>
                          <w14:schemeClr w14:val="tx1"/>
                        </w14:solidFill>
                      </w14:textFill>
                    </w:rPr>
                    <w:t>GB 14554-1993</w:t>
                  </w:r>
                  <w:r>
                    <w:rPr>
                      <w:color w:val="000000" w:themeColor="text1"/>
                      <w:sz w:val="21"/>
                      <w:szCs w:val="21"/>
                      <w14:textFill>
                        <w14:solidFill>
                          <w14:schemeClr w14:val="tx1"/>
                        </w14:solidFill>
                      </w14:textFill>
                    </w:rPr>
                    <w:t>）表1新扩改建厂界二级标准限值</w:t>
                  </w:r>
                </w:p>
              </w:tc>
              <w:tc>
                <w:tcPr>
                  <w:tcW w:w="1103" w:type="pct"/>
                  <w:gridSpan w:val="2"/>
                  <w:shd w:val="clear" w:color="auto" w:fill="auto"/>
                  <w:vAlign w:val="center"/>
                </w:tcPr>
                <w:p w14:paraId="4D04BBFF">
                  <w:pPr>
                    <w:keepNext w:val="0"/>
                    <w:keepLines w:val="0"/>
                    <w:pageBreakBefore w:val="0"/>
                    <w:widowControl/>
                    <w:kinsoku/>
                    <w:wordWrap w:val="0"/>
                    <w:overflowPunct/>
                    <w:topLinePunct/>
                    <w:autoSpaceDE/>
                    <w:autoSpaceDN/>
                    <w:bidi w:val="0"/>
                    <w:adjustRightInd/>
                    <w:snapToGrid/>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厂界：20</w:t>
                  </w:r>
                </w:p>
                <w:p w14:paraId="308CBB4F">
                  <w:pPr>
                    <w:keepNext w:val="0"/>
                    <w:keepLines w:val="0"/>
                    <w:pageBreakBefore w:val="0"/>
                    <w:widowControl/>
                    <w:kinsoku/>
                    <w:wordWrap w:val="0"/>
                    <w:overflowPunct/>
                    <w:topLinePunct/>
                    <w:autoSpaceDE/>
                    <w:autoSpaceDN/>
                    <w:bidi w:val="0"/>
                    <w:adjustRightInd/>
                    <w:snapToGrid/>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（无量纲）</w:t>
                  </w:r>
                </w:p>
              </w:tc>
              <w:tc>
                <w:tcPr>
                  <w:tcW w:w="495" w:type="pct"/>
                  <w:shd w:val="clear" w:color="auto" w:fill="auto"/>
                  <w:vAlign w:val="center"/>
                </w:tcPr>
                <w:p w14:paraId="299923E2">
                  <w:pPr>
                    <w:keepNext w:val="0"/>
                    <w:keepLines w:val="0"/>
                    <w:widowControl/>
                    <w:suppressLineNumbers w:val="0"/>
                    <w:jc w:val="center"/>
                    <w:textAlignment w:val="center"/>
                    <w:rPr>
                      <w:rFonts w:hint="default"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cs="宋体"/>
                      <w:b w:val="0"/>
                      <w:bCs w:val="0"/>
                      <w:i w:val="0"/>
                      <w:iCs w:val="0"/>
                      <w:color w:val="000000" w:themeColor="text1"/>
                      <w:kern w:val="0"/>
                      <w:sz w:val="21"/>
                      <w:szCs w:val="21"/>
                      <w:u w:val="none"/>
                      <w:lang w:val="en-US" w:eastAsia="zh-CN" w:bidi="ar"/>
                      <w14:textFill>
                        <w14:solidFill>
                          <w14:schemeClr w14:val="tx1"/>
                        </w14:solidFill>
                      </w14:textFill>
                    </w:rPr>
                    <w:t>少量</w:t>
                  </w:r>
                </w:p>
              </w:tc>
            </w:tr>
            <w:tr w14:paraId="6F3D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35" w:type="pct"/>
                  <w:vMerge w:val="continue"/>
                  <w:shd w:val="clear" w:color="auto" w:fill="auto"/>
                  <w:vAlign w:val="center"/>
                </w:tcPr>
                <w:p w14:paraId="7E8EA962">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289" w:type="pct"/>
                  <w:vMerge w:val="continue"/>
                  <w:shd w:val="clear" w:color="auto" w:fill="auto"/>
                  <w:vAlign w:val="center"/>
                </w:tcPr>
                <w:p w14:paraId="2F599748">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74" w:type="pct"/>
                  <w:vMerge w:val="continue"/>
                  <w:shd w:val="clear" w:color="auto" w:fill="auto"/>
                  <w:vAlign w:val="center"/>
                </w:tcPr>
                <w:p w14:paraId="1635683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p>
              </w:tc>
              <w:tc>
                <w:tcPr>
                  <w:tcW w:w="428" w:type="pct"/>
                  <w:shd w:val="clear" w:color="auto" w:fill="auto"/>
                  <w:vAlign w:val="center"/>
                </w:tcPr>
                <w:p w14:paraId="68B413F1">
                  <w:pPr>
                    <w:pStyle w:val="109"/>
                    <w:keepNext w:val="0"/>
                    <w:keepLines w:val="0"/>
                    <w:pageBreakBefore w:val="0"/>
                    <w:tabs>
                      <w:tab w:val="left" w:pos="-2848"/>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cs="Times New Roman"/>
                      <w:i w:val="0"/>
                      <w:iCs w:val="0"/>
                      <w:color w:val="000000" w:themeColor="text1"/>
                      <w:kern w:val="2"/>
                      <w:sz w:val="21"/>
                      <w:szCs w:val="21"/>
                      <w:u w:val="none"/>
                      <w:lang w:val="en-US" w:eastAsia="zh-CN" w:bidi="ar-SA"/>
                      <w14:textFill>
                        <w14:solidFill>
                          <w14:schemeClr w14:val="tx1"/>
                        </w14:solidFill>
                      </w14:textFill>
                    </w:rPr>
                    <w:t>氟化物</w:t>
                  </w:r>
                </w:p>
              </w:tc>
              <w:tc>
                <w:tcPr>
                  <w:tcW w:w="324" w:type="pct"/>
                  <w:vMerge w:val="continue"/>
                  <w:shd w:val="clear" w:color="auto" w:fill="auto"/>
                  <w:vAlign w:val="center"/>
                </w:tcPr>
                <w:p w14:paraId="4DD36A6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547" w:type="pct"/>
                  <w:shd w:val="clear" w:color="auto" w:fill="auto"/>
                  <w:vAlign w:val="center"/>
                </w:tcPr>
                <w:p w14:paraId="3D371945">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color w:val="000000" w:themeColor="text1"/>
                      <w:sz w:val="21"/>
                      <w:szCs w:val="21"/>
                      <w14:textFill>
                        <w14:solidFill>
                          <w14:schemeClr w14:val="tx1"/>
                        </w14:solidFill>
                      </w14:textFill>
                    </w:rPr>
                    <w:t>广东省《大气污染物排放限值》（DB44/27-2001）第二时段无组织排放浓度限值</w:t>
                  </w:r>
                </w:p>
              </w:tc>
              <w:tc>
                <w:tcPr>
                  <w:tcW w:w="1103" w:type="pct"/>
                  <w:gridSpan w:val="2"/>
                  <w:shd w:val="clear" w:color="auto" w:fill="auto"/>
                  <w:vAlign w:val="center"/>
                </w:tcPr>
                <w:p w14:paraId="57EE103A">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000000" w:themeColor="text1"/>
                      <w:sz w:val="21"/>
                      <w:szCs w:val="21"/>
                      <w:u w:val="none"/>
                      <w:lang w:val="en-US" w:eastAsia="zh-CN"/>
                      <w14:textFill>
                        <w14:solidFill>
                          <w14:schemeClr w14:val="tx1"/>
                        </w14:solidFill>
                      </w14:textFill>
                    </w:rPr>
                  </w:pPr>
                  <w:r>
                    <w:rPr>
                      <w:rFonts w:hint="eastAsia" w:cs="Times New Roman"/>
                      <w:b w:val="0"/>
                      <w:bCs w:val="0"/>
                      <w:i w:val="0"/>
                      <w:iCs w:val="0"/>
                      <w:color w:val="000000" w:themeColor="text1"/>
                      <w:sz w:val="21"/>
                      <w:szCs w:val="21"/>
                      <w:u w:val="none"/>
                      <w:lang w:val="en-US" w:eastAsia="zh-CN"/>
                      <w14:textFill>
                        <w14:solidFill>
                          <w14:schemeClr w14:val="tx1"/>
                        </w14:solidFill>
                      </w14:textFill>
                    </w:rPr>
                    <w:t>20</w:t>
                  </w:r>
                </w:p>
              </w:tc>
              <w:tc>
                <w:tcPr>
                  <w:tcW w:w="495" w:type="pct"/>
                  <w:shd w:val="clear" w:color="auto" w:fill="auto"/>
                  <w:vAlign w:val="center"/>
                </w:tcPr>
                <w:p w14:paraId="35E6C36E">
                  <w:pPr>
                    <w:jc w:val="center"/>
                    <w:rPr>
                      <w:rFonts w:hint="default" w:ascii="Times New Roman" w:hAnsi="Times New Roman" w:eastAsia="宋体" w:cs="Times New Roman"/>
                      <w:b w:val="0"/>
                      <w:bCs w:val="0"/>
                      <w:i w:val="0"/>
                      <w:iCs w:val="0"/>
                      <w:color w:val="000000" w:themeColor="text1"/>
                      <w:sz w:val="21"/>
                      <w:szCs w:val="21"/>
                      <w:u w:val="none"/>
                      <w:lang w:val="en-US" w:eastAsia="zh-CN"/>
                      <w14:textFill>
                        <w14:solidFill>
                          <w14:schemeClr w14:val="tx1"/>
                        </w14:solidFill>
                      </w14:textFill>
                    </w:rPr>
                  </w:pPr>
                  <w:r>
                    <w:rPr>
                      <w:rFonts w:hint="eastAsia" w:cs="Times New Roman"/>
                      <w:b w:val="0"/>
                      <w:bCs w:val="0"/>
                      <w:i w:val="0"/>
                      <w:iCs w:val="0"/>
                      <w:color w:val="000000" w:themeColor="text1"/>
                      <w:sz w:val="21"/>
                      <w:szCs w:val="21"/>
                      <w:u w:val="none"/>
                      <w:lang w:val="en-US" w:eastAsia="zh-CN"/>
                      <w14:textFill>
                        <w14:solidFill>
                          <w14:schemeClr w14:val="tx1"/>
                        </w14:solidFill>
                      </w14:textFill>
                    </w:rPr>
                    <w:t>少量</w:t>
                  </w:r>
                </w:p>
              </w:tc>
            </w:tr>
            <w:tr w14:paraId="7099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5000" w:type="pct"/>
                  <w:gridSpan w:val="9"/>
                  <w:shd w:val="clear" w:color="auto" w:fill="auto"/>
                  <w:vAlign w:val="center"/>
                </w:tcPr>
                <w:p w14:paraId="748F499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全厂无组织排放总计</w:t>
                  </w:r>
                </w:p>
              </w:tc>
            </w:tr>
            <w:tr w14:paraId="4FCA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restart"/>
                  <w:shd w:val="clear" w:color="auto" w:fill="auto"/>
                  <w:vAlign w:val="center"/>
                </w:tcPr>
                <w:p w14:paraId="1B6A70F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Style w:val="167"/>
                      <w:color w:val="000000" w:themeColor="text1"/>
                      <w:lang w:val="en-US" w:eastAsia="zh-CN" w:bidi="ar"/>
                      <w14:textFill>
                        <w14:solidFill>
                          <w14:schemeClr w14:val="tx1"/>
                        </w14:solidFill>
                      </w14:textFill>
                    </w:rPr>
                    <w:t>全厂无组织排放总计</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4169" w:type="pct"/>
                  <w:gridSpan w:val="7"/>
                  <w:shd w:val="clear" w:color="auto" w:fill="auto"/>
                  <w:vAlign w:val="center"/>
                </w:tcPr>
                <w:p w14:paraId="044832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Style w:val="167"/>
                      <w:color w:val="000000" w:themeColor="text1"/>
                      <w:lang w:val="en-US" w:eastAsia="zh-CN" w:bidi="ar"/>
                      <w14:textFill>
                        <w14:solidFill>
                          <w14:schemeClr w14:val="tx1"/>
                        </w14:solidFill>
                      </w14:textFill>
                    </w:rPr>
                    <w:t>颗粒物</w:t>
                  </w:r>
                </w:p>
              </w:tc>
              <w:tc>
                <w:tcPr>
                  <w:tcW w:w="1273" w:type="dxa"/>
                  <w:shd w:val="clear" w:color="auto" w:fill="auto"/>
                  <w:vAlign w:val="center"/>
                </w:tcPr>
                <w:p w14:paraId="7254C78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cs="Times New Roman"/>
                      <w:i w:val="0"/>
                      <w:iCs w:val="0"/>
                      <w:color w:val="000000" w:themeColor="text1"/>
                      <w:kern w:val="0"/>
                      <w:sz w:val="21"/>
                      <w:szCs w:val="21"/>
                      <w:u w:val="none"/>
                      <w:lang w:val="en-US" w:eastAsia="zh-CN" w:bidi="ar"/>
                      <w14:textFill>
                        <w14:solidFill>
                          <w14:schemeClr w14:val="tx1"/>
                        </w14:solidFill>
                      </w14:textFill>
                    </w:rPr>
                    <w:t>277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3096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4BB70053">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169" w:type="pct"/>
                  <w:gridSpan w:val="7"/>
                  <w:shd w:val="clear" w:color="auto" w:fill="auto"/>
                  <w:vAlign w:val="center"/>
                </w:tcPr>
                <w:p w14:paraId="6A475D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VOCs</w:t>
                  </w:r>
                </w:p>
              </w:tc>
              <w:tc>
                <w:tcPr>
                  <w:tcW w:w="1273" w:type="dxa"/>
                  <w:shd w:val="clear" w:color="auto" w:fill="auto"/>
                  <w:vAlign w:val="center"/>
                </w:tcPr>
                <w:p w14:paraId="5009D2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0.352 </w:t>
                  </w:r>
                </w:p>
              </w:tc>
            </w:tr>
            <w:tr w14:paraId="07B1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7992C562">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169" w:type="pct"/>
                  <w:gridSpan w:val="7"/>
                  <w:shd w:val="clear" w:color="auto" w:fill="auto"/>
                  <w:vAlign w:val="center"/>
                </w:tcPr>
                <w:p w14:paraId="44290A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Style w:val="167"/>
                      <w:color w:val="000000" w:themeColor="text1"/>
                      <w:lang w:val="en-US" w:eastAsia="zh-CN" w:bidi="ar"/>
                      <w14:textFill>
                        <w14:solidFill>
                          <w14:schemeClr w14:val="tx1"/>
                        </w14:solidFill>
                      </w14:textFill>
                    </w:rPr>
                    <w:t>苯系物</w:t>
                  </w:r>
                </w:p>
              </w:tc>
              <w:tc>
                <w:tcPr>
                  <w:tcW w:w="1273" w:type="dxa"/>
                  <w:shd w:val="clear" w:color="auto" w:fill="auto"/>
                  <w:vAlign w:val="center"/>
                </w:tcPr>
                <w:p w14:paraId="6F4CFC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0.170 </w:t>
                  </w:r>
                </w:p>
              </w:tc>
            </w:tr>
            <w:tr w14:paraId="5324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32685216">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169" w:type="pct"/>
                  <w:gridSpan w:val="7"/>
                  <w:shd w:val="clear" w:color="auto" w:fill="auto"/>
                  <w:vAlign w:val="center"/>
                </w:tcPr>
                <w:p w14:paraId="384D6D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495" w:type="pct"/>
                  <w:shd w:val="clear" w:color="auto" w:fill="auto"/>
                  <w:vAlign w:val="center"/>
                </w:tcPr>
                <w:p w14:paraId="0625177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w:t>
                  </w:r>
                </w:p>
              </w:tc>
            </w:tr>
            <w:tr w14:paraId="7394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558E71F5">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169" w:type="pct"/>
                  <w:gridSpan w:val="7"/>
                  <w:shd w:val="clear" w:color="auto" w:fill="auto"/>
                  <w:vAlign w:val="center"/>
                </w:tcPr>
                <w:p w14:paraId="5E9A1C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NO</w:t>
                  </w:r>
                  <w:r>
                    <w:rPr>
                      <w:rFonts w:hint="eastAsia"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x</w:t>
                  </w:r>
                </w:p>
              </w:tc>
              <w:tc>
                <w:tcPr>
                  <w:tcW w:w="495" w:type="pct"/>
                  <w:shd w:val="clear" w:color="auto" w:fill="auto"/>
                  <w:vAlign w:val="center"/>
                </w:tcPr>
                <w:p w14:paraId="05853BE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w:t>
                  </w:r>
                </w:p>
              </w:tc>
            </w:tr>
            <w:tr w14:paraId="12BD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3F5914FD">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169" w:type="pct"/>
                  <w:gridSpan w:val="7"/>
                  <w:shd w:val="clear" w:color="auto" w:fill="auto"/>
                  <w:vAlign w:val="center"/>
                </w:tcPr>
                <w:p w14:paraId="45C82B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Style w:val="167"/>
                      <w:color w:val="000000" w:themeColor="text1"/>
                      <w:lang w:val="en-US" w:eastAsia="zh-CN" w:bidi="ar"/>
                      <w14:textFill>
                        <w14:solidFill>
                          <w14:schemeClr w14:val="tx1"/>
                        </w14:solidFill>
                      </w14:textFill>
                    </w:rPr>
                    <w:t>臭气浓度</w:t>
                  </w:r>
                </w:p>
              </w:tc>
              <w:tc>
                <w:tcPr>
                  <w:tcW w:w="495" w:type="pct"/>
                  <w:shd w:val="clear" w:color="auto" w:fill="auto"/>
                  <w:vAlign w:val="center"/>
                </w:tcPr>
                <w:p w14:paraId="67D8AD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少量</w:t>
                  </w:r>
                </w:p>
              </w:tc>
            </w:tr>
            <w:tr w14:paraId="4B29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335" w:type="pct"/>
                  <w:vMerge w:val="continue"/>
                  <w:shd w:val="clear" w:color="auto" w:fill="auto"/>
                  <w:vAlign w:val="center"/>
                </w:tcPr>
                <w:p w14:paraId="5802D5C5">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169" w:type="pct"/>
                  <w:gridSpan w:val="7"/>
                  <w:shd w:val="clear" w:color="auto" w:fill="auto"/>
                  <w:vAlign w:val="center"/>
                </w:tcPr>
                <w:p w14:paraId="317BC968">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氟化物</w:t>
                  </w:r>
                </w:p>
              </w:tc>
              <w:tc>
                <w:tcPr>
                  <w:tcW w:w="495" w:type="pct"/>
                  <w:shd w:val="clear" w:color="auto" w:fill="auto"/>
                  <w:noWrap/>
                  <w:vAlign w:val="center"/>
                </w:tcPr>
                <w:p w14:paraId="57DCFA33">
                  <w:pPr>
                    <w:jc w:val="center"/>
                    <w:rPr>
                      <w:rFonts w:hint="default" w:ascii="Times New Roman" w:hAnsi="Times New Roman" w:eastAsia="宋体" w:cs="Times New Roman"/>
                      <w:i w:val="0"/>
                      <w:iCs w:val="0"/>
                      <w:color w:val="000000" w:themeColor="text1"/>
                      <w:sz w:val="24"/>
                      <w:szCs w:val="24"/>
                      <w:u w:val="none"/>
                      <w14:textFill>
                        <w14:solidFill>
                          <w14:schemeClr w14:val="tx1"/>
                        </w14:solidFill>
                      </w14:textFill>
                    </w:rPr>
                  </w:pPr>
                  <w:r>
                    <w:rPr>
                      <w:rFonts w:hint="eastAsia" w:cs="Times New Roman"/>
                      <w:b w:val="0"/>
                      <w:bCs w:val="0"/>
                      <w:i w:val="0"/>
                      <w:iCs w:val="0"/>
                      <w:color w:val="000000" w:themeColor="text1"/>
                      <w:sz w:val="21"/>
                      <w:szCs w:val="21"/>
                      <w:u w:val="none"/>
                      <w:lang w:val="en-US" w:eastAsia="zh-CN"/>
                      <w14:textFill>
                        <w14:solidFill>
                          <w14:schemeClr w14:val="tx1"/>
                        </w14:solidFill>
                      </w14:textFill>
                    </w:rPr>
                    <w:t>少量</w:t>
                  </w:r>
                </w:p>
              </w:tc>
            </w:tr>
          </w:tbl>
          <w:p w14:paraId="7B355F70">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表4-5</w:t>
            </w:r>
            <w:r>
              <w:rPr>
                <w:rFonts w:hint="eastAsia" w:ascii="Times New Roman" w:eastAsia="宋体" w:cs="Times New Roman"/>
                <w:b/>
                <w:bCs/>
                <w:color w:val="000000" w:themeColor="text1"/>
                <w:kern w:val="2"/>
                <w:sz w:val="21"/>
                <w:szCs w:val="21"/>
                <w:lang w:val="en-US" w:eastAsia="zh-CN" w:bidi="ar-SA"/>
                <w14:textFill>
                  <w14:solidFill>
                    <w14:schemeClr w14:val="tx1"/>
                  </w14:solidFill>
                </w14:textFill>
              </w:rPr>
              <w:t xml:space="preserve"> </w:t>
            </w:r>
            <w:r>
              <w:rPr>
                <w:b/>
                <w:color w:val="000000" w:themeColor="text1"/>
                <w:sz w:val="21"/>
                <w:szCs w:val="21"/>
                <w:lang w:bidi="ar"/>
                <w14:textFill>
                  <w14:solidFill>
                    <w14:schemeClr w14:val="tx1"/>
                  </w14:solidFill>
                </w14:textFill>
              </w:rPr>
              <w:t>大气污染物年排放核算表</w:t>
            </w:r>
          </w:p>
          <w:tbl>
            <w:tblPr>
              <w:tblStyle w:val="44"/>
              <w:tblW w:w="1283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358"/>
              <w:gridCol w:w="3911"/>
              <w:gridCol w:w="6569"/>
            </w:tblGrid>
            <w:tr w14:paraId="7BFA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3" w:hRule="atLeast"/>
              </w:trPr>
              <w:tc>
                <w:tcPr>
                  <w:tcW w:w="918" w:type="pct"/>
                  <w:shd w:val="clear" w:color="auto" w:fill="auto"/>
                  <w:vAlign w:val="center"/>
                </w:tcPr>
                <w:p w14:paraId="3E6E0C0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序号</w:t>
                  </w:r>
                </w:p>
              </w:tc>
              <w:tc>
                <w:tcPr>
                  <w:tcW w:w="1523" w:type="pct"/>
                  <w:shd w:val="clear" w:color="auto" w:fill="auto"/>
                  <w:vAlign w:val="center"/>
                </w:tcPr>
                <w:p w14:paraId="2089961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污染物</w:t>
                  </w:r>
                </w:p>
              </w:tc>
              <w:tc>
                <w:tcPr>
                  <w:tcW w:w="2558" w:type="pct"/>
                  <w:shd w:val="clear" w:color="auto" w:fill="auto"/>
                  <w:vAlign w:val="center"/>
                </w:tcPr>
                <w:p w14:paraId="4531A1F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年排放量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r>
            <w:tr w14:paraId="66C5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18" w:type="pct"/>
                  <w:vMerge w:val="restart"/>
                  <w:shd w:val="clear" w:color="auto" w:fill="auto"/>
                  <w:vAlign w:val="center"/>
                </w:tcPr>
                <w:p w14:paraId="50F761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523" w:type="pct"/>
                  <w:vMerge w:val="restart"/>
                  <w:shd w:val="clear" w:color="auto" w:fill="auto"/>
                  <w:vAlign w:val="center"/>
                </w:tcPr>
                <w:p w14:paraId="6630243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颗粒物</w:t>
                  </w:r>
                </w:p>
              </w:tc>
              <w:tc>
                <w:tcPr>
                  <w:tcW w:w="6569" w:type="dxa"/>
                  <w:vMerge w:val="restart"/>
                  <w:shd w:val="clear" w:color="auto" w:fill="auto"/>
                  <w:vAlign w:val="center"/>
                </w:tcPr>
                <w:p w14:paraId="00CC5AC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cs="Times New Roman"/>
                      <w:i w:val="0"/>
                      <w:iCs w:val="0"/>
                      <w:color w:val="000000" w:themeColor="text1"/>
                      <w:kern w:val="0"/>
                      <w:sz w:val="21"/>
                      <w:szCs w:val="21"/>
                      <w:u w:val="none"/>
                      <w:lang w:val="en-US" w:eastAsia="zh-CN" w:bidi="ar"/>
                      <w14:textFill>
                        <w14:solidFill>
                          <w14:schemeClr w14:val="tx1"/>
                        </w14:solidFill>
                      </w14:textFill>
                    </w:rPr>
                    <w:t>352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05FB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18" w:type="pct"/>
                  <w:vMerge w:val="continue"/>
                  <w:shd w:val="clear" w:color="auto" w:fill="auto"/>
                  <w:vAlign w:val="center"/>
                </w:tcPr>
                <w:p w14:paraId="7247B60F">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523" w:type="pct"/>
                  <w:vMerge w:val="continue"/>
                  <w:shd w:val="clear" w:color="auto" w:fill="auto"/>
                  <w:vAlign w:val="center"/>
                </w:tcPr>
                <w:p w14:paraId="55B2559A">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558" w:type="pct"/>
                  <w:vMerge w:val="continue"/>
                  <w:shd w:val="clear" w:color="auto" w:fill="auto"/>
                  <w:vAlign w:val="center"/>
                </w:tcPr>
                <w:p w14:paraId="4EF72B28">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2D96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700E66E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523" w:type="pct"/>
                  <w:shd w:val="clear" w:color="auto" w:fill="auto"/>
                  <w:vAlign w:val="center"/>
                </w:tcPr>
                <w:p w14:paraId="62CF05A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w:t>
                  </w:r>
                </w:p>
              </w:tc>
              <w:tc>
                <w:tcPr>
                  <w:tcW w:w="6569" w:type="dxa"/>
                  <w:shd w:val="clear" w:color="auto" w:fill="auto"/>
                  <w:vAlign w:val="center"/>
                </w:tcPr>
                <w:p w14:paraId="58D9FF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1.022 </w:t>
                  </w:r>
                </w:p>
              </w:tc>
            </w:tr>
            <w:tr w14:paraId="051E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2D20D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1523" w:type="pct"/>
                  <w:shd w:val="clear" w:color="auto" w:fill="auto"/>
                  <w:vAlign w:val="center"/>
                </w:tcPr>
                <w:p w14:paraId="5539A1F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苯系物</w:t>
                  </w:r>
                </w:p>
              </w:tc>
              <w:tc>
                <w:tcPr>
                  <w:tcW w:w="6569" w:type="dxa"/>
                  <w:shd w:val="clear" w:color="auto" w:fill="auto"/>
                  <w:vAlign w:val="center"/>
                </w:tcPr>
                <w:p w14:paraId="186F7B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0.483 </w:t>
                  </w:r>
                </w:p>
              </w:tc>
            </w:tr>
            <w:tr w14:paraId="7743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6C70C4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523" w:type="pct"/>
                  <w:shd w:val="clear" w:color="auto" w:fill="auto"/>
                  <w:vAlign w:val="center"/>
                </w:tcPr>
                <w:p w14:paraId="7FCA37C7">
                  <w:pPr>
                    <w:keepNext w:val="0"/>
                    <w:keepLines w:val="0"/>
                    <w:widowControl/>
                    <w:suppressLineNumbers w:val="0"/>
                    <w:jc w:val="center"/>
                    <w:textAlignment w:val="center"/>
                    <w:rPr>
                      <w:rFonts w:hint="default" w:ascii="宋体" w:hAnsi="宋体" w:eastAsia="宋体" w:cs="宋体"/>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6569" w:type="dxa"/>
                  <w:shd w:val="clear" w:color="auto" w:fill="auto"/>
                  <w:vAlign w:val="center"/>
                </w:tcPr>
                <w:p w14:paraId="47B21F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0.036 </w:t>
                  </w:r>
                </w:p>
              </w:tc>
            </w:tr>
            <w:tr w14:paraId="00FE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ABD3C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523" w:type="pct"/>
                  <w:shd w:val="clear" w:color="auto" w:fill="auto"/>
                  <w:vAlign w:val="center"/>
                </w:tcPr>
                <w:p w14:paraId="5D5D4A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NO</w:t>
                  </w:r>
                  <w:r>
                    <w:rPr>
                      <w:rFonts w:hint="eastAsia" w:cs="Times New Roman"/>
                      <w:i w:val="0"/>
                      <w:iCs w:val="0"/>
                      <w:color w:val="000000" w:themeColor="text1"/>
                      <w:kern w:val="0"/>
                      <w:sz w:val="21"/>
                      <w:szCs w:val="21"/>
                      <w:u w:val="none"/>
                      <w:lang w:val="en-US" w:eastAsia="zh-CN" w:bidi="ar"/>
                      <w14:textFill>
                        <w14:solidFill>
                          <w14:schemeClr w14:val="tx1"/>
                        </w14:solidFill>
                      </w14:textFill>
                    </w:rPr>
                    <w:t>x</w:t>
                  </w:r>
                </w:p>
              </w:tc>
              <w:tc>
                <w:tcPr>
                  <w:tcW w:w="6569" w:type="dxa"/>
                  <w:shd w:val="clear" w:color="auto" w:fill="auto"/>
                  <w:vAlign w:val="center"/>
                </w:tcPr>
                <w:p w14:paraId="7553D4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0.341 </w:t>
                  </w:r>
                </w:p>
              </w:tc>
            </w:tr>
            <w:tr w14:paraId="2E38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A9A21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523" w:type="pct"/>
                  <w:shd w:val="clear" w:color="auto" w:fill="auto"/>
                  <w:vAlign w:val="center"/>
                </w:tcPr>
                <w:p w14:paraId="308A72B8">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油烟</w:t>
                  </w:r>
                </w:p>
              </w:tc>
              <w:tc>
                <w:tcPr>
                  <w:tcW w:w="6569" w:type="dxa"/>
                  <w:shd w:val="clear" w:color="auto" w:fill="auto"/>
                  <w:vAlign w:val="center"/>
                </w:tcPr>
                <w:p w14:paraId="5DA792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r>
            <w:tr w14:paraId="23B3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18" w:type="pct"/>
                  <w:shd w:val="clear" w:color="auto" w:fill="auto"/>
                  <w:vAlign w:val="center"/>
                </w:tcPr>
                <w:p w14:paraId="192E51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1523" w:type="pct"/>
                  <w:shd w:val="clear" w:color="auto" w:fill="auto"/>
                  <w:vAlign w:val="center"/>
                </w:tcPr>
                <w:p w14:paraId="780C4313">
                  <w:pPr>
                    <w:keepNext w:val="0"/>
                    <w:keepLines w:val="0"/>
                    <w:widowControl/>
                    <w:suppressLineNumbers w:val="0"/>
                    <w:jc w:val="center"/>
                    <w:textAlignment w:val="center"/>
                    <w:rPr>
                      <w:rFonts w:hint="default" w:ascii="宋体" w:hAnsi="宋体" w:eastAsia="宋体" w:cs="宋体"/>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臭气浓度</w:t>
                  </w:r>
                </w:p>
              </w:tc>
              <w:tc>
                <w:tcPr>
                  <w:tcW w:w="2558" w:type="pct"/>
                  <w:shd w:val="clear" w:color="auto" w:fill="auto"/>
                  <w:vAlign w:val="center"/>
                </w:tcPr>
                <w:p w14:paraId="1AA0BD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3537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18" w:type="pct"/>
                  <w:shd w:val="clear" w:color="auto" w:fill="auto"/>
                  <w:vAlign w:val="center"/>
                </w:tcPr>
                <w:p w14:paraId="484B04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8</w:t>
                  </w:r>
                </w:p>
              </w:tc>
              <w:tc>
                <w:tcPr>
                  <w:tcW w:w="1523" w:type="pct"/>
                  <w:shd w:val="clear" w:color="auto" w:fill="auto"/>
                  <w:vAlign w:val="center"/>
                </w:tcPr>
                <w:p w14:paraId="1448F3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氟化物</w:t>
                  </w:r>
                </w:p>
              </w:tc>
              <w:tc>
                <w:tcPr>
                  <w:tcW w:w="2558" w:type="pct"/>
                  <w:shd w:val="clear" w:color="auto" w:fill="auto"/>
                  <w:vAlign w:val="center"/>
                </w:tcPr>
                <w:p w14:paraId="29B3C7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bl>
          <w:p w14:paraId="19001D51">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表4-6</w:t>
            </w:r>
            <w:r>
              <w:rPr>
                <w:rFonts w:hint="eastAsia" w:ascii="Times New Roman" w:eastAsia="宋体" w:cs="Times New Roman"/>
                <w:b/>
                <w:bCs/>
                <w:color w:val="000000" w:themeColor="text1"/>
                <w:kern w:val="2"/>
                <w:sz w:val="21"/>
                <w:szCs w:val="21"/>
                <w:lang w:val="en-US" w:eastAsia="zh-CN" w:bidi="ar-SA"/>
                <w14:textFill>
                  <w14:solidFill>
                    <w14:schemeClr w14:val="tx1"/>
                  </w14:solidFill>
                </w14:textFill>
              </w:rPr>
              <w:t xml:space="preserve"> </w:t>
            </w:r>
            <w:r>
              <w:rPr>
                <w:rFonts w:ascii="Times New Roman" w:hAnsi="Times New Roman" w:eastAsia="宋体" w:cs="Times New Roman"/>
                <w:b/>
                <w:bCs/>
                <w:color w:val="000000" w:themeColor="text1"/>
                <w:sz w:val="21"/>
                <w:szCs w:val="21"/>
                <w:highlight w:val="none"/>
                <w:lang w:eastAsia="zh-CN"/>
                <w14:textFill>
                  <w14:solidFill>
                    <w14:schemeClr w14:val="tx1"/>
                  </w14:solidFill>
                </w14:textFill>
              </w:rPr>
              <w:t>本项目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废气排放口</w:t>
            </w:r>
            <w:r>
              <w:rPr>
                <w:rFonts w:hint="default" w:ascii="Times New Roman" w:hAnsi="Times New Roman" w:cs="Times New Roman"/>
                <w:b/>
                <w:color w:val="000000" w:themeColor="text1"/>
                <w:sz w:val="21"/>
                <w:szCs w:val="21"/>
                <w:highlight w:val="none"/>
                <w14:textFill>
                  <w14:solidFill>
                    <w14:schemeClr w14:val="tx1"/>
                  </w14:solidFill>
                </w14:textFill>
              </w:rPr>
              <w:t>基本情况信息</w:t>
            </w:r>
            <w:r>
              <w:rPr>
                <w:rFonts w:ascii="Times New Roman" w:hAnsi="Times New Roman" w:eastAsia="宋体" w:cs="Times New Roman"/>
                <w:b/>
                <w:bCs/>
                <w:color w:val="000000" w:themeColor="text1"/>
                <w:sz w:val="21"/>
                <w:szCs w:val="21"/>
                <w:highlight w:val="none"/>
                <w:lang w:eastAsia="zh-CN"/>
                <w14:textFill>
                  <w14:solidFill>
                    <w14:schemeClr w14:val="tx1"/>
                  </w14:solidFill>
                </w14:textFill>
              </w:rPr>
              <w:t>一览表</w:t>
            </w:r>
          </w:p>
          <w:tbl>
            <w:tblPr>
              <w:tblStyle w:val="132"/>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87"/>
              <w:gridCol w:w="2075"/>
              <w:gridCol w:w="1786"/>
              <w:gridCol w:w="1788"/>
              <w:gridCol w:w="1188"/>
              <w:gridCol w:w="721"/>
              <w:gridCol w:w="993"/>
              <w:gridCol w:w="883"/>
              <w:gridCol w:w="929"/>
              <w:gridCol w:w="711"/>
              <w:gridCol w:w="867"/>
            </w:tblGrid>
            <w:tr w14:paraId="24D13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vMerge w:val="restart"/>
                  <w:tcBorders>
                    <w:tl2br w:val="nil"/>
                    <w:tr2bl w:val="nil"/>
                  </w:tcBorders>
                  <w:noWrap w:val="0"/>
                  <w:vAlign w:val="center"/>
                </w:tcPr>
                <w:p w14:paraId="5E9F0A1E">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排污口编号</w:t>
                  </w:r>
                </w:p>
              </w:tc>
              <w:tc>
                <w:tcPr>
                  <w:tcW w:w="809" w:type="pct"/>
                  <w:vMerge w:val="restart"/>
                  <w:tcBorders>
                    <w:tl2br w:val="nil"/>
                    <w:tr2bl w:val="nil"/>
                  </w:tcBorders>
                  <w:noWrap w:val="0"/>
                  <w:vAlign w:val="center"/>
                </w:tcPr>
                <w:p w14:paraId="62383B49">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排污口名称</w:t>
                  </w:r>
                </w:p>
              </w:tc>
              <w:tc>
                <w:tcPr>
                  <w:tcW w:w="1393" w:type="pct"/>
                  <w:gridSpan w:val="2"/>
                  <w:tcBorders>
                    <w:tl2br w:val="nil"/>
                    <w:tr2bl w:val="nil"/>
                  </w:tcBorders>
                  <w:noWrap w:val="0"/>
                  <w:vAlign w:val="center"/>
                </w:tcPr>
                <w:p w14:paraId="08FA901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0"/>
                      <w:sz w:val="21"/>
                      <w:szCs w:val="21"/>
                      <w:highlight w:val="none"/>
                      <w:lang w:eastAsia="zh-CN"/>
                      <w14:textFill>
                        <w14:solidFill>
                          <w14:schemeClr w14:val="tx1"/>
                        </w14:solidFill>
                      </w14:textFill>
                    </w:rPr>
                    <w:t>排放口地理坐标（</w:t>
                  </w:r>
                  <w:r>
                    <w:rPr>
                      <w:rFonts w:hint="default" w:ascii="Times New Roman" w:hAnsi="Times New Roman" w:eastAsia="宋体" w:cs="Times New Roman"/>
                      <w:b/>
                      <w:bCs/>
                      <w:snapToGrid/>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bCs/>
                      <w:snapToGrid/>
                      <w:color w:val="000000" w:themeColor="text1"/>
                      <w:kern w:val="0"/>
                      <w:sz w:val="21"/>
                      <w:szCs w:val="21"/>
                      <w:highlight w:val="none"/>
                      <w:lang w:eastAsia="zh-CN"/>
                      <w14:textFill>
                        <w14:solidFill>
                          <w14:schemeClr w14:val="tx1"/>
                        </w14:solidFill>
                      </w14:textFill>
                    </w:rPr>
                    <w:t>）</w:t>
                  </w:r>
                </w:p>
              </w:tc>
              <w:tc>
                <w:tcPr>
                  <w:tcW w:w="463" w:type="pct"/>
                  <w:vMerge w:val="restart"/>
                  <w:tcBorders>
                    <w:right w:val="single" w:color="auto" w:sz="4" w:space="0"/>
                    <w:tl2br w:val="nil"/>
                    <w:tr2bl w:val="nil"/>
                  </w:tcBorders>
                  <w:noWrap w:val="0"/>
                  <w:vAlign w:val="center"/>
                </w:tcPr>
                <w:p w14:paraId="3609EB03">
                  <w:pPr>
                    <w:jc w:val="cente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b/>
                      <w:bCs/>
                      <w:snapToGrid/>
                      <w:color w:val="000000" w:themeColor="text1"/>
                      <w:kern w:val="2"/>
                      <w:sz w:val="21"/>
                      <w:szCs w:val="21"/>
                      <w:highlight w:val="none"/>
                      <w:lang w:val="en-US" w:eastAsia="zh-CN"/>
                      <w14:textFill>
                        <w14:solidFill>
                          <w14:schemeClr w14:val="tx1"/>
                        </w14:solidFill>
                      </w14:textFill>
                    </w:rPr>
                    <w:t>类型</w:t>
                  </w:r>
                </w:p>
              </w:tc>
              <w:tc>
                <w:tcPr>
                  <w:tcW w:w="281" w:type="pct"/>
                  <w:vMerge w:val="restart"/>
                  <w:tcBorders>
                    <w:left w:val="single" w:color="auto" w:sz="4" w:space="0"/>
                    <w:right w:val="single" w:color="auto" w:sz="4" w:space="0"/>
                    <w:tl2br w:val="nil"/>
                    <w:tr2bl w:val="nil"/>
                  </w:tcBorders>
                  <w:noWrap w:val="0"/>
                  <w:vAlign w:val="center"/>
                </w:tcPr>
                <w:p w14:paraId="5DCEDAB7">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排气筒高度/m</w:t>
                  </w:r>
                </w:p>
              </w:tc>
              <w:tc>
                <w:tcPr>
                  <w:tcW w:w="387" w:type="pct"/>
                  <w:vMerge w:val="restart"/>
                  <w:tcBorders>
                    <w:left w:val="single" w:color="auto" w:sz="4" w:space="0"/>
                    <w:right w:val="single" w:color="auto" w:sz="4" w:space="0"/>
                    <w:tl2br w:val="nil"/>
                    <w:tr2bl w:val="nil"/>
                  </w:tcBorders>
                  <w:noWrap w:val="0"/>
                  <w:vAlign w:val="center"/>
                </w:tcPr>
                <w:p w14:paraId="195DFD37">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排气筒出口内径/m</w:t>
                  </w:r>
                </w:p>
              </w:tc>
              <w:tc>
                <w:tcPr>
                  <w:tcW w:w="344" w:type="pct"/>
                  <w:vMerge w:val="restart"/>
                  <w:tcBorders>
                    <w:left w:val="single" w:color="auto" w:sz="4" w:space="0"/>
                    <w:right w:val="single" w:color="auto" w:sz="4" w:space="0"/>
                    <w:tl2br w:val="nil"/>
                    <w:tr2bl w:val="nil"/>
                  </w:tcBorders>
                  <w:noWrap w:val="0"/>
                  <w:vAlign w:val="center"/>
                </w:tcPr>
                <w:p w14:paraId="57F041A2">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烟气流速（m/s）</w:t>
                  </w:r>
                </w:p>
              </w:tc>
              <w:tc>
                <w:tcPr>
                  <w:tcW w:w="362" w:type="pct"/>
                  <w:vMerge w:val="restart"/>
                  <w:tcBorders>
                    <w:left w:val="single" w:color="auto" w:sz="4" w:space="0"/>
                    <w:right w:val="single" w:color="auto" w:sz="4" w:space="0"/>
                    <w:tl2br w:val="nil"/>
                    <w:tr2bl w:val="nil"/>
                  </w:tcBorders>
                  <w:noWrap w:val="0"/>
                  <w:vAlign w:val="center"/>
                </w:tcPr>
                <w:p w14:paraId="4D31A556">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烟气量（m³/h）</w:t>
                  </w:r>
                </w:p>
              </w:tc>
              <w:tc>
                <w:tcPr>
                  <w:tcW w:w="277" w:type="pct"/>
                  <w:vMerge w:val="restart"/>
                  <w:tcBorders>
                    <w:left w:val="single" w:color="auto" w:sz="4" w:space="0"/>
                    <w:right w:val="single" w:color="auto" w:sz="4" w:space="0"/>
                    <w:tl2br w:val="nil"/>
                    <w:tr2bl w:val="nil"/>
                  </w:tcBorders>
                  <w:noWrap w:val="0"/>
                  <w:vAlign w:val="center"/>
                </w:tcPr>
                <w:p w14:paraId="383BF8BF">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烟气温度</w:t>
                  </w:r>
                </w:p>
              </w:tc>
              <w:tc>
                <w:tcPr>
                  <w:tcW w:w="335" w:type="pct"/>
                  <w:vMerge w:val="restart"/>
                  <w:tcBorders>
                    <w:left w:val="single" w:color="auto" w:sz="4" w:space="0"/>
                    <w:tl2br w:val="nil"/>
                    <w:tr2bl w:val="nil"/>
                  </w:tcBorders>
                  <w:noWrap w:val="0"/>
                  <w:vAlign w:val="center"/>
                </w:tcPr>
                <w:p w14:paraId="0DA4124F">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年排放小时数/h</w:t>
                  </w:r>
                </w:p>
              </w:tc>
            </w:tr>
            <w:tr w14:paraId="63C5D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vMerge w:val="continue"/>
                  <w:tcBorders>
                    <w:tl2br w:val="nil"/>
                    <w:tr2bl w:val="nil"/>
                  </w:tcBorders>
                  <w:noWrap w:val="0"/>
                  <w:vAlign w:val="center"/>
                </w:tcPr>
                <w:p w14:paraId="44BAB7B9">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p>
              </w:tc>
              <w:tc>
                <w:tcPr>
                  <w:tcW w:w="809" w:type="pct"/>
                  <w:vMerge w:val="continue"/>
                  <w:tcBorders>
                    <w:tl2br w:val="nil"/>
                    <w:tr2bl w:val="nil"/>
                  </w:tcBorders>
                  <w:noWrap w:val="0"/>
                  <w:vAlign w:val="center"/>
                </w:tcPr>
                <w:p w14:paraId="5EF67F4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p>
              </w:tc>
              <w:tc>
                <w:tcPr>
                  <w:tcW w:w="696" w:type="pct"/>
                  <w:tcBorders>
                    <w:tl2br w:val="nil"/>
                    <w:tr2bl w:val="nil"/>
                  </w:tcBorders>
                  <w:noWrap w:val="0"/>
                  <w:vAlign w:val="center"/>
                </w:tcPr>
                <w:p w14:paraId="3D807DF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0"/>
                      <w:sz w:val="21"/>
                      <w:szCs w:val="21"/>
                      <w:highlight w:val="none"/>
                      <w:lang w:eastAsia="zh-CN"/>
                      <w14:textFill>
                        <w14:solidFill>
                          <w14:schemeClr w14:val="tx1"/>
                        </w14:solidFill>
                      </w14:textFill>
                    </w:rPr>
                    <w:t>经度</w:t>
                  </w:r>
                </w:p>
              </w:tc>
              <w:tc>
                <w:tcPr>
                  <w:tcW w:w="696" w:type="pct"/>
                  <w:tcBorders>
                    <w:tl2br w:val="nil"/>
                    <w:tr2bl w:val="nil"/>
                  </w:tcBorders>
                  <w:noWrap w:val="0"/>
                  <w:vAlign w:val="center"/>
                </w:tcPr>
                <w:p w14:paraId="16968B6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0"/>
                      <w:sz w:val="21"/>
                      <w:szCs w:val="21"/>
                      <w:highlight w:val="none"/>
                      <w:lang w:eastAsia="zh-CN"/>
                      <w14:textFill>
                        <w14:solidFill>
                          <w14:schemeClr w14:val="tx1"/>
                        </w14:solidFill>
                      </w14:textFill>
                    </w:rPr>
                    <w:t>纬度</w:t>
                  </w:r>
                </w:p>
              </w:tc>
              <w:tc>
                <w:tcPr>
                  <w:tcW w:w="463" w:type="pct"/>
                  <w:vMerge w:val="continue"/>
                  <w:tcBorders>
                    <w:right w:val="single" w:color="auto" w:sz="4" w:space="0"/>
                    <w:tl2br w:val="nil"/>
                    <w:tr2bl w:val="nil"/>
                  </w:tcBorders>
                  <w:noWrap w:val="0"/>
                  <w:vAlign w:val="center"/>
                </w:tcPr>
                <w:p w14:paraId="51A72938">
                  <w:pPr>
                    <w:jc w:val="cente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p>
              </w:tc>
              <w:tc>
                <w:tcPr>
                  <w:tcW w:w="281" w:type="pct"/>
                  <w:vMerge w:val="continue"/>
                  <w:tcBorders>
                    <w:left w:val="single" w:color="auto" w:sz="4" w:space="0"/>
                    <w:right w:val="single" w:color="auto" w:sz="4" w:space="0"/>
                    <w:tl2br w:val="nil"/>
                    <w:tr2bl w:val="nil"/>
                  </w:tcBorders>
                  <w:noWrap w:val="0"/>
                  <w:vAlign w:val="center"/>
                </w:tcPr>
                <w:p w14:paraId="5E807E73">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p>
              </w:tc>
              <w:tc>
                <w:tcPr>
                  <w:tcW w:w="387" w:type="pct"/>
                  <w:vMerge w:val="continue"/>
                  <w:tcBorders>
                    <w:left w:val="single" w:color="auto" w:sz="4" w:space="0"/>
                    <w:right w:val="single" w:color="auto" w:sz="4" w:space="0"/>
                    <w:tl2br w:val="nil"/>
                    <w:tr2bl w:val="nil"/>
                  </w:tcBorders>
                  <w:noWrap w:val="0"/>
                  <w:vAlign w:val="center"/>
                </w:tcPr>
                <w:p w14:paraId="6CDBB8FB">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p>
              </w:tc>
              <w:tc>
                <w:tcPr>
                  <w:tcW w:w="344" w:type="pct"/>
                  <w:vMerge w:val="continue"/>
                  <w:tcBorders>
                    <w:left w:val="single" w:color="auto" w:sz="4" w:space="0"/>
                    <w:right w:val="single" w:color="auto" w:sz="4" w:space="0"/>
                    <w:tl2br w:val="nil"/>
                    <w:tr2bl w:val="nil"/>
                  </w:tcBorders>
                  <w:noWrap w:val="0"/>
                  <w:vAlign w:val="center"/>
                </w:tcPr>
                <w:p w14:paraId="1F024D19">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p>
              </w:tc>
              <w:tc>
                <w:tcPr>
                  <w:tcW w:w="362" w:type="pct"/>
                  <w:vMerge w:val="continue"/>
                  <w:tcBorders>
                    <w:left w:val="single" w:color="auto" w:sz="4" w:space="0"/>
                    <w:right w:val="single" w:color="auto" w:sz="4" w:space="0"/>
                    <w:tl2br w:val="nil"/>
                    <w:tr2bl w:val="nil"/>
                  </w:tcBorders>
                  <w:noWrap w:val="0"/>
                  <w:vAlign w:val="center"/>
                </w:tcPr>
                <w:p w14:paraId="7F4A6F30">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p>
              </w:tc>
              <w:tc>
                <w:tcPr>
                  <w:tcW w:w="277" w:type="pct"/>
                  <w:vMerge w:val="continue"/>
                  <w:tcBorders>
                    <w:left w:val="single" w:color="auto" w:sz="4" w:space="0"/>
                    <w:right w:val="single" w:color="auto" w:sz="4" w:space="0"/>
                    <w:tl2br w:val="nil"/>
                    <w:tr2bl w:val="nil"/>
                  </w:tcBorders>
                  <w:noWrap w:val="0"/>
                  <w:vAlign w:val="center"/>
                </w:tcPr>
                <w:p w14:paraId="4DCDEADA">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p>
              </w:tc>
              <w:tc>
                <w:tcPr>
                  <w:tcW w:w="335" w:type="pct"/>
                  <w:vMerge w:val="continue"/>
                  <w:tcBorders>
                    <w:left w:val="single" w:color="auto" w:sz="4" w:space="0"/>
                    <w:tl2br w:val="nil"/>
                    <w:tr2bl w:val="nil"/>
                  </w:tcBorders>
                  <w:noWrap w:val="0"/>
                  <w:vAlign w:val="center"/>
                </w:tcPr>
                <w:p w14:paraId="497B8D27">
                  <w:pPr>
                    <w:jc w:val="cente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pPr>
                </w:p>
              </w:tc>
            </w:tr>
            <w:tr w14:paraId="4E359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473095BC">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DA001</w:t>
                  </w:r>
                </w:p>
              </w:tc>
              <w:tc>
                <w:tcPr>
                  <w:tcW w:w="809" w:type="pct"/>
                  <w:tcBorders>
                    <w:tl2br w:val="nil"/>
                    <w:tr2bl w:val="nil"/>
                  </w:tcBorders>
                  <w:noWrap w:val="0"/>
                  <w:vAlign w:val="center"/>
                </w:tcPr>
                <w:p w14:paraId="6CC0977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喷漆废气</w:t>
                  </w:r>
                </w:p>
              </w:tc>
              <w:tc>
                <w:tcPr>
                  <w:tcW w:w="696" w:type="pct"/>
                  <w:tcBorders>
                    <w:tl2br w:val="nil"/>
                    <w:tr2bl w:val="nil"/>
                  </w:tcBorders>
                  <w:noWrap w:val="0"/>
                  <w:vAlign w:val="center"/>
                </w:tcPr>
                <w:p w14:paraId="268489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113°24′29.324″</w:t>
                  </w:r>
                </w:p>
              </w:tc>
              <w:tc>
                <w:tcPr>
                  <w:tcW w:w="696" w:type="pct"/>
                  <w:tcBorders>
                    <w:tl2br w:val="nil"/>
                    <w:tr2bl w:val="nil"/>
                  </w:tcBorders>
                  <w:noWrap w:val="0"/>
                  <w:vAlign w:val="center"/>
                </w:tcPr>
                <w:p w14:paraId="6D834D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25°9′22.603″</w:t>
                  </w:r>
                </w:p>
              </w:tc>
              <w:tc>
                <w:tcPr>
                  <w:tcW w:w="463" w:type="pct"/>
                  <w:tcBorders>
                    <w:tl2br w:val="nil"/>
                    <w:tr2bl w:val="nil"/>
                  </w:tcBorders>
                  <w:noWrap w:val="0"/>
                  <w:vAlign w:val="center"/>
                </w:tcPr>
                <w:p w14:paraId="1649E28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主要</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排放口</w:t>
                  </w:r>
                </w:p>
              </w:tc>
              <w:tc>
                <w:tcPr>
                  <w:tcW w:w="281" w:type="pct"/>
                  <w:tcBorders>
                    <w:tl2br w:val="nil"/>
                    <w:tr2bl w:val="nil"/>
                  </w:tcBorders>
                  <w:noWrap w:val="0"/>
                  <w:vAlign w:val="center"/>
                </w:tcPr>
                <w:p w14:paraId="1A01B2A0">
                  <w:pPr>
                    <w:widowControl w:val="0"/>
                    <w:kinsoku/>
                    <w:autoSpaceDE/>
                    <w:autoSpaceDN/>
                    <w:adjustRightInd w:val="0"/>
                    <w:snapToGrid w:val="0"/>
                    <w:spacing w:line="240" w:lineRule="auto"/>
                    <w:jc w:val="center"/>
                    <w:textAlignment w:val="auto"/>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15</w:t>
                  </w:r>
                </w:p>
              </w:tc>
              <w:tc>
                <w:tcPr>
                  <w:tcW w:w="387" w:type="pct"/>
                  <w:tcBorders>
                    <w:right w:val="single" w:color="auto" w:sz="4" w:space="0"/>
                    <w:tl2br w:val="nil"/>
                    <w:tr2bl w:val="nil"/>
                  </w:tcBorders>
                  <w:noWrap w:val="0"/>
                  <w:vAlign w:val="center"/>
                </w:tcPr>
                <w:p w14:paraId="4756A01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2.1</w:t>
                  </w:r>
                </w:p>
              </w:tc>
              <w:tc>
                <w:tcPr>
                  <w:tcW w:w="344" w:type="pct"/>
                  <w:tcBorders>
                    <w:left w:val="single" w:color="auto" w:sz="4" w:space="0"/>
                    <w:tl2br w:val="nil"/>
                    <w:tr2bl w:val="nil"/>
                  </w:tcBorders>
                  <w:noWrap w:val="0"/>
                  <w:vAlign w:val="center"/>
                </w:tcPr>
                <w:p w14:paraId="35584D5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14.5</w:t>
                  </w:r>
                </w:p>
              </w:tc>
              <w:tc>
                <w:tcPr>
                  <w:tcW w:w="362" w:type="pct"/>
                  <w:tcBorders>
                    <w:right w:val="single" w:color="auto" w:sz="4" w:space="0"/>
                    <w:tl2br w:val="nil"/>
                    <w:tr2bl w:val="nil"/>
                  </w:tcBorders>
                  <w:noWrap w:val="0"/>
                  <w:vAlign w:val="center"/>
                </w:tcPr>
                <w:p w14:paraId="0939DA2E">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181200</w:t>
                  </w:r>
                </w:p>
              </w:tc>
              <w:tc>
                <w:tcPr>
                  <w:tcW w:w="277" w:type="pct"/>
                  <w:tcBorders>
                    <w:left w:val="single" w:color="auto" w:sz="4" w:space="0"/>
                    <w:tl2br w:val="nil"/>
                    <w:tr2bl w:val="nil"/>
                  </w:tcBorders>
                  <w:noWrap w:val="0"/>
                  <w:vAlign w:val="center"/>
                </w:tcPr>
                <w:p w14:paraId="08E72068">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25</w:t>
                  </w:r>
                  <w:r>
                    <w:rPr>
                      <w:rFonts w:hint="default" w:ascii="Times New Roman" w:hAnsi="Times New Roman" w:cs="Times New Roman"/>
                      <w:b w:val="0"/>
                      <w:bCs w:val="0"/>
                      <w:color w:val="000000" w:themeColor="text1"/>
                      <w:sz w:val="21"/>
                      <w:szCs w:val="21"/>
                      <w:highlight w:val="none"/>
                      <w14:textFill>
                        <w14:solidFill>
                          <w14:schemeClr w14:val="tx1"/>
                        </w14:solidFill>
                      </w14:textFill>
                    </w:rPr>
                    <w:t>℃</w:t>
                  </w:r>
                </w:p>
              </w:tc>
              <w:tc>
                <w:tcPr>
                  <w:tcW w:w="335" w:type="pct"/>
                  <w:tcBorders>
                    <w:tl2br w:val="nil"/>
                    <w:tr2bl w:val="nil"/>
                  </w:tcBorders>
                  <w:noWrap w:val="0"/>
                  <w:vAlign w:val="center"/>
                </w:tcPr>
                <w:p w14:paraId="5C2EE0B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1928</w:t>
                  </w:r>
                </w:p>
              </w:tc>
            </w:tr>
            <w:tr w14:paraId="46FD5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2E2AB2B2">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DA002</w:t>
                  </w:r>
                </w:p>
              </w:tc>
              <w:tc>
                <w:tcPr>
                  <w:tcW w:w="809" w:type="pct"/>
                  <w:tcBorders>
                    <w:tl2br w:val="nil"/>
                    <w:tr2bl w:val="nil"/>
                  </w:tcBorders>
                  <w:noWrap w:val="0"/>
                  <w:vAlign w:val="center"/>
                </w:tcPr>
                <w:p w14:paraId="7F19D574">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固化废气</w:t>
                  </w:r>
                </w:p>
              </w:tc>
              <w:tc>
                <w:tcPr>
                  <w:tcW w:w="696" w:type="pct"/>
                  <w:tcBorders>
                    <w:tl2br w:val="nil"/>
                    <w:tr2bl w:val="nil"/>
                  </w:tcBorders>
                  <w:noWrap w:val="0"/>
                  <w:vAlign w:val="center"/>
                </w:tcPr>
                <w:p w14:paraId="55AF90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113°24′29.459″</w:t>
                  </w:r>
                </w:p>
              </w:tc>
              <w:tc>
                <w:tcPr>
                  <w:tcW w:w="696" w:type="pct"/>
                  <w:tcBorders>
                    <w:tl2br w:val="nil"/>
                    <w:tr2bl w:val="nil"/>
                  </w:tcBorders>
                  <w:noWrap w:val="0"/>
                  <w:vAlign w:val="center"/>
                </w:tcPr>
                <w:p w14:paraId="3998DA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25°9′24.41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63" w:type="pct"/>
                  <w:tcBorders>
                    <w:tl2br w:val="nil"/>
                    <w:tr2bl w:val="nil"/>
                  </w:tcBorders>
                  <w:noWrap w:val="0"/>
                  <w:vAlign w:val="center"/>
                </w:tcPr>
                <w:p w14:paraId="6181C2D0">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主要排放口</w:t>
                  </w:r>
                </w:p>
              </w:tc>
              <w:tc>
                <w:tcPr>
                  <w:tcW w:w="281" w:type="pct"/>
                  <w:tcBorders>
                    <w:tl2br w:val="nil"/>
                    <w:tr2bl w:val="nil"/>
                  </w:tcBorders>
                  <w:noWrap w:val="0"/>
                  <w:vAlign w:val="center"/>
                </w:tcPr>
                <w:p w14:paraId="7088B729">
                  <w:pPr>
                    <w:widowControl w:val="0"/>
                    <w:kinsoku/>
                    <w:autoSpaceDE/>
                    <w:autoSpaceDN/>
                    <w:adjustRightInd w:val="0"/>
                    <w:snapToGrid w:val="0"/>
                    <w:spacing w:line="240" w:lineRule="auto"/>
                    <w:jc w:val="center"/>
                    <w:textAlignment w:val="auto"/>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1"/>
                      <w:szCs w:val="21"/>
                      <w:highlight w:val="none"/>
                      <w:lang w:val="en-US" w:eastAsia="zh-CN"/>
                      <w14:textFill>
                        <w14:solidFill>
                          <w14:schemeClr w14:val="tx1"/>
                        </w14:solidFill>
                      </w14:textFill>
                    </w:rPr>
                    <w:t>15</w:t>
                  </w:r>
                </w:p>
              </w:tc>
              <w:tc>
                <w:tcPr>
                  <w:tcW w:w="387" w:type="pct"/>
                  <w:tcBorders>
                    <w:right w:val="single" w:color="auto" w:sz="4" w:space="0"/>
                    <w:tl2br w:val="nil"/>
                    <w:tr2bl w:val="nil"/>
                  </w:tcBorders>
                  <w:noWrap w:val="0"/>
                  <w:vAlign w:val="center"/>
                </w:tcPr>
                <w:p w14:paraId="1460CA5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w:t>
                  </w:r>
                </w:p>
              </w:tc>
              <w:tc>
                <w:tcPr>
                  <w:tcW w:w="344" w:type="pct"/>
                  <w:tcBorders>
                    <w:left w:val="single" w:color="auto" w:sz="4" w:space="0"/>
                    <w:tl2br w:val="nil"/>
                    <w:tr2bl w:val="nil"/>
                  </w:tcBorders>
                  <w:noWrap w:val="0"/>
                  <w:vAlign w:val="center"/>
                </w:tcPr>
                <w:p w14:paraId="613BE77C">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14.1</w:t>
                  </w:r>
                </w:p>
              </w:tc>
              <w:tc>
                <w:tcPr>
                  <w:tcW w:w="362" w:type="pct"/>
                  <w:tcBorders>
                    <w:right w:val="single" w:color="auto" w:sz="4" w:space="0"/>
                    <w:tl2br w:val="nil"/>
                    <w:tr2bl w:val="nil"/>
                  </w:tcBorders>
                  <w:noWrap w:val="0"/>
                  <w:vAlign w:val="center"/>
                </w:tcPr>
                <w:p w14:paraId="560870B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40000</w:t>
                  </w:r>
                </w:p>
              </w:tc>
              <w:tc>
                <w:tcPr>
                  <w:tcW w:w="277" w:type="pct"/>
                  <w:tcBorders>
                    <w:left w:val="single" w:color="auto" w:sz="4" w:space="0"/>
                    <w:tl2br w:val="nil"/>
                    <w:tr2bl w:val="nil"/>
                  </w:tcBorders>
                  <w:noWrap w:val="0"/>
                  <w:vAlign w:val="center"/>
                </w:tcPr>
                <w:p w14:paraId="1BD6590B">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w:t>
                  </w:r>
                  <w:r>
                    <w:rPr>
                      <w:rFonts w:hint="default" w:ascii="Times New Roman" w:hAnsi="Times New Roman" w:cs="Times New Roman"/>
                      <w:b w:val="0"/>
                      <w:bCs w:val="0"/>
                      <w:color w:val="000000" w:themeColor="text1"/>
                      <w:sz w:val="21"/>
                      <w:szCs w:val="21"/>
                      <w:highlight w:val="none"/>
                      <w14:textFill>
                        <w14:solidFill>
                          <w14:schemeClr w14:val="tx1"/>
                        </w14:solidFill>
                      </w14:textFill>
                    </w:rPr>
                    <w:t>℃</w:t>
                  </w:r>
                </w:p>
              </w:tc>
              <w:tc>
                <w:tcPr>
                  <w:tcW w:w="335" w:type="pct"/>
                  <w:tcBorders>
                    <w:tl2br w:val="nil"/>
                    <w:tr2bl w:val="nil"/>
                  </w:tcBorders>
                  <w:noWrap w:val="0"/>
                  <w:vAlign w:val="center"/>
                </w:tcPr>
                <w:p w14:paraId="57E7927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1928</w:t>
                  </w:r>
                </w:p>
              </w:tc>
            </w:tr>
            <w:tr w14:paraId="78CC6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52C5D62D">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DA003</w:t>
                  </w:r>
                </w:p>
              </w:tc>
              <w:tc>
                <w:tcPr>
                  <w:tcW w:w="809" w:type="pct"/>
                  <w:tcBorders>
                    <w:tl2br w:val="nil"/>
                    <w:tr2bl w:val="nil"/>
                  </w:tcBorders>
                  <w:noWrap w:val="0"/>
                  <w:vAlign w:val="center"/>
                </w:tcPr>
                <w:p w14:paraId="5F4115A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油烟排放口</w:t>
                  </w:r>
                </w:p>
              </w:tc>
              <w:tc>
                <w:tcPr>
                  <w:tcW w:w="696" w:type="pct"/>
                  <w:tcBorders>
                    <w:tl2br w:val="nil"/>
                    <w:tr2bl w:val="nil"/>
                  </w:tcBorders>
                  <w:noWrap w:val="0"/>
                  <w:vAlign w:val="center"/>
                </w:tcPr>
                <w:p w14:paraId="562CAAD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113°24′32.858″</w:t>
                  </w:r>
                </w:p>
              </w:tc>
              <w:tc>
                <w:tcPr>
                  <w:tcW w:w="696" w:type="pct"/>
                  <w:tcBorders>
                    <w:tl2br w:val="nil"/>
                    <w:tr2bl w:val="nil"/>
                  </w:tcBorders>
                  <w:noWrap w:val="0"/>
                  <w:vAlign w:val="center"/>
                </w:tcPr>
                <w:p w14:paraId="6D00DC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25°9′22.62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463" w:type="pct"/>
                  <w:tcBorders>
                    <w:tl2br w:val="nil"/>
                    <w:tr2bl w:val="nil"/>
                  </w:tcBorders>
                  <w:noWrap w:val="0"/>
                  <w:vAlign w:val="center"/>
                </w:tcPr>
                <w:p w14:paraId="3BCB44D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281" w:type="pct"/>
                  <w:tcBorders>
                    <w:tl2br w:val="nil"/>
                    <w:tr2bl w:val="nil"/>
                  </w:tcBorders>
                  <w:noWrap w:val="0"/>
                  <w:vAlign w:val="center"/>
                </w:tcPr>
                <w:p w14:paraId="584126C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w:t>
                  </w:r>
                </w:p>
              </w:tc>
              <w:tc>
                <w:tcPr>
                  <w:tcW w:w="387" w:type="pct"/>
                  <w:tcBorders>
                    <w:right w:val="single" w:color="auto" w:sz="4" w:space="0"/>
                    <w:tl2br w:val="nil"/>
                    <w:tr2bl w:val="nil"/>
                  </w:tcBorders>
                  <w:noWrap w:val="0"/>
                  <w:vAlign w:val="center"/>
                </w:tcPr>
                <w:p w14:paraId="5A7D1FB5">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0.4</w:t>
                  </w:r>
                </w:p>
              </w:tc>
              <w:tc>
                <w:tcPr>
                  <w:tcW w:w="344" w:type="pct"/>
                  <w:tcBorders>
                    <w:left w:val="single" w:color="auto" w:sz="4" w:space="0"/>
                    <w:tl2br w:val="nil"/>
                    <w:tr2bl w:val="nil"/>
                  </w:tcBorders>
                  <w:noWrap w:val="0"/>
                  <w:vAlign w:val="center"/>
                </w:tcPr>
                <w:p w14:paraId="18290C4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13.27</w:t>
                  </w:r>
                </w:p>
              </w:tc>
              <w:tc>
                <w:tcPr>
                  <w:tcW w:w="362" w:type="pct"/>
                  <w:tcBorders>
                    <w:right w:val="single" w:color="auto" w:sz="4" w:space="0"/>
                    <w:tl2br w:val="nil"/>
                    <w:tr2bl w:val="nil"/>
                  </w:tcBorders>
                  <w:noWrap w:val="0"/>
                  <w:vAlign w:val="center"/>
                </w:tcPr>
                <w:p w14:paraId="26211BE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6000</w:t>
                  </w:r>
                </w:p>
              </w:tc>
              <w:tc>
                <w:tcPr>
                  <w:tcW w:w="277" w:type="pct"/>
                  <w:tcBorders>
                    <w:left w:val="single" w:color="auto" w:sz="4" w:space="0"/>
                    <w:tl2br w:val="nil"/>
                    <w:tr2bl w:val="nil"/>
                  </w:tcBorders>
                  <w:noWrap w:val="0"/>
                  <w:vAlign w:val="center"/>
                </w:tcPr>
                <w:p w14:paraId="53D865B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35℃</w:t>
                  </w:r>
                </w:p>
              </w:tc>
              <w:tc>
                <w:tcPr>
                  <w:tcW w:w="335" w:type="pct"/>
                  <w:tcBorders>
                    <w:tl2br w:val="nil"/>
                    <w:tr2bl w:val="nil"/>
                  </w:tcBorders>
                  <w:noWrap w:val="0"/>
                  <w:vAlign w:val="center"/>
                </w:tcPr>
                <w:p w14:paraId="32A7D7C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964</w:t>
                  </w:r>
                </w:p>
              </w:tc>
            </w:tr>
            <w:tr w14:paraId="5A44B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5000" w:type="pct"/>
                  <w:gridSpan w:val="11"/>
                  <w:tcBorders>
                    <w:tl2br w:val="nil"/>
                    <w:tr2bl w:val="nil"/>
                  </w:tcBorders>
                  <w:noWrap w:val="0"/>
                  <w:vAlign w:val="center"/>
                </w:tcPr>
                <w:p w14:paraId="6A3AD8AA">
                  <w:pPr>
                    <w:widowControl w:val="0"/>
                    <w:kinsoku/>
                    <w:autoSpaceDE/>
                    <w:autoSpaceDN/>
                    <w:adjustRightInd w:val="0"/>
                    <w:snapToGrid w:val="0"/>
                    <w:spacing w:line="240" w:lineRule="auto"/>
                    <w:jc w:val="left"/>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注：根据《大气污染物治理工程技术导则》（HJ2000-2010），排气筒的出口直径应根据出口流速确定，流速宜取15m/s左右。因此，本项目排气筒规格的设置均符合要求。</w:t>
                  </w:r>
                </w:p>
              </w:tc>
            </w:tr>
          </w:tbl>
          <w:p w14:paraId="4850CE5E">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pPr>
          </w:p>
          <w:p w14:paraId="586B36B4">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根据《排污单位自行监测技术指南</w:t>
            </w:r>
            <w:r>
              <w:rPr>
                <w:rFonts w:hint="eastAsia"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总则》（HJ</w:t>
            </w:r>
            <w:r>
              <w:rPr>
                <w:rFonts w:hint="eastAsia"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819-2017）、《排污许可证申请与核发技术规范 工业炉窑》（HJ 1121-2020）</w:t>
            </w:r>
            <w:r>
              <w:rPr>
                <w:rFonts w:hint="eastAsia"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、《排污单位自行监测技术指南 涂装》（HJ1086-2020）</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，本项目废气监测计划见下表：</w:t>
            </w:r>
          </w:p>
          <w:p w14:paraId="310F1BBB">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表4-7</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废气监测计划</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1631"/>
              <w:gridCol w:w="4607"/>
              <w:gridCol w:w="1405"/>
              <w:gridCol w:w="3557"/>
            </w:tblGrid>
            <w:tr w14:paraId="38F6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36" w:type="pct"/>
                  <w:vAlign w:val="center"/>
                </w:tcPr>
                <w:p w14:paraId="6C9841B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t>监测位置</w:t>
                  </w:r>
                </w:p>
              </w:tc>
              <w:tc>
                <w:tcPr>
                  <w:tcW w:w="635" w:type="pct"/>
                  <w:vAlign w:val="center"/>
                </w:tcPr>
                <w:p w14:paraId="0FED53E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t>排放口类型</w:t>
                  </w:r>
                </w:p>
              </w:tc>
              <w:tc>
                <w:tcPr>
                  <w:tcW w:w="1794" w:type="pct"/>
                  <w:vAlign w:val="center"/>
                </w:tcPr>
                <w:p w14:paraId="28F88AD5">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t>监测项目</w:t>
                  </w:r>
                </w:p>
              </w:tc>
              <w:tc>
                <w:tcPr>
                  <w:tcW w:w="547" w:type="pct"/>
                  <w:vAlign w:val="center"/>
                </w:tcPr>
                <w:p w14:paraId="532D7AE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t>监测频率</w:t>
                  </w:r>
                </w:p>
              </w:tc>
              <w:tc>
                <w:tcPr>
                  <w:tcW w:w="1385" w:type="pct"/>
                  <w:vAlign w:val="center"/>
                </w:tcPr>
                <w:p w14:paraId="212DAB4A">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b/>
                      <w:color w:val="000000" w:themeColor="text1"/>
                      <w:spacing w:val="-2"/>
                      <w:sz w:val="21"/>
                      <w:szCs w:val="21"/>
                      <w:highlight w:val="none"/>
                      <w14:textFill>
                        <w14:solidFill>
                          <w14:schemeClr w14:val="tx1"/>
                        </w14:solidFill>
                      </w14:textFill>
                    </w:rPr>
                    <w:t>依据</w:t>
                  </w:r>
                </w:p>
              </w:tc>
            </w:tr>
            <w:tr w14:paraId="1D3D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36" w:type="pct"/>
                  <w:vMerge w:val="restart"/>
                  <w:vAlign w:val="center"/>
                </w:tcPr>
                <w:p w14:paraId="16DC2ACD">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eastAsia" w:ascii="Times New Roman" w:hAnsi="Times New Roman" w:eastAsia="宋体" w:cs="Times New Roman"/>
                      <w:color w:val="000000" w:themeColor="text1"/>
                      <w:kern w:val="2"/>
                      <w:sz w:val="21"/>
                      <w:szCs w:val="21"/>
                      <w:highlight w:val="none"/>
                      <w:lang w:eastAsia="zh-CN"/>
                      <w14:textFill>
                        <w14:solidFill>
                          <w14:schemeClr w14:val="tx1"/>
                        </w14:solidFill>
                      </w14:textFill>
                    </w:rPr>
                  </w:pPr>
                  <w:r>
                    <w:rPr>
                      <w:rFonts w:hint="eastAsia" w:cs="Times New Roman"/>
                      <w:color w:val="000000" w:themeColor="text1"/>
                      <w:kern w:val="2"/>
                      <w:sz w:val="21"/>
                      <w:szCs w:val="21"/>
                      <w:highlight w:val="none"/>
                      <w:lang w:eastAsia="zh-CN"/>
                      <w14:textFill>
                        <w14:solidFill>
                          <w14:schemeClr w14:val="tx1"/>
                        </w14:solidFill>
                      </w14:textFill>
                    </w:rPr>
                    <w:t>DA00</w:t>
                  </w:r>
                  <w:r>
                    <w:rPr>
                      <w:rFonts w:hint="eastAsia" w:cs="Times New Roman"/>
                      <w:color w:val="000000" w:themeColor="text1"/>
                      <w:kern w:val="2"/>
                      <w:sz w:val="21"/>
                      <w:szCs w:val="21"/>
                      <w:highlight w:val="none"/>
                      <w:lang w:val="en-US" w:eastAsia="zh-CN"/>
                      <w14:textFill>
                        <w14:solidFill>
                          <w14:schemeClr w14:val="tx1"/>
                        </w14:solidFill>
                      </w14:textFill>
                    </w:rPr>
                    <w:t>1</w:t>
                  </w:r>
                </w:p>
              </w:tc>
              <w:tc>
                <w:tcPr>
                  <w:tcW w:w="635" w:type="pct"/>
                  <w:vMerge w:val="restart"/>
                  <w:vAlign w:val="center"/>
                </w:tcPr>
                <w:p w14:paraId="38C14773">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cs="Times New Roman"/>
                      <w:color w:val="000000" w:themeColor="text1"/>
                      <w:kern w:val="0"/>
                      <w:sz w:val="21"/>
                      <w:szCs w:val="21"/>
                      <w:highlight w:val="none"/>
                      <w:lang w:val="en-US" w:eastAsia="zh-CN"/>
                      <w14:textFill>
                        <w14:solidFill>
                          <w14:schemeClr w14:val="tx1"/>
                        </w14:solidFill>
                      </w14:textFill>
                    </w:rPr>
                    <w:t>主要</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排放口</w:t>
                  </w:r>
                </w:p>
              </w:tc>
              <w:tc>
                <w:tcPr>
                  <w:tcW w:w="1794" w:type="pct"/>
                  <w:vAlign w:val="center"/>
                </w:tcPr>
                <w:p w14:paraId="4B157D06">
                  <w:pPr>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颗粒物、非甲烷总烃、</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苯系物</w:t>
                  </w:r>
                </w:p>
              </w:tc>
              <w:tc>
                <w:tcPr>
                  <w:tcW w:w="547" w:type="pct"/>
                  <w:vAlign w:val="center"/>
                </w:tcPr>
                <w:p w14:paraId="078B19D9">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1次/半年</w:t>
                  </w:r>
                </w:p>
              </w:tc>
              <w:tc>
                <w:tcPr>
                  <w:tcW w:w="1385" w:type="pct"/>
                  <w:vMerge w:val="restart"/>
                  <w:vAlign w:val="center"/>
                </w:tcPr>
                <w:p w14:paraId="4EEF144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《排污单位自行监测技术指南总则》（HJ819-2017）表1与</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《排污单位自行监测技术指南 涂装》（HJ1086-2020）表2较严值</w:t>
                  </w:r>
                </w:p>
              </w:tc>
            </w:tr>
            <w:tr w14:paraId="16B9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6" w:type="pct"/>
                  <w:vMerge w:val="continue"/>
                  <w:vAlign w:val="center"/>
                </w:tcPr>
                <w:p w14:paraId="59E08681">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35" w:type="pct"/>
                  <w:vMerge w:val="continue"/>
                  <w:vAlign w:val="center"/>
                </w:tcPr>
                <w:p w14:paraId="0F5EFD2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94" w:type="pct"/>
                  <w:vAlign w:val="center"/>
                </w:tcPr>
                <w:p w14:paraId="0CDB5D4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臭气浓度</w:t>
                  </w:r>
                </w:p>
              </w:tc>
              <w:tc>
                <w:tcPr>
                  <w:tcW w:w="547" w:type="pct"/>
                  <w:vAlign w:val="center"/>
                </w:tcPr>
                <w:p w14:paraId="1C239E3B">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1次/年</w:t>
                  </w:r>
                </w:p>
              </w:tc>
              <w:tc>
                <w:tcPr>
                  <w:tcW w:w="1385" w:type="pct"/>
                  <w:vMerge w:val="continue"/>
                  <w:vAlign w:val="center"/>
                </w:tcPr>
                <w:p w14:paraId="4A2D727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p>
              </w:tc>
            </w:tr>
            <w:tr w14:paraId="3432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restart"/>
                  <w:vAlign w:val="center"/>
                </w:tcPr>
                <w:p w14:paraId="79FF19B9">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DA002</w:t>
                  </w:r>
                </w:p>
              </w:tc>
              <w:tc>
                <w:tcPr>
                  <w:tcW w:w="635" w:type="pct"/>
                  <w:vMerge w:val="restart"/>
                  <w:vAlign w:val="center"/>
                </w:tcPr>
                <w:p w14:paraId="7F310D4F">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主要排放口</w:t>
                  </w:r>
                </w:p>
              </w:tc>
              <w:tc>
                <w:tcPr>
                  <w:tcW w:w="1794" w:type="pct"/>
                  <w:vAlign w:val="center"/>
                </w:tcPr>
                <w:p w14:paraId="2E90265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颗粒物、</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非甲烷总烃</w:t>
                  </w:r>
                  <w:r>
                    <w:rPr>
                      <w:rFonts w:hint="eastAsia" w:ascii="Times New Roman" w:cs="Times New Roman"/>
                      <w:color w:val="000000" w:themeColor="text1"/>
                      <w:kern w:val="2"/>
                      <w:sz w:val="21"/>
                      <w:szCs w:val="21"/>
                      <w:highlight w:val="none"/>
                      <w:lang w:eastAsia="zh-CN"/>
                      <w14:textFill>
                        <w14:solidFill>
                          <w14:schemeClr w14:val="tx1"/>
                        </w14:solidFill>
                      </w14:textFill>
                    </w:rPr>
                    <w:t>、</w:t>
                  </w:r>
                  <w:r>
                    <w:rPr>
                      <w:rFonts w:hint="eastAsia" w:ascii="Times New Roman" w:cs="Times New Roman"/>
                      <w:color w:val="000000" w:themeColor="text1"/>
                      <w:kern w:val="2"/>
                      <w:sz w:val="21"/>
                      <w:szCs w:val="21"/>
                      <w:highlight w:val="none"/>
                      <w:lang w:val="en-US" w:eastAsia="zh-CN"/>
                      <w14:textFill>
                        <w14:solidFill>
                          <w14:schemeClr w14:val="tx1"/>
                        </w14:solidFill>
                      </w14:textFill>
                    </w:rPr>
                    <w:t>苯系物</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SO</w:t>
                  </w:r>
                  <w:r>
                    <w:rPr>
                      <w:rFonts w:hint="default" w:ascii="Times New Roman" w:hAnsi="Times New Roman" w:eastAsia="宋体" w:cs="Times New Roman"/>
                      <w:color w:val="000000" w:themeColor="text1"/>
                      <w:spacing w:val="-2"/>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、NOx</w:t>
                  </w:r>
                </w:p>
              </w:tc>
              <w:tc>
                <w:tcPr>
                  <w:tcW w:w="547" w:type="pct"/>
                  <w:vAlign w:val="center"/>
                </w:tcPr>
                <w:p w14:paraId="5B0C880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1次/半年</w:t>
                  </w:r>
                </w:p>
              </w:tc>
              <w:tc>
                <w:tcPr>
                  <w:tcW w:w="1385" w:type="pct"/>
                  <w:vMerge w:val="continue"/>
                  <w:vAlign w:val="center"/>
                </w:tcPr>
                <w:p w14:paraId="6CE8188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p>
              </w:tc>
            </w:tr>
            <w:tr w14:paraId="124D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continue"/>
                  <w:vAlign w:val="center"/>
                </w:tcPr>
                <w:p w14:paraId="6DE9DFDF">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35" w:type="pct"/>
                  <w:vMerge w:val="continue"/>
                  <w:vAlign w:val="center"/>
                </w:tcPr>
                <w:p w14:paraId="15AC976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94" w:type="pct"/>
                  <w:vAlign w:val="center"/>
                </w:tcPr>
                <w:p w14:paraId="1F7222A5">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臭气浓度</w:t>
                  </w:r>
                </w:p>
              </w:tc>
              <w:tc>
                <w:tcPr>
                  <w:tcW w:w="547" w:type="pct"/>
                  <w:vAlign w:val="center"/>
                </w:tcPr>
                <w:p w14:paraId="404C783A">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1次/年</w:t>
                  </w:r>
                </w:p>
              </w:tc>
              <w:tc>
                <w:tcPr>
                  <w:tcW w:w="1385" w:type="pct"/>
                  <w:vMerge w:val="continue"/>
                  <w:vAlign w:val="center"/>
                </w:tcPr>
                <w:p w14:paraId="47AE83F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p>
              </w:tc>
            </w:tr>
            <w:tr w14:paraId="642D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Align w:val="center"/>
                </w:tcPr>
                <w:p w14:paraId="4333ECE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DA003</w:t>
                  </w:r>
                </w:p>
              </w:tc>
              <w:tc>
                <w:tcPr>
                  <w:tcW w:w="635" w:type="pct"/>
                  <w:vAlign w:val="center"/>
                </w:tcPr>
                <w:p w14:paraId="3CF1524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一般排放口</w:t>
                  </w:r>
                </w:p>
              </w:tc>
              <w:tc>
                <w:tcPr>
                  <w:tcW w:w="1794" w:type="pct"/>
                  <w:vAlign w:val="center"/>
                </w:tcPr>
                <w:p w14:paraId="1863A02C">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油烟</w:t>
                  </w:r>
                </w:p>
              </w:tc>
              <w:tc>
                <w:tcPr>
                  <w:tcW w:w="547" w:type="pct"/>
                  <w:vAlign w:val="center"/>
                </w:tcPr>
                <w:p w14:paraId="2720191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1次/年</w:t>
                  </w:r>
                </w:p>
              </w:tc>
              <w:tc>
                <w:tcPr>
                  <w:tcW w:w="1385" w:type="pct"/>
                  <w:vMerge w:val="continue"/>
                  <w:vAlign w:val="center"/>
                </w:tcPr>
                <w:p w14:paraId="5F6C31D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p>
              </w:tc>
            </w:tr>
            <w:tr w14:paraId="4AB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36" w:type="pct"/>
                  <w:vAlign w:val="center"/>
                </w:tcPr>
                <w:p w14:paraId="11FE61C6">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厂界</w:t>
                  </w:r>
                </w:p>
              </w:tc>
              <w:tc>
                <w:tcPr>
                  <w:tcW w:w="635" w:type="pct"/>
                  <w:vAlign w:val="center"/>
                </w:tcPr>
                <w:p w14:paraId="61274A2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p>
              </w:tc>
              <w:tc>
                <w:tcPr>
                  <w:tcW w:w="1794" w:type="pct"/>
                  <w:vAlign w:val="center"/>
                </w:tcPr>
                <w:p w14:paraId="75D1FBC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颗粒物、苯系物、臭气浓度</w:t>
                  </w:r>
                  <w:r>
                    <w:rPr>
                      <w:rFonts w:hint="eastAsia" w:ascii="Times New Roman" w:cs="Times New Roman"/>
                      <w:color w:val="000000" w:themeColor="text1"/>
                      <w:spacing w:val="-2"/>
                      <w:sz w:val="21"/>
                      <w:szCs w:val="21"/>
                      <w:highlight w:val="none"/>
                      <w:lang w:eastAsia="zh-CN"/>
                      <w14:textFill>
                        <w14:solidFill>
                          <w14:schemeClr w14:val="tx1"/>
                        </w14:solidFill>
                      </w14:textFill>
                    </w:rPr>
                    <w:t>、</w:t>
                  </w:r>
                  <w:r>
                    <w:rPr>
                      <w:rFonts w:hint="eastAsia" w:ascii="Times New Roman" w:cs="Times New Roman"/>
                      <w:color w:val="000000" w:themeColor="text1"/>
                      <w:spacing w:val="-2"/>
                      <w:sz w:val="21"/>
                      <w:szCs w:val="21"/>
                      <w:highlight w:val="none"/>
                      <w:lang w:val="en-US" w:eastAsia="zh-CN"/>
                      <w14:textFill>
                        <w14:solidFill>
                          <w14:schemeClr w14:val="tx1"/>
                        </w14:solidFill>
                      </w14:textFill>
                    </w:rPr>
                    <w:t>氟化物</w:t>
                  </w:r>
                </w:p>
              </w:tc>
              <w:tc>
                <w:tcPr>
                  <w:tcW w:w="547" w:type="pct"/>
                  <w:vAlign w:val="center"/>
                </w:tcPr>
                <w:p w14:paraId="0BCDD8F4">
                  <w:pPr>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1次/半年</w:t>
                  </w:r>
                </w:p>
              </w:tc>
              <w:tc>
                <w:tcPr>
                  <w:tcW w:w="1385" w:type="pct"/>
                  <w:vAlign w:val="center"/>
                </w:tcPr>
                <w:p w14:paraId="005BE551">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《排污单位自行监测技术指南 涂装》（HJ1086-2020）表3</w:t>
                  </w:r>
                </w:p>
              </w:tc>
            </w:tr>
            <w:tr w14:paraId="073F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36" w:type="pct"/>
                  <w:vAlign w:val="center"/>
                </w:tcPr>
                <w:p w14:paraId="2FE24EE1">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14:textFill>
                        <w14:solidFill>
                          <w14:schemeClr w14:val="tx1"/>
                        </w14:solidFill>
                      </w14:textFill>
                    </w:rPr>
                    <w:t>涂装工段附近</w:t>
                  </w:r>
                </w:p>
              </w:tc>
              <w:tc>
                <w:tcPr>
                  <w:tcW w:w="635" w:type="pct"/>
                  <w:vAlign w:val="center"/>
                </w:tcPr>
                <w:p w14:paraId="65527059">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t>/</w:t>
                  </w:r>
                </w:p>
              </w:tc>
              <w:tc>
                <w:tcPr>
                  <w:tcW w:w="1794" w:type="pct"/>
                  <w:vAlign w:val="center"/>
                </w:tcPr>
                <w:p w14:paraId="0022278B">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非甲烷总烃、颗粒物、苯系物、臭气浓度</w:t>
                  </w:r>
                </w:p>
              </w:tc>
              <w:tc>
                <w:tcPr>
                  <w:tcW w:w="547" w:type="pct"/>
                  <w:vAlign w:val="center"/>
                </w:tcPr>
                <w:p w14:paraId="2BC6EC6E">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1次/季度</w:t>
                  </w:r>
                </w:p>
              </w:tc>
              <w:tc>
                <w:tcPr>
                  <w:tcW w:w="1385" w:type="pct"/>
                  <w:vAlign w:val="center"/>
                </w:tcPr>
                <w:p w14:paraId="63D7D4FD">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《排污单位自行监测技术指南 涂装》（HJ1086-2020）表3</w:t>
                  </w:r>
                </w:p>
              </w:tc>
            </w:tr>
          </w:tbl>
          <w:p w14:paraId="1C545E99">
            <w:pPr>
              <w:widowControl w:val="0"/>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pPr>
          </w:p>
        </w:tc>
      </w:tr>
    </w:tbl>
    <w:p w14:paraId="0AE8F2DB">
      <w:pPr>
        <w:pStyle w:val="76"/>
        <w:rPr>
          <w:rFonts w:hint="eastAsia"/>
          <w:color w:val="000000" w:themeColor="text1"/>
          <w:highlight w:val="none"/>
          <w14:textFill>
            <w14:solidFill>
              <w14:schemeClr w14:val="tx1"/>
            </w14:solidFill>
          </w14:textFill>
        </w:rPr>
        <w:sectPr>
          <w:pgSz w:w="16840" w:h="11907" w:orient="landscape"/>
          <w:pgMar w:top="1417" w:right="1587" w:bottom="1361" w:left="158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
        <w:gridCol w:w="8620"/>
      </w:tblGrid>
      <w:tr w14:paraId="1C61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9" w:hRule="atLeast"/>
        </w:trPr>
        <w:tc>
          <w:tcPr>
            <w:tcW w:w="441" w:type="dxa"/>
            <w:noWrap w:val="0"/>
            <w:vAlign w:val="top"/>
          </w:tcPr>
          <w:p w14:paraId="418FC7EC">
            <w:pPr>
              <w:pStyle w:val="76"/>
              <w:rPr>
                <w:rFonts w:hint="default" w:ascii="Times New Roman" w:hAnsi="Times New Roman" w:cs="Times New Roman"/>
                <w:color w:val="000000" w:themeColor="text1"/>
                <w:highlight w:val="none"/>
                <w:vertAlign w:val="baseline"/>
                <w14:textFill>
                  <w14:solidFill>
                    <w14:schemeClr w14:val="tx1"/>
                  </w14:solidFill>
                </w14:textFill>
              </w:rPr>
            </w:pPr>
          </w:p>
        </w:tc>
        <w:tc>
          <w:tcPr>
            <w:tcW w:w="8620" w:type="dxa"/>
            <w:noWrap w:val="0"/>
            <w:vAlign w:val="top"/>
          </w:tcPr>
          <w:p w14:paraId="19BDB98F">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pPr>
          </w:p>
          <w:p w14:paraId="502D52E9">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b/>
                <w:bCs/>
                <w:snapToGrid/>
                <w:color w:val="000000" w:themeColor="text1"/>
                <w:spacing w:val="-4"/>
                <w:kern w:val="2"/>
                <w:sz w:val="24"/>
                <w:szCs w:val="24"/>
                <w:highlight w:val="none"/>
                <w:lang w:eastAsia="zh-CN"/>
                <w14:textFill>
                  <w14:solidFill>
                    <w14:schemeClr w14:val="tx1"/>
                  </w14:solidFill>
                </w14:textFill>
              </w:rPr>
            </w:pPr>
            <w:r>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t>1</w:t>
            </w:r>
            <w:r>
              <w:rPr>
                <w:rFonts w:hint="default" w:ascii="Times New Roman" w:hAnsi="Times New Roman" w:eastAsia="宋体" w:cs="Times New Roman"/>
                <w:b/>
                <w:bCs/>
                <w:snapToGrid/>
                <w:color w:val="000000" w:themeColor="text1"/>
                <w:spacing w:val="-4"/>
                <w:kern w:val="2"/>
                <w:sz w:val="24"/>
                <w:szCs w:val="24"/>
                <w:highlight w:val="none"/>
                <w:lang w:eastAsia="zh-CN"/>
                <w14:textFill>
                  <w14:solidFill>
                    <w14:schemeClr w14:val="tx1"/>
                  </w14:solidFill>
                </w14:textFill>
              </w:rPr>
              <w:t>.</w:t>
            </w:r>
            <w:r>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spacing w:val="-4"/>
                <w:kern w:val="2"/>
                <w:sz w:val="24"/>
                <w:szCs w:val="24"/>
                <w:highlight w:val="none"/>
                <w:lang w:eastAsia="zh-CN"/>
                <w14:textFill>
                  <w14:solidFill>
                    <w14:schemeClr w14:val="tx1"/>
                  </w14:solidFill>
                </w14:textFill>
              </w:rPr>
              <w:t>废气源强核算过程</w:t>
            </w:r>
          </w:p>
          <w:p w14:paraId="4884F660">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pPr>
            <w:r>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t>1</w:t>
            </w:r>
            <w:r>
              <w:rPr>
                <w:rFonts w:hint="default" w:ascii="Times New Roman" w:hAnsi="Times New Roman" w:eastAsia="宋体" w:cs="Times New Roman"/>
                <w:b/>
                <w:bCs/>
                <w:snapToGrid/>
                <w:color w:val="000000" w:themeColor="text1"/>
                <w:spacing w:val="-4"/>
                <w:kern w:val="2"/>
                <w:sz w:val="24"/>
                <w:szCs w:val="24"/>
                <w:highlight w:val="none"/>
                <w:lang w:eastAsia="zh-CN"/>
                <w14:textFill>
                  <w14:solidFill>
                    <w14:schemeClr w14:val="tx1"/>
                  </w14:solidFill>
                </w14:textFill>
              </w:rPr>
              <w:t>.</w:t>
            </w:r>
            <w:r>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spacing w:val="-4"/>
                <w:kern w:val="2"/>
                <w:sz w:val="24"/>
                <w:szCs w:val="24"/>
                <w:highlight w:val="none"/>
                <w:lang w:eastAsia="zh-CN"/>
                <w14:textFill>
                  <w14:solidFill>
                    <w14:schemeClr w14:val="tx1"/>
                  </w14:solidFill>
                </w14:textFill>
              </w:rPr>
              <w:t>.1</w:t>
            </w:r>
            <w:r>
              <w:rPr>
                <w:rFonts w:hint="default" w:ascii="Times New Roman" w:hAnsi="Times New Roman" w:eastAsia="宋体" w:cs="Times New Roman"/>
                <w:b/>
                <w:bCs/>
                <w:snapToGrid/>
                <w:color w:val="000000" w:themeColor="text1"/>
                <w:spacing w:val="-4"/>
                <w:kern w:val="2"/>
                <w:sz w:val="24"/>
                <w:szCs w:val="24"/>
                <w:highlight w:val="none"/>
                <w:lang w:val="en-US" w:eastAsia="zh-CN"/>
                <w14:textFill>
                  <w14:solidFill>
                    <w14:schemeClr w14:val="tx1"/>
                  </w14:solidFill>
                </w14:textFill>
              </w:rPr>
              <w:t>机加工粉尘</w:t>
            </w:r>
          </w:p>
          <w:p w14:paraId="56F1241A">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b/>
                <w:bCs/>
                <w:snapToGrid/>
                <w:color w:val="000000" w:themeColor="text1"/>
                <w:spacing w:val="-4"/>
                <w:kern w:val="2"/>
                <w:sz w:val="24"/>
                <w:szCs w:val="24"/>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spacing w:val="-4"/>
                <w:kern w:val="2"/>
                <w:sz w:val="24"/>
                <w:szCs w:val="24"/>
                <w:highlight w:val="none"/>
                <w:lang w:eastAsia="zh-CN"/>
                <w14:textFill>
                  <w14:solidFill>
                    <w14:schemeClr w14:val="tx1"/>
                  </w14:solidFill>
                </w14:textFill>
              </w:rPr>
              <w:t>（</w:t>
            </w:r>
            <w:r>
              <w:rPr>
                <w:rFonts w:hint="default" w:ascii="Times New Roman" w:hAnsi="Times New Roman" w:eastAsia="宋体" w:cs="Times New Roman"/>
                <w:b/>
                <w:bCs/>
                <w:snapToGrid/>
                <w:color w:val="000000" w:themeColor="text1"/>
                <w:spacing w:val="-4"/>
                <w:kern w:val="2"/>
                <w:sz w:val="24"/>
                <w:szCs w:val="24"/>
                <w:highlight w:val="none"/>
                <w:lang w:val="en-US" w:eastAsia="zh-CN"/>
                <w14:textFill>
                  <w14:solidFill>
                    <w14:schemeClr w14:val="tx1"/>
                  </w14:solidFill>
                </w14:textFill>
              </w:rPr>
              <w:t>1</w:t>
            </w:r>
            <w:r>
              <w:rPr>
                <w:rFonts w:hint="default" w:ascii="Times New Roman" w:hAnsi="Times New Roman" w:eastAsia="宋体" w:cs="Times New Roman"/>
                <w:b/>
                <w:bCs/>
                <w:snapToGrid/>
                <w:color w:val="000000" w:themeColor="text1"/>
                <w:spacing w:val="-4"/>
                <w:kern w:val="2"/>
                <w:sz w:val="24"/>
                <w:szCs w:val="24"/>
                <w:highlight w:val="none"/>
                <w:lang w:eastAsia="zh-CN"/>
                <w14:textFill>
                  <w14:solidFill>
                    <w14:schemeClr w14:val="tx1"/>
                  </w14:solidFill>
                </w14:textFill>
              </w:rPr>
              <w:t>）</w:t>
            </w:r>
            <w:r>
              <w:rPr>
                <w:rFonts w:hint="default" w:ascii="Times New Roman" w:hAnsi="Times New Roman" w:eastAsia="宋体" w:cs="Times New Roman"/>
                <w:b/>
                <w:bCs/>
                <w:snapToGrid/>
                <w:color w:val="000000" w:themeColor="text1"/>
                <w:spacing w:val="-4"/>
                <w:kern w:val="2"/>
                <w:sz w:val="24"/>
                <w:szCs w:val="24"/>
                <w:highlight w:val="none"/>
                <w:lang w:val="en-US" w:eastAsia="zh-CN"/>
                <w14:textFill>
                  <w14:solidFill>
                    <w14:schemeClr w14:val="tx1"/>
                  </w14:solidFill>
                </w14:textFill>
              </w:rPr>
              <w:t>切割粉尘</w:t>
            </w:r>
          </w:p>
          <w:p w14:paraId="5C1BD6CB">
            <w:pPr>
              <w:widowControl w:val="0"/>
              <w:kinsoku/>
              <w:autoSpaceDE/>
              <w:autoSpaceDN/>
              <w:adjustRightInd/>
              <w:snapToGrid/>
              <w:spacing w:line="360" w:lineRule="auto"/>
              <w:ind w:firstLine="464" w:firstLineChars="200"/>
              <w:jc w:val="both"/>
              <w:textAlignment w:val="auto"/>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项目</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使用</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激光切割生产线、数控切割机</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对</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铝卷</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板进行</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开料</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，切割过程会产生粉尘，本项目切割</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铝卷8</w:t>
            </w:r>
            <w:r>
              <w:rPr>
                <w:rFonts w:hint="eastAsia"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91</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0t/a，参考《排放源统计调查产排污核算方法和系数手册》—《33-37，431-434机械行业系数手册》中“04下料一钢板、铝板、铝合金板、其他金属材料-等离子切割工艺-颗粒物”的产污系数1.10kg/t原料计，则激光切割粉尘的产生量约为</w:t>
            </w:r>
            <w:r>
              <w:rPr>
                <w:rFonts w:hint="eastAsia"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9.801</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t/a。由于金属粉尘比重较大，绝大部分</w:t>
            </w:r>
            <w:r>
              <w:rPr>
                <w:rFonts w:hint="eastAsia" w:cs="Times New Roman"/>
                <w:snapToGrid/>
                <w:color w:val="000000" w:themeColor="text1"/>
                <w:spacing w:val="-4"/>
                <w:kern w:val="2"/>
                <w:sz w:val="24"/>
                <w:szCs w:val="24"/>
                <w:highlight w:val="none"/>
                <w:lang w:eastAsia="zh-CN"/>
                <w14:textFill>
                  <w14:solidFill>
                    <w14:schemeClr w14:val="tx1"/>
                  </w14:solidFill>
                </w14:textFill>
              </w:rPr>
              <w:t>迅速沉降到地面</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参照《未纳入排污许可管理行业适用的排污系数、物料衡算方法（试行）》（原环境保护部公告2017年第81号）中“47锯材加工业”的系数，车间不装除尘设备的情况下，重力沉降法的效率为85%。金属比重大于木材，金属粉尘较木质粉尘更易沉降，沉降率按9</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%计，仅</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w:t>
            </w:r>
            <w:r>
              <w:rPr>
                <w:rFonts w:hint="eastAsia" w:cs="Times New Roman"/>
                <w:snapToGrid/>
                <w:color w:val="000000" w:themeColor="text1"/>
                <w:spacing w:val="-4"/>
                <w:kern w:val="2"/>
                <w:sz w:val="24"/>
                <w:szCs w:val="24"/>
                <w:highlight w:val="none"/>
                <w:lang w:eastAsia="zh-CN"/>
                <w14:textFill>
                  <w14:solidFill>
                    <w14:schemeClr w14:val="tx1"/>
                  </w14:solidFill>
                </w14:textFill>
              </w:rPr>
              <w:t>。</w:t>
            </w:r>
            <w:r>
              <w:rPr>
                <w:rFonts w:hint="eastAsia" w:cs="Times New Roman"/>
                <w:snapToGrid/>
                <w:color w:val="000000" w:themeColor="text1"/>
                <w:spacing w:val="-4"/>
                <w:kern w:val="2"/>
                <w:sz w:val="24"/>
                <w:szCs w:val="24"/>
                <w:highlight w:val="none"/>
                <w:lang w:val="en-US" w:eastAsia="zh-CN"/>
                <w14:textFill>
                  <w14:solidFill>
                    <w14:schemeClr w14:val="tx1"/>
                  </w14:solidFill>
                </w14:textFill>
              </w:rPr>
              <w:t>经沉降后</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无组织形式在车间内排放，则切割粉尘</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沉降量</w:t>
            </w:r>
            <w:r>
              <w:rPr>
                <w:rFonts w:hint="eastAsia"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=9.801t/a×95%≈9.310</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t/a，无组织</w:t>
            </w:r>
            <w:r>
              <w:rPr>
                <w:rFonts w:hint="eastAsia" w:cs="Times New Roman"/>
                <w:snapToGrid/>
                <w:color w:val="000000" w:themeColor="text1"/>
                <w:spacing w:val="-4"/>
                <w:kern w:val="2"/>
                <w:sz w:val="24"/>
                <w:szCs w:val="24"/>
                <w:highlight w:val="none"/>
                <w:lang w:val="en-US" w:eastAsia="zh-CN"/>
                <w14:textFill>
                  <w14:solidFill>
                    <w14:schemeClr w14:val="tx1"/>
                  </w14:solidFill>
                </w14:textFill>
              </w:rPr>
              <w:t>产生</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量</w:t>
            </w:r>
            <w:r>
              <w:rPr>
                <w:rFonts w:hint="eastAsia"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=9.801t/a</w:t>
            </w:r>
            <w:r>
              <w:rPr>
                <w:rFonts w:hint="eastAsia" w:cs="Times New Roman"/>
                <w:snapToGrid/>
                <w:color w:val="000000" w:themeColor="text1"/>
                <w:spacing w:val="-4"/>
                <w:kern w:val="2"/>
                <w:sz w:val="24"/>
                <w:szCs w:val="24"/>
                <w:highlight w:val="none"/>
                <w:lang w:val="en-US" w:eastAsia="zh-CN"/>
                <w14:textFill>
                  <w14:solidFill>
                    <w14:schemeClr w14:val="tx1"/>
                  </w14:solidFill>
                </w14:textFill>
              </w:rPr>
              <w:t>×5%≈</w:t>
            </w:r>
            <w:r>
              <w:rPr>
                <w:rFonts w:hint="eastAsia"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0.49</w:t>
            </w:r>
            <w:r>
              <w:rPr>
                <w:rFonts w:hint="eastAsia" w:cs="Times New Roman"/>
                <w:snapToGrid/>
                <w:color w:val="000000" w:themeColor="text1"/>
                <w:spacing w:val="-4"/>
                <w:kern w:val="2"/>
                <w:sz w:val="24"/>
                <w:szCs w:val="24"/>
                <w:highlight w:val="none"/>
                <w:lang w:val="en-US" w:eastAsia="zh-CN"/>
                <w14:textFill>
                  <w14:solidFill>
                    <w14:schemeClr w14:val="tx1"/>
                  </w14:solidFill>
                </w14:textFill>
              </w:rPr>
              <w:t>0</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t/a，每天工作</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8</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小时，年工作</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241</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天，全年工作时间为</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1928</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h，切割粉尘无组织排放速率约为</w:t>
            </w:r>
            <w:r>
              <w:rPr>
                <w:rFonts w:hint="default"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0.</w:t>
            </w:r>
            <w:r>
              <w:rPr>
                <w:rFonts w:hint="eastAsia" w:ascii="Times New Roman" w:hAnsi="Times New Roman" w:eastAsia="宋体" w:cs="Times New Roman"/>
                <w:snapToGrid/>
                <w:color w:val="000000" w:themeColor="text1"/>
                <w:spacing w:val="-4"/>
                <w:kern w:val="2"/>
                <w:sz w:val="24"/>
                <w:szCs w:val="24"/>
                <w:highlight w:val="none"/>
                <w:lang w:val="en-US" w:eastAsia="zh-CN"/>
                <w14:textFill>
                  <w14:solidFill>
                    <w14:schemeClr w14:val="tx1"/>
                  </w14:solidFill>
                </w14:textFill>
              </w:rPr>
              <w:t>25</w:t>
            </w:r>
            <w:r>
              <w:rPr>
                <w:rFonts w:hint="eastAsia" w:cs="Times New Roman"/>
                <w:snapToGrid/>
                <w:color w:val="000000" w:themeColor="text1"/>
                <w:spacing w:val="-4"/>
                <w:kern w:val="2"/>
                <w:sz w:val="24"/>
                <w:szCs w:val="24"/>
                <w:highlight w:val="none"/>
                <w:lang w:val="en-US" w:eastAsia="zh-CN"/>
                <w14:textFill>
                  <w14:solidFill>
                    <w14:schemeClr w14:val="tx1"/>
                  </w14:solidFill>
                </w14:textFill>
              </w:rPr>
              <w:t>4</w:t>
            </w:r>
            <w:r>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t>kg/h。</w:t>
            </w:r>
          </w:p>
          <w:p w14:paraId="78624878">
            <w:pPr>
              <w:pStyle w:val="158"/>
              <w:keepNext w:val="0"/>
              <w:keepLines w:val="0"/>
              <w:suppressLineNumbers w:val="0"/>
              <w:snapToGrid/>
              <w:spacing w:before="0" w:beforeAutospacing="0" w:after="0" w:afterAutospacing="0"/>
              <w:ind w:left="0" w:right="0" w:firstLine="48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考虑到加工工件的特殊性和切割粉尘收集系统的局限性，切割粉尘未处于密闭空间收集，根据《广东省工业源挥发性有机物减排量核算方法》（2023年修订版）中“表3.3-2废气收集集气效率参考值”的说明，外部集气罩的污染物逸散点控制风速不小于0.3m/s，废气收集效率按30%计。参考《滤筒式除尘器》（JB/T10341-2014），滤料的除尘效率应达到99.5%以上，本项目机器自带滤筒除尘器</w:t>
            </w:r>
            <w:r>
              <w:rPr>
                <w:rFonts w:hint="eastAsia"/>
                <w:color w:val="000000" w:themeColor="text1"/>
                <w:highlight w:val="none"/>
                <w:lang w:val="en-US" w:eastAsia="zh-CN"/>
                <w14:textFill>
                  <w14:solidFill>
                    <w14:schemeClr w14:val="tx1"/>
                  </w14:solidFill>
                </w14:textFill>
              </w:rPr>
              <w:t>处理效率</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按9</w:t>
            </w:r>
            <w:r>
              <w:rPr>
                <w:rFonts w:hint="eastAsia" w:cs="Times New Roman"/>
                <w:color w:val="000000" w:themeColor="text1"/>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%计。则切割粉尘无组织排放量为0.490×30%×（1-90%）+0.490×（1-30%）=0.358t/a，无组织排放速率为0.186kg/h。</w:t>
            </w:r>
          </w:p>
          <w:p w14:paraId="12650D53">
            <w:pPr>
              <w:pStyle w:val="158"/>
              <w:keepNext w:val="0"/>
              <w:keepLines w:val="0"/>
              <w:suppressLineNumbers w:val="0"/>
              <w:snapToGrid/>
              <w:spacing w:before="0" w:beforeAutospacing="0" w:after="0" w:afterAutospacing="0"/>
              <w:ind w:left="0" w:right="0" w:firstLine="48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（2）抛光打磨粉尘</w:t>
            </w:r>
          </w:p>
          <w:p w14:paraId="305EA7A7">
            <w:pPr>
              <w:pStyle w:val="158"/>
              <w:keepNext w:val="0"/>
              <w:keepLines w:val="0"/>
              <w:suppressLineNumbers w:val="0"/>
              <w:snapToGrid/>
              <w:spacing w:before="0" w:beforeAutospacing="0" w:after="0" w:afterAutospacing="0"/>
              <w:ind w:left="0" w:right="0" w:firstLine="48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本项目金属粉尘主要来自金属原料抛光打磨过程，该工序主要使用</w:t>
            </w:r>
            <w:r>
              <w:rPr>
                <w:rFonts w:hint="eastAsia" w:cs="Times New Roman"/>
                <w:b w:val="0"/>
                <w:bCs w:val="0"/>
                <w:color w:val="000000" w:themeColor="text1"/>
                <w:sz w:val="24"/>
                <w:szCs w:val="24"/>
                <w:highlight w:val="none"/>
                <w:lang w:val="en-US" w:eastAsia="zh-CN"/>
                <w14:textFill>
                  <w14:solidFill>
                    <w14:schemeClr w14:val="tx1"/>
                  </w14:solidFill>
                </w14:textFill>
              </w:rPr>
              <w:t>手磨机</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在</w:t>
            </w:r>
            <w:r>
              <w:rPr>
                <w:rFonts w:hint="eastAsia" w:cs="Times New Roman"/>
                <w:b w:val="0"/>
                <w:bCs w:val="0"/>
                <w:color w:val="000000" w:themeColor="text1"/>
                <w:sz w:val="24"/>
                <w:szCs w:val="24"/>
                <w:highlight w:val="none"/>
                <w:lang w:val="en-US" w:eastAsia="zh-CN"/>
                <w14:textFill>
                  <w14:solidFill>
                    <w14:schemeClr w14:val="tx1"/>
                  </w14:solidFill>
                </w14:textFill>
              </w:rPr>
              <w:t>工位上</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进行。</w:t>
            </w:r>
          </w:p>
          <w:p w14:paraId="69D3AFC2">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参考“《排放源统计调查产排污核算方法和系数手册》33-37机械行业系数手册”中“预处理核算环节-预处理-干式预处理件：抛丸、喷砂、打磨”的产污系数作为</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抛光打磨</w:t>
            </w:r>
            <w:r>
              <w:rPr>
                <w:rFonts w:hint="default" w:ascii="Times New Roman" w:hAnsi="Times New Roman" w:eastAsia="宋体" w:cs="Times New Roman"/>
                <w:color w:val="000000" w:themeColor="text1"/>
                <w:sz w:val="24"/>
                <w:szCs w:val="24"/>
                <w:highlight w:val="none"/>
                <w14:textFill>
                  <w14:solidFill>
                    <w14:schemeClr w14:val="tx1"/>
                  </w14:solidFill>
                </w14:textFill>
              </w:rPr>
              <w:t>粉尘产污源强计算依据</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根据建设单位提供资料，</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仅部分工件需要进行表面打磨和焊接口打磨，打磨量占比为12%，即打磨</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原料量为8</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91</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0t/a</w:t>
            </w:r>
            <w:r>
              <w:rPr>
                <w:rFonts w:hint="eastAsia" w:cs="Times New Roman"/>
                <w:b w:val="0"/>
                <w:bCs w:val="0"/>
                <w:color w:val="000000" w:themeColor="text1"/>
                <w:sz w:val="24"/>
                <w:szCs w:val="24"/>
                <w:highlight w:val="none"/>
                <w:lang w:val="en-US" w:eastAsia="zh-CN"/>
                <w14:textFill>
                  <w14:solidFill>
                    <w14:schemeClr w14:val="tx1"/>
                  </w14:solidFill>
                </w14:textFill>
              </w:rPr>
              <w:t>×12%=1069.2t/a</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抛光打磨粉尘产污系数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均取</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2.19kg/t-原料。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本项目抛光打磨粉尘属于金属粉末，</w:t>
            </w:r>
            <w:r>
              <w:rPr>
                <w:rFonts w:hint="default" w:ascii="Times New Roman" w:hAnsi="Times New Roman" w:eastAsia="宋体" w:cs="Times New Roman"/>
                <w:color w:val="000000" w:themeColor="text1"/>
                <w:sz w:val="24"/>
                <w:szCs w:val="24"/>
                <w:highlight w:val="none"/>
                <w14:textFill>
                  <w14:solidFill>
                    <w14:schemeClr w14:val="tx1"/>
                  </w14:solidFill>
                </w14:textFill>
              </w:rPr>
              <w:t>尘粒大于100微米，该类粉尘比重和粒径较大，一般80%沉降到工作台附近5m范围内</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20%逸散到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车间</w:t>
            </w:r>
            <w:r>
              <w:rPr>
                <w:rFonts w:hint="default" w:ascii="Times New Roman" w:hAnsi="Times New Roman" w:eastAsia="宋体" w:cs="Times New Roman"/>
                <w:color w:val="000000" w:themeColor="text1"/>
                <w:sz w:val="24"/>
                <w:szCs w:val="24"/>
                <w:highlight w:val="none"/>
                <w14:textFill>
                  <w14:solidFill>
                    <w14:schemeClr w14:val="tx1"/>
                  </w14:solidFill>
                </w14:textFill>
              </w:rPr>
              <w:t>空气中。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计算得出抛光打磨粉尘</w:t>
            </w:r>
            <w:r>
              <w:rPr>
                <w:rFonts w:hint="eastAsia" w:cs="Times New Roman"/>
                <w:color w:val="000000" w:themeColor="text1"/>
                <w:sz w:val="24"/>
                <w:szCs w:val="24"/>
                <w:highlight w:val="none"/>
                <w:lang w:val="en-US" w:eastAsia="zh-CN"/>
                <w14:textFill>
                  <w14:solidFill>
                    <w14:schemeClr w14:val="tx1"/>
                  </w14:solidFill>
                </w14:textFill>
              </w:rPr>
              <w:t>无组织排放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量如下表所示。</w:t>
            </w:r>
          </w:p>
          <w:p w14:paraId="36B3C9DC">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表4-8</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本项目抛光打磨粉尘逸散到空气产生量</w:t>
            </w:r>
          </w:p>
          <w:tbl>
            <w:tblPr>
              <w:tblStyle w:val="44"/>
              <w:tblW w:w="85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
              <w:gridCol w:w="1301"/>
              <w:gridCol w:w="1412"/>
              <w:gridCol w:w="910"/>
              <w:gridCol w:w="832"/>
              <w:gridCol w:w="1600"/>
              <w:gridCol w:w="1600"/>
            </w:tblGrid>
            <w:tr w14:paraId="39E58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527" w:type="pct"/>
                  <w:tcBorders>
                    <w:tl2br w:val="nil"/>
                    <w:tr2bl w:val="nil"/>
                  </w:tcBorders>
                  <w:noWrap w:val="0"/>
                  <w:vAlign w:val="center"/>
                </w:tcPr>
                <w:p w14:paraId="4ACDCA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cs="Times New Roman"/>
                      <w:b/>
                      <w:bCs/>
                      <w:i w:val="0"/>
                      <w:iCs w:val="0"/>
                      <w:color w:val="000000" w:themeColor="text1"/>
                      <w:sz w:val="21"/>
                      <w:szCs w:val="21"/>
                      <w:highlight w:val="none"/>
                      <w:u w:val="none"/>
                      <w:lang w:val="en-US" w:eastAsia="zh-CN"/>
                      <w14:textFill>
                        <w14:solidFill>
                          <w14:schemeClr w14:val="tx1"/>
                        </w14:solidFill>
                      </w14:textFill>
                    </w:rPr>
                    <w:t>废气类别</w:t>
                  </w:r>
                </w:p>
              </w:tc>
              <w:tc>
                <w:tcPr>
                  <w:tcW w:w="760" w:type="pct"/>
                  <w:tcBorders>
                    <w:tl2br w:val="nil"/>
                    <w:tr2bl w:val="nil"/>
                  </w:tcBorders>
                  <w:noWrap w:val="0"/>
                  <w:vAlign w:val="center"/>
                </w:tcPr>
                <w:p w14:paraId="072379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总产生量（t/a）</w:t>
                  </w:r>
                </w:p>
              </w:tc>
              <w:tc>
                <w:tcPr>
                  <w:tcW w:w="825" w:type="pct"/>
                  <w:tcBorders>
                    <w:tl2br w:val="nil"/>
                    <w:tr2bl w:val="nil"/>
                  </w:tcBorders>
                  <w:noWrap w:val="0"/>
                  <w:vAlign w:val="center"/>
                </w:tcPr>
                <w:p w14:paraId="0A29A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产生速率（kg/h）</w:t>
                  </w:r>
                </w:p>
              </w:tc>
              <w:tc>
                <w:tcPr>
                  <w:tcW w:w="531" w:type="pct"/>
                  <w:tcBorders>
                    <w:tl2br w:val="nil"/>
                    <w:tr2bl w:val="nil"/>
                  </w:tcBorders>
                  <w:noWrap w:val="0"/>
                  <w:vAlign w:val="center"/>
                </w:tcPr>
                <w:p w14:paraId="4FED43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沉降率</w:t>
                  </w:r>
                </w:p>
              </w:tc>
              <w:tc>
                <w:tcPr>
                  <w:tcW w:w="486" w:type="pct"/>
                  <w:tcBorders>
                    <w:tl2br w:val="nil"/>
                    <w:tr2bl w:val="nil"/>
                  </w:tcBorders>
                  <w:noWrap w:val="0"/>
                  <w:vAlign w:val="center"/>
                </w:tcPr>
                <w:p w14:paraId="0BDA2F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沉降量（t/a）</w:t>
                  </w:r>
                </w:p>
              </w:tc>
              <w:tc>
                <w:tcPr>
                  <w:tcW w:w="934" w:type="pct"/>
                  <w:tcBorders>
                    <w:tl2br w:val="nil"/>
                    <w:tr2bl w:val="nil"/>
                  </w:tcBorders>
                  <w:noWrap w:val="0"/>
                  <w:vAlign w:val="center"/>
                </w:tcPr>
                <w:p w14:paraId="624156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粉尘</w:t>
                  </w: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无组织排放</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量（t/a）</w:t>
                  </w:r>
                </w:p>
              </w:tc>
              <w:tc>
                <w:tcPr>
                  <w:tcW w:w="934" w:type="pct"/>
                  <w:tcBorders>
                    <w:tl2br w:val="nil"/>
                    <w:tr2bl w:val="nil"/>
                  </w:tcBorders>
                  <w:noWrap w:val="0"/>
                  <w:vAlign w:val="center"/>
                </w:tcPr>
                <w:p w14:paraId="4E338A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无组织排放速率（kg/h）</w:t>
                  </w:r>
                </w:p>
              </w:tc>
            </w:tr>
            <w:tr w14:paraId="6338A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527" w:type="pct"/>
                  <w:tcBorders>
                    <w:tl2br w:val="nil"/>
                    <w:tr2bl w:val="nil"/>
                  </w:tcBorders>
                  <w:noWrap w:val="0"/>
                  <w:vAlign w:val="center"/>
                </w:tcPr>
                <w:p w14:paraId="5A236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bookmarkStart w:id="21" w:name="OLE_LINK29" w:colFirst="1" w:colLast="5"/>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打磨粉尘</w:t>
                  </w:r>
                </w:p>
              </w:tc>
              <w:tc>
                <w:tcPr>
                  <w:tcW w:w="760" w:type="pct"/>
                  <w:tcBorders>
                    <w:tl2br w:val="nil"/>
                    <w:tr2bl w:val="nil"/>
                  </w:tcBorders>
                  <w:noWrap w:val="0"/>
                  <w:vAlign w:val="center"/>
                </w:tcPr>
                <w:p w14:paraId="095214B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2.342 </w:t>
                  </w:r>
                </w:p>
              </w:tc>
              <w:tc>
                <w:tcPr>
                  <w:tcW w:w="825" w:type="pct"/>
                  <w:tcBorders>
                    <w:tl2br w:val="nil"/>
                    <w:tr2bl w:val="nil"/>
                  </w:tcBorders>
                  <w:noWrap w:val="0"/>
                  <w:vAlign w:val="center"/>
                </w:tcPr>
                <w:p w14:paraId="7FDB59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1.214 </w:t>
                  </w:r>
                </w:p>
              </w:tc>
              <w:tc>
                <w:tcPr>
                  <w:tcW w:w="531" w:type="pct"/>
                  <w:tcBorders>
                    <w:tl2br w:val="nil"/>
                    <w:tr2bl w:val="nil"/>
                  </w:tcBorders>
                  <w:noWrap w:val="0"/>
                  <w:vAlign w:val="center"/>
                </w:tcPr>
                <w:p w14:paraId="592E99D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486" w:type="pct"/>
                  <w:tcBorders>
                    <w:tl2br w:val="nil"/>
                    <w:tr2bl w:val="nil"/>
                  </w:tcBorders>
                  <w:noWrap w:val="0"/>
                  <w:vAlign w:val="center"/>
                </w:tcPr>
                <w:p w14:paraId="304597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1.8732 </w:t>
                  </w:r>
                </w:p>
              </w:tc>
              <w:tc>
                <w:tcPr>
                  <w:tcW w:w="934" w:type="pct"/>
                  <w:tcBorders>
                    <w:tl2br w:val="nil"/>
                    <w:tr2bl w:val="nil"/>
                  </w:tcBorders>
                  <w:noWrap/>
                  <w:vAlign w:val="center"/>
                </w:tcPr>
                <w:p w14:paraId="52844C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0.4683 </w:t>
                  </w:r>
                </w:p>
              </w:tc>
              <w:tc>
                <w:tcPr>
                  <w:tcW w:w="934" w:type="pct"/>
                  <w:tcBorders>
                    <w:tl2br w:val="nil"/>
                    <w:tr2bl w:val="nil"/>
                  </w:tcBorders>
                  <w:noWrap/>
                  <w:vAlign w:val="center"/>
                </w:tcPr>
                <w:p w14:paraId="12EC17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0.243</w:t>
                  </w:r>
                </w:p>
              </w:tc>
            </w:tr>
            <w:bookmarkEnd w:id="21"/>
          </w:tbl>
          <w:p w14:paraId="41059B0C">
            <w:pPr>
              <w:pStyle w:val="158"/>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100" w:lineRule="exact"/>
              <w:ind w:left="0" w:right="0"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p>
          <w:p w14:paraId="54211C10">
            <w:pPr>
              <w:pStyle w:val="158"/>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100" w:lineRule="exact"/>
              <w:ind w:left="0" w:right="0"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p>
          <w:p w14:paraId="42F06430">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pacing w:val="-3"/>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pacing w:val="-3"/>
                <w:sz w:val="24"/>
                <w:szCs w:val="24"/>
                <w:highlight w:val="none"/>
                <w14:textFill>
                  <w14:solidFill>
                    <w14:schemeClr w14:val="tx1"/>
                  </w14:solidFill>
                </w14:textFill>
              </w:rPr>
              <w:t>.</w:t>
            </w:r>
            <w:r>
              <w:rPr>
                <w:rFonts w:hint="eastAsia" w:cs="Times New Roman"/>
                <w:b/>
                <w:bCs/>
                <w:color w:val="000000" w:themeColor="text1"/>
                <w:spacing w:val="-3"/>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pacing w:val="-3"/>
                <w:sz w:val="24"/>
                <w:szCs w:val="24"/>
                <w:highlight w:val="none"/>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焊接烟尘</w:t>
            </w:r>
          </w:p>
          <w:p w14:paraId="15DB49F5">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项目需要对钣金制品工件进行焊接，焊接工序会产生焊接烟尘，焊接烟尘是</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焊丝</w:t>
            </w:r>
            <w:r>
              <w:rPr>
                <w:rFonts w:hint="default" w:ascii="Times New Roman" w:hAnsi="Times New Roman" w:eastAsia="宋体" w:cs="Times New Roman"/>
                <w:color w:val="000000" w:themeColor="text1"/>
                <w:sz w:val="24"/>
                <w:szCs w:val="24"/>
                <w:highlight w:val="none"/>
                <w14:textFill>
                  <w14:solidFill>
                    <w14:schemeClr w14:val="tx1"/>
                  </w14:solidFill>
                </w14:textFill>
              </w:rPr>
              <w:t>在加热条件下产生的蒸汽经氧化和冷凝而形成的，主要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污染物指标为颗粒物</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768D6E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本项目利用焊丝作为焊接材料，按单件产品焊接长度为0.5m（取钣金件长宽的平均值）、宽度为0.01m，厚度为0.001m计算，计算得单件产品所需焊丝为0.000005m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，项目设计年加工工件约</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458.333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万件（年加工1</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0万</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，单件工件按0.24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折算），约</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30%的产品需要进行焊接，</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焊接工件</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约为458.333万件×30%≈137.5</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万件，</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计算得出所需焊丝年用量</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=137.5万件×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0.000005m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=6.875</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，铝焊丝密度按2.7t/m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计算，折合焊丝年用量为</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18.5625</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t。</w:t>
            </w:r>
          </w:p>
          <w:p w14:paraId="08E62447">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参考“《排放源统计调查产排污核算方法和系数手册》33-37机械行业系数手册”中“焊接核算环节-焊接-焊接原料：实芯焊丝”的产污系数作为焊接烟尘产污源强计算依据。本项目焊接烟尘（颗粒物）产污系数为</w:t>
            </w:r>
            <w:r>
              <w:rPr>
                <w:rFonts w:hint="default" w:ascii="Times New Roman" w:hAnsi="Times New Roman" w:eastAsia="宋体" w:cs="Times New Roman"/>
                <w:color w:val="000000" w:themeColor="text1"/>
                <w:highlight w:val="none"/>
                <w:lang w:val="en-US" w:eastAsia="zh-CN"/>
                <w14:textFill>
                  <w14:solidFill>
                    <w14:schemeClr w14:val="tx1"/>
                  </w14:solidFill>
                </w14:textFill>
              </w:rPr>
              <w:t>9.19</w:t>
            </w:r>
            <w:r>
              <w:rPr>
                <w:rFonts w:hint="default" w:ascii="Times New Roman" w:hAnsi="Times New Roman" w:eastAsia="宋体" w:cs="Times New Roman"/>
                <w:color w:val="000000" w:themeColor="text1"/>
                <w:highlight w:val="none"/>
                <w14:textFill>
                  <w14:solidFill>
                    <w14:schemeClr w14:val="tx1"/>
                  </w14:solidFill>
                </w14:textFill>
              </w:rPr>
              <w:t>kg/t-原料</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经设备自带的移动式焊烟净化器处理后</w:t>
            </w:r>
            <w:r>
              <w:rPr>
                <w:rFonts w:hint="default" w:ascii="Times New Roman" w:hAnsi="Times New Roman" w:eastAsia="宋体" w:cs="Times New Roman"/>
                <w:color w:val="000000" w:themeColor="text1"/>
                <w:sz w:val="24"/>
                <w:szCs w:val="24"/>
                <w:highlight w:val="none"/>
                <w14:textFill>
                  <w14:solidFill>
                    <w14:schemeClr w14:val="tx1"/>
                  </w14:solidFill>
                </w14:textFill>
              </w:rPr>
              <w:t>于车间内无组织排放</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项目年工作1928小时。</w:t>
            </w:r>
          </w:p>
          <w:p w14:paraId="4E5CFE7C">
            <w:pPr>
              <w:pStyle w:val="158"/>
              <w:keepNext w:val="0"/>
              <w:keepLines w:val="0"/>
              <w:suppressLineNumbers w:val="0"/>
              <w:snapToGrid/>
              <w:spacing w:before="0" w:beforeAutospacing="0" w:after="0" w:afterAutospacing="0"/>
              <w:ind w:left="0" w:right="0" w:firstLine="48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考虑到工艺的特殊性和焊接烟尘收集系统的局限性，焊烟未处于密闭空间收集，</w:t>
            </w:r>
            <w:bookmarkStart w:id="22" w:name="OLE_LINK48"/>
            <w:r>
              <w:rPr>
                <w:rFonts w:hint="eastAsia" w:ascii="Times New Roman" w:hAnsi="Times New Roman" w:eastAsia="宋体" w:cs="Times New Roman"/>
                <w:color w:val="000000" w:themeColor="text1"/>
                <w:highlight w:val="none"/>
                <w:lang w:val="en-US" w:eastAsia="zh-CN"/>
                <w14:textFill>
                  <w14:solidFill>
                    <w14:schemeClr w14:val="tx1"/>
                  </w14:solidFill>
                </w14:textFill>
              </w:rPr>
              <w:t>根据《广东省工业源挥发性有机物减排量核算方法》（2023年修订版）中“表3.3-2废气收集集气效率参考值”的说明，外部集气罩的污染物逸散点控制风速不小于0.3m/s，废气收集效率按30%计。</w:t>
            </w:r>
            <w:bookmarkEnd w:id="22"/>
          </w:p>
          <w:p w14:paraId="7BA4ECC9">
            <w:pPr>
              <w:pStyle w:val="158"/>
              <w:keepNext w:val="0"/>
              <w:keepLines w:val="0"/>
              <w:suppressLineNumbers w:val="0"/>
              <w:snapToGrid/>
              <w:spacing w:before="0" w:beforeAutospacing="0" w:after="0" w:afterAutospacing="0"/>
              <w:ind w:left="0" w:right="0" w:firstLine="48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参考《滤筒式除尘器》（JB/T10341-2014），滤料的除尘效率应达到99.5%以上，本项目</w:t>
            </w:r>
            <w:r>
              <w:rPr>
                <w:rFonts w:hint="eastAsia"/>
                <w:color w:val="000000" w:themeColor="text1"/>
                <w:highlight w:val="none"/>
                <w14:textFill>
                  <w14:solidFill>
                    <w14:schemeClr w14:val="tx1"/>
                  </w14:solidFill>
                </w14:textFill>
              </w:rPr>
              <w:t>移动式焊烟净化器</w:t>
            </w:r>
            <w:r>
              <w:rPr>
                <w:rFonts w:hint="eastAsia"/>
                <w:color w:val="000000" w:themeColor="text1"/>
                <w:highlight w:val="none"/>
                <w:lang w:val="en-US" w:eastAsia="zh-CN"/>
                <w14:textFill>
                  <w14:solidFill>
                    <w14:schemeClr w14:val="tx1"/>
                  </w14:solidFill>
                </w14:textFill>
              </w:rPr>
              <w:t>处理效率</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按9</w:t>
            </w:r>
            <w:r>
              <w:rPr>
                <w:rFonts w:hint="eastAsia" w:cs="Times New Roman"/>
                <w:color w:val="000000" w:themeColor="text1"/>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%计。本项目焊接烟尘排放情况如下表所示。</w:t>
            </w:r>
          </w:p>
          <w:p w14:paraId="2CBC38DD">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9</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本项目焊接烟尘产生情况</w:t>
            </w:r>
          </w:p>
          <w:tbl>
            <w:tblPr>
              <w:tblStyle w:val="44"/>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067"/>
              <w:gridCol w:w="917"/>
              <w:gridCol w:w="1050"/>
              <w:gridCol w:w="833"/>
              <w:gridCol w:w="700"/>
              <w:gridCol w:w="717"/>
              <w:gridCol w:w="966"/>
              <w:gridCol w:w="1072"/>
            </w:tblGrid>
            <w:tr w14:paraId="496F0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trPr>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731B6">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焊丝用量（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10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12679">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产污系数（</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kg/t-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原料）</w:t>
                  </w:r>
                </w:p>
              </w:tc>
              <w:tc>
                <w:tcPr>
                  <w:tcW w:w="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6CB5E">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产生量（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AF2D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产生速率（</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3D99">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年工作小时</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h</w:t>
                  </w:r>
                </w:p>
              </w:tc>
              <w:tc>
                <w:tcPr>
                  <w:tcW w:w="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A599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收集效率</w:t>
                  </w: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FA8E">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处理效率</w:t>
                  </w:r>
                </w:p>
              </w:tc>
              <w:tc>
                <w:tcPr>
                  <w:tcW w:w="20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E52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无组织排放</w:t>
                  </w:r>
                </w:p>
              </w:tc>
            </w:tr>
            <w:tr w14:paraId="5FF3A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387C2">
                  <w:pPr>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FBFC">
                  <w:pPr>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86336">
                  <w:pPr>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0A3AE">
                  <w:pPr>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436B">
                  <w:pPr>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93BB">
                  <w:pPr>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7574">
                  <w:pPr>
                    <w:jc w:val="center"/>
                    <w:rPr>
                      <w:rFonts w:hint="eastAsia" w:ascii="宋体" w:hAnsi="宋体" w:eastAsia="宋体" w:cs="宋体"/>
                      <w:b/>
                      <w:bCs/>
                      <w:i w:val="0"/>
                      <w:iCs w:val="0"/>
                      <w:color w:val="000000" w:themeColor="text1"/>
                      <w:sz w:val="21"/>
                      <w:szCs w:val="21"/>
                      <w:u w:val="none"/>
                      <w14:textFill>
                        <w14:solidFill>
                          <w14:schemeClr w14:val="tx1"/>
                        </w14:solidFill>
                      </w14:textFill>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EB19">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排放量（t/a）</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C02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排放速率（kg/h）</w:t>
                  </w:r>
                </w:p>
              </w:tc>
            </w:tr>
            <w:tr w14:paraId="5B599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90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18.5625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6D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42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0.171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EB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0.088 </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C3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7C7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A9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46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0.125 </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C3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0.065 </w:t>
                  </w:r>
                </w:p>
              </w:tc>
            </w:tr>
          </w:tbl>
          <w:p w14:paraId="0E747713">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66156AD7">
            <w:pPr>
              <w:widowControl w:val="0"/>
              <w:kinsoku/>
              <w:autoSpaceDE/>
              <w:autoSpaceDN/>
              <w:adjustRightInd/>
              <w:snapToGrid/>
              <w:spacing w:line="360" w:lineRule="auto"/>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eastAsia"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天然气燃烧废气</w:t>
            </w:r>
          </w:p>
          <w:p w14:paraId="5DD9DD75">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GB"/>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固化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工序</w:t>
            </w:r>
            <w:r>
              <w:rPr>
                <w:rFonts w:hint="default" w:ascii="Times New Roman" w:hAnsi="Times New Roman" w:cs="Times New Roman"/>
                <w:color w:val="000000" w:themeColor="text1"/>
                <w:sz w:val="24"/>
                <w:szCs w:val="24"/>
                <w:highlight w:val="none"/>
                <w:lang w:val="en-GB"/>
                <w14:textFill>
                  <w14:solidFill>
                    <w14:schemeClr w14:val="tx1"/>
                  </w14:solidFill>
                </w14:textFill>
              </w:rPr>
              <w:t>以天然气为燃料，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本项目天然气用量为182248m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/a。本项目使用天然气属于《天然气》（GB17820-2018）中的二类气体，其含硫量≤100mg/m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。天然气燃烧过程中，氮氧化物、二氧化硫和工业废气量参考《排放源统计调查产排污核算方法和系数手册》中“机械行业系数手册”内“14涂装天然气工业炉窑”产污系数。</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本项目</w:t>
            </w:r>
            <w:r>
              <w:rPr>
                <w:rFonts w:hint="eastAsia" w:cs="Times New Roman"/>
                <w:color w:val="000000" w:themeColor="text1"/>
                <w:kern w:val="0"/>
                <w:sz w:val="24"/>
                <w:szCs w:val="24"/>
                <w:highlight w:val="none"/>
                <w:lang w:val="en-US" w:eastAsia="zh-CN" w:bidi="ar"/>
                <w14:textFill>
                  <w14:solidFill>
                    <w14:schemeClr w14:val="tx1"/>
                  </w14:solidFill>
                </w14:textFill>
              </w:rPr>
              <w:t>固化工序</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年工作时间</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1928</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h</w:t>
            </w:r>
            <w:r>
              <w:rPr>
                <w:rFonts w:hint="default" w:ascii="Times New Roman" w:hAnsi="Times New Roman" w:cs="Times New Roman"/>
                <w:color w:val="000000" w:themeColor="text1"/>
                <w:kern w:val="0"/>
                <w:sz w:val="24"/>
                <w:szCs w:val="24"/>
                <w:highlight w:val="none"/>
                <w:lang w:eastAsia="zh-CN" w:bidi="ar"/>
                <w14:textFill>
                  <w14:solidFill>
                    <w14:schemeClr w14:val="tx1"/>
                  </w14:solidFill>
                </w14:textFill>
              </w:rPr>
              <w:t>。</w:t>
            </w:r>
          </w:p>
          <w:p w14:paraId="2C3CB9E5">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燃烧机燃烧天然气的污染物产生情况如下：</w:t>
            </w:r>
          </w:p>
          <w:p w14:paraId="7F263F9F">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表4-1</w:t>
            </w:r>
            <w:r>
              <w:rPr>
                <w:rFonts w:hint="eastAsia" w:cs="Times New Roman"/>
                <w:b/>
                <w:color w:val="000000" w:themeColor="text1"/>
                <w:kern w:val="2"/>
                <w:sz w:val="21"/>
                <w:szCs w:val="21"/>
                <w:lang w:val="en-US" w:eastAsia="zh-CN" w:bidi="ar-SA"/>
                <w14:textFill>
                  <w14:solidFill>
                    <w14:schemeClr w14:val="tx1"/>
                  </w14:solidFill>
                </w14:textFill>
              </w:rPr>
              <w:t>0</w:t>
            </w:r>
            <w:r>
              <w:rPr>
                <w:rFonts w:hint="default" w:ascii="Times New Roman" w:hAnsi="Times New Roman" w:cs="Times New Roman"/>
                <w:b/>
                <w:bCs/>
                <w:color w:val="000000" w:themeColor="text1"/>
                <w:sz w:val="21"/>
                <w:szCs w:val="21"/>
                <w:highlight w:val="none"/>
                <w:lang w:bidi="ar"/>
                <w14:textFill>
                  <w14:solidFill>
                    <w14:schemeClr w14:val="tx1"/>
                  </w14:solidFill>
                </w14:textFill>
              </w:rPr>
              <w:t>天然气燃烧废气产生情况一览表</w:t>
            </w:r>
          </w:p>
          <w:tbl>
            <w:tblPr>
              <w:tblStyle w:val="45"/>
              <w:tblW w:w="48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013"/>
              <w:gridCol w:w="884"/>
              <w:gridCol w:w="995"/>
              <w:gridCol w:w="2447"/>
              <w:gridCol w:w="1170"/>
              <w:gridCol w:w="1183"/>
            </w:tblGrid>
            <w:tr w14:paraId="0A6B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trPr>
              <w:tc>
                <w:tcPr>
                  <w:tcW w:w="317" w:type="pct"/>
                  <w:noWrap w:val="0"/>
                  <w:vAlign w:val="center"/>
                </w:tcPr>
                <w:p w14:paraId="10FB02C7">
                  <w:pPr>
                    <w:wordWrap w:val="0"/>
                    <w:topLinePunct/>
                    <w:autoSpaceDE w:val="0"/>
                    <w:autoSpaceDN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序号</w:t>
                  </w:r>
                </w:p>
              </w:tc>
              <w:tc>
                <w:tcPr>
                  <w:tcW w:w="617" w:type="pct"/>
                  <w:noWrap w:val="0"/>
                  <w:vAlign w:val="center"/>
                </w:tcPr>
                <w:p w14:paraId="78B9D53C">
                  <w:pPr>
                    <w:wordWrap w:val="0"/>
                    <w:topLinePunct/>
                    <w:autoSpaceDE w:val="0"/>
                    <w:autoSpaceDN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废气产生点</w:t>
                  </w:r>
                </w:p>
              </w:tc>
              <w:tc>
                <w:tcPr>
                  <w:tcW w:w="538" w:type="pct"/>
                  <w:noWrap w:val="0"/>
                  <w:vAlign w:val="center"/>
                </w:tcPr>
                <w:p w14:paraId="699107DB">
                  <w:pPr>
                    <w:wordWrap w:val="0"/>
                    <w:topLinePunct/>
                    <w:autoSpaceDE w:val="0"/>
                    <w:autoSpaceDN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天然气消耗量（m</w:t>
                  </w:r>
                  <w:r>
                    <w:rPr>
                      <w:b/>
                      <w:bCs/>
                      <w:color w:val="000000" w:themeColor="text1"/>
                      <w:sz w:val="21"/>
                      <w:szCs w:val="21"/>
                      <w:highlight w:val="none"/>
                      <w:vertAlign w:val="superscript"/>
                      <w14:textFill>
                        <w14:solidFill>
                          <w14:schemeClr w14:val="tx1"/>
                        </w14:solidFill>
                      </w14:textFill>
                    </w:rPr>
                    <w:t>3</w:t>
                  </w:r>
                  <w:r>
                    <w:rPr>
                      <w:b/>
                      <w:bCs/>
                      <w:color w:val="000000" w:themeColor="text1"/>
                      <w:sz w:val="21"/>
                      <w:szCs w:val="21"/>
                      <w:highlight w:val="none"/>
                      <w14:textFill>
                        <w14:solidFill>
                          <w14:schemeClr w14:val="tx1"/>
                        </w14:solidFill>
                      </w14:textFill>
                    </w:rPr>
                    <w:t>）</w:t>
                  </w:r>
                </w:p>
              </w:tc>
              <w:tc>
                <w:tcPr>
                  <w:tcW w:w="606" w:type="pct"/>
                  <w:noWrap w:val="0"/>
                  <w:vAlign w:val="center"/>
                </w:tcPr>
                <w:p w14:paraId="267F4353">
                  <w:pPr>
                    <w:wordWrap w:val="0"/>
                    <w:topLinePunct/>
                    <w:autoSpaceDE w:val="0"/>
                    <w:autoSpaceDN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参数</w:t>
                  </w:r>
                </w:p>
              </w:tc>
              <w:tc>
                <w:tcPr>
                  <w:tcW w:w="1490" w:type="pct"/>
                  <w:noWrap w:val="0"/>
                  <w:vAlign w:val="center"/>
                </w:tcPr>
                <w:p w14:paraId="64DFC1B4">
                  <w:pPr>
                    <w:wordWrap w:val="0"/>
                    <w:topLinePunct/>
                    <w:autoSpaceDE w:val="0"/>
                    <w:autoSpaceDN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产污系数</w:t>
                  </w:r>
                </w:p>
              </w:tc>
              <w:tc>
                <w:tcPr>
                  <w:tcW w:w="712" w:type="pct"/>
                  <w:noWrap w:val="0"/>
                  <w:vAlign w:val="center"/>
                </w:tcPr>
                <w:p w14:paraId="688431C7">
                  <w:pPr>
                    <w:wordWrap w:val="0"/>
                    <w:topLinePunct/>
                    <w:autoSpaceDE w:val="0"/>
                    <w:autoSpaceDN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产生量（t/a）</w:t>
                  </w:r>
                </w:p>
              </w:tc>
              <w:tc>
                <w:tcPr>
                  <w:tcW w:w="717" w:type="pct"/>
                  <w:noWrap w:val="0"/>
                  <w:vAlign w:val="center"/>
                </w:tcPr>
                <w:p w14:paraId="593293DE">
                  <w:pPr>
                    <w:wordWrap w:val="0"/>
                    <w:topLinePunct/>
                    <w:autoSpaceDE w:val="0"/>
                    <w:autoSpaceDN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产生速率（kg/h）</w:t>
                  </w:r>
                </w:p>
              </w:tc>
            </w:tr>
            <w:tr w14:paraId="72FB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317" w:type="pct"/>
                  <w:noWrap w:val="0"/>
                  <w:vAlign w:val="center"/>
                </w:tcPr>
                <w:p w14:paraId="70810442">
                  <w:pPr>
                    <w:numPr>
                      <w:ilvl w:val="0"/>
                      <w:numId w:val="15"/>
                    </w:numPr>
                    <w:wordWrap w:val="0"/>
                    <w:topLinePunct/>
                    <w:autoSpaceDE w:val="0"/>
                    <w:autoSpaceDN w:val="0"/>
                    <w:jc w:val="center"/>
                    <w:rPr>
                      <w:color w:val="000000" w:themeColor="text1"/>
                      <w:sz w:val="21"/>
                      <w:szCs w:val="21"/>
                      <w:highlight w:val="none"/>
                      <w14:textFill>
                        <w14:solidFill>
                          <w14:schemeClr w14:val="tx1"/>
                        </w14:solidFill>
                      </w14:textFill>
                    </w:rPr>
                  </w:pPr>
                </w:p>
              </w:tc>
              <w:tc>
                <w:tcPr>
                  <w:tcW w:w="617" w:type="pct"/>
                  <w:vMerge w:val="restart"/>
                  <w:noWrap w:val="0"/>
                  <w:vAlign w:val="center"/>
                </w:tcPr>
                <w:p w14:paraId="2FAE90E5">
                  <w:pPr>
                    <w:wordWrap w:val="0"/>
                    <w:topLinePunct/>
                    <w:autoSpaceDE w:val="0"/>
                    <w:autoSpaceDN w:val="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漆粉</w:t>
                  </w:r>
                  <w:r>
                    <w:rPr>
                      <w:color w:val="000000" w:themeColor="text1"/>
                      <w:sz w:val="21"/>
                      <w:szCs w:val="21"/>
                      <w:highlight w:val="none"/>
                      <w14:textFill>
                        <w14:solidFill>
                          <w14:schemeClr w14:val="tx1"/>
                        </w14:solidFill>
                      </w14:textFill>
                    </w:rPr>
                    <w:t>烘干固化</w:t>
                  </w:r>
                  <w:r>
                    <w:rPr>
                      <w:rFonts w:hint="eastAsia"/>
                      <w:color w:val="000000" w:themeColor="text1"/>
                      <w:sz w:val="21"/>
                      <w:szCs w:val="21"/>
                      <w:highlight w:val="none"/>
                      <w:lang w:val="en-US" w:eastAsia="zh-CN"/>
                      <w14:textFill>
                        <w14:solidFill>
                          <w14:schemeClr w14:val="tx1"/>
                        </w14:solidFill>
                      </w14:textFill>
                    </w:rPr>
                    <w:t>(DA002)</w:t>
                  </w:r>
                </w:p>
              </w:tc>
              <w:tc>
                <w:tcPr>
                  <w:tcW w:w="538" w:type="pct"/>
                  <w:vMerge w:val="restart"/>
                  <w:noWrap w:val="0"/>
                  <w:vAlign w:val="center"/>
                </w:tcPr>
                <w:p w14:paraId="5FCF7549">
                  <w:pPr>
                    <w:keepNext w:val="0"/>
                    <w:keepLines w:val="0"/>
                    <w:widowControl/>
                    <w:suppressLineNumbers w:val="0"/>
                    <w:jc w:val="center"/>
                    <w:textAlignment w:val="center"/>
                    <w:rPr>
                      <w:rFonts w:hint="default" w:eastAsia="宋体"/>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182248</w:t>
                  </w:r>
                </w:p>
              </w:tc>
              <w:tc>
                <w:tcPr>
                  <w:tcW w:w="606" w:type="pct"/>
                  <w:noWrap w:val="0"/>
                  <w:vAlign w:val="center"/>
                </w:tcPr>
                <w:p w14:paraId="2610CD0C">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工业废气量</w:t>
                  </w:r>
                </w:p>
              </w:tc>
              <w:tc>
                <w:tcPr>
                  <w:tcW w:w="1490" w:type="pct"/>
                  <w:noWrap w:val="0"/>
                  <w:vAlign w:val="center"/>
                </w:tcPr>
                <w:p w14:paraId="4AF334BB">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燃料）</w:t>
                  </w:r>
                </w:p>
              </w:tc>
              <w:tc>
                <w:tcPr>
                  <w:tcW w:w="712" w:type="pct"/>
                  <w:shd w:val="clear" w:color="auto" w:fill="auto"/>
                  <w:noWrap w:val="0"/>
                  <w:vAlign w:val="center"/>
                </w:tcPr>
                <w:p w14:paraId="0BDE643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17" w:type="pct"/>
                  <w:shd w:val="clear" w:color="auto" w:fill="auto"/>
                  <w:noWrap w:val="0"/>
                  <w:vAlign w:val="center"/>
                </w:tcPr>
                <w:p w14:paraId="6F7B18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40000m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w:t>
                  </w:r>
                </w:p>
              </w:tc>
            </w:tr>
            <w:tr w14:paraId="4743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317" w:type="pct"/>
                  <w:noWrap w:val="0"/>
                  <w:vAlign w:val="center"/>
                </w:tcPr>
                <w:p w14:paraId="0F1DEFDF">
                  <w:pPr>
                    <w:numPr>
                      <w:ilvl w:val="0"/>
                      <w:numId w:val="15"/>
                    </w:numPr>
                    <w:wordWrap w:val="0"/>
                    <w:topLinePunct/>
                    <w:autoSpaceDE w:val="0"/>
                    <w:autoSpaceDN w:val="0"/>
                    <w:jc w:val="center"/>
                    <w:rPr>
                      <w:color w:val="000000" w:themeColor="text1"/>
                      <w:sz w:val="21"/>
                      <w:szCs w:val="21"/>
                      <w:highlight w:val="none"/>
                      <w14:textFill>
                        <w14:solidFill>
                          <w14:schemeClr w14:val="tx1"/>
                        </w14:solidFill>
                      </w14:textFill>
                    </w:rPr>
                  </w:pPr>
                </w:p>
              </w:tc>
              <w:tc>
                <w:tcPr>
                  <w:tcW w:w="617" w:type="pct"/>
                  <w:vMerge w:val="continue"/>
                  <w:noWrap w:val="0"/>
                  <w:vAlign w:val="center"/>
                </w:tcPr>
                <w:p w14:paraId="2F751DC9">
                  <w:pPr>
                    <w:wordWrap w:val="0"/>
                    <w:topLinePunct/>
                    <w:autoSpaceDE w:val="0"/>
                    <w:autoSpaceDN w:val="0"/>
                    <w:jc w:val="center"/>
                    <w:rPr>
                      <w:color w:val="000000" w:themeColor="text1"/>
                      <w:sz w:val="21"/>
                      <w:szCs w:val="21"/>
                      <w:highlight w:val="none"/>
                      <w14:textFill>
                        <w14:solidFill>
                          <w14:schemeClr w14:val="tx1"/>
                        </w14:solidFill>
                      </w14:textFill>
                    </w:rPr>
                  </w:pPr>
                </w:p>
              </w:tc>
              <w:tc>
                <w:tcPr>
                  <w:tcW w:w="538" w:type="pct"/>
                  <w:vMerge w:val="continue"/>
                  <w:noWrap w:val="0"/>
                  <w:vAlign w:val="center"/>
                </w:tcPr>
                <w:p w14:paraId="4BF297BB">
                  <w:pPr>
                    <w:jc w:val="center"/>
                    <w:rPr>
                      <w:color w:val="000000" w:themeColor="text1"/>
                      <w:sz w:val="21"/>
                      <w:szCs w:val="21"/>
                      <w:highlight w:val="none"/>
                      <w:lang w:bidi="ar"/>
                      <w14:textFill>
                        <w14:solidFill>
                          <w14:schemeClr w14:val="tx1"/>
                        </w14:solidFill>
                      </w14:textFill>
                    </w:rPr>
                  </w:pPr>
                </w:p>
              </w:tc>
              <w:tc>
                <w:tcPr>
                  <w:tcW w:w="606" w:type="pct"/>
                  <w:noWrap w:val="0"/>
                  <w:vAlign w:val="center"/>
                </w:tcPr>
                <w:p w14:paraId="0FD1E8D0">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1490" w:type="pct"/>
                  <w:noWrap w:val="0"/>
                  <w:vAlign w:val="center"/>
                </w:tcPr>
                <w:p w14:paraId="428DC05B">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0.000002S</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kg/m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燃料）</w:t>
                  </w:r>
                </w:p>
              </w:tc>
              <w:tc>
                <w:tcPr>
                  <w:tcW w:w="712" w:type="pct"/>
                  <w:noWrap w:val="0"/>
                  <w:vAlign w:val="center"/>
                </w:tcPr>
                <w:p w14:paraId="4AC41222">
                  <w:pPr>
                    <w:keepNext w:val="0"/>
                    <w:keepLines w:val="0"/>
                    <w:widowControl/>
                    <w:suppressLineNumbers w:val="0"/>
                    <w:jc w:val="center"/>
                    <w:textAlignment w:val="center"/>
                    <w:rPr>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0.036 </w:t>
                  </w:r>
                </w:p>
              </w:tc>
              <w:tc>
                <w:tcPr>
                  <w:tcW w:w="717" w:type="pct"/>
                  <w:noWrap w:val="0"/>
                  <w:vAlign w:val="center"/>
                </w:tcPr>
                <w:p w14:paraId="03F2E90E">
                  <w:pPr>
                    <w:keepNext w:val="0"/>
                    <w:keepLines w:val="0"/>
                    <w:widowControl/>
                    <w:suppressLineNumbers w:val="0"/>
                    <w:jc w:val="center"/>
                    <w:textAlignment w:val="center"/>
                    <w:rPr>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 </w:t>
                  </w:r>
                </w:p>
              </w:tc>
            </w:tr>
            <w:tr w14:paraId="6178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trPr>
              <w:tc>
                <w:tcPr>
                  <w:tcW w:w="317" w:type="pct"/>
                  <w:noWrap w:val="0"/>
                  <w:vAlign w:val="center"/>
                </w:tcPr>
                <w:p w14:paraId="55A74C1E">
                  <w:pPr>
                    <w:numPr>
                      <w:ilvl w:val="0"/>
                      <w:numId w:val="15"/>
                    </w:numPr>
                    <w:wordWrap w:val="0"/>
                    <w:topLinePunct/>
                    <w:autoSpaceDE w:val="0"/>
                    <w:autoSpaceDN w:val="0"/>
                    <w:jc w:val="center"/>
                    <w:rPr>
                      <w:color w:val="000000" w:themeColor="text1"/>
                      <w:sz w:val="21"/>
                      <w:szCs w:val="21"/>
                      <w:highlight w:val="none"/>
                      <w14:textFill>
                        <w14:solidFill>
                          <w14:schemeClr w14:val="tx1"/>
                        </w14:solidFill>
                      </w14:textFill>
                    </w:rPr>
                  </w:pPr>
                </w:p>
              </w:tc>
              <w:tc>
                <w:tcPr>
                  <w:tcW w:w="617" w:type="pct"/>
                  <w:vMerge w:val="continue"/>
                  <w:noWrap w:val="0"/>
                  <w:vAlign w:val="center"/>
                </w:tcPr>
                <w:p w14:paraId="63CF8B82">
                  <w:pPr>
                    <w:wordWrap w:val="0"/>
                    <w:topLinePunct/>
                    <w:autoSpaceDE w:val="0"/>
                    <w:autoSpaceDN w:val="0"/>
                    <w:jc w:val="center"/>
                    <w:rPr>
                      <w:color w:val="000000" w:themeColor="text1"/>
                      <w:sz w:val="21"/>
                      <w:szCs w:val="21"/>
                      <w:highlight w:val="none"/>
                      <w14:textFill>
                        <w14:solidFill>
                          <w14:schemeClr w14:val="tx1"/>
                        </w14:solidFill>
                      </w14:textFill>
                    </w:rPr>
                  </w:pPr>
                </w:p>
              </w:tc>
              <w:tc>
                <w:tcPr>
                  <w:tcW w:w="538" w:type="pct"/>
                  <w:vMerge w:val="continue"/>
                  <w:noWrap w:val="0"/>
                  <w:vAlign w:val="center"/>
                </w:tcPr>
                <w:p w14:paraId="1AA2325B">
                  <w:pPr>
                    <w:jc w:val="center"/>
                    <w:rPr>
                      <w:color w:val="000000" w:themeColor="text1"/>
                      <w:sz w:val="21"/>
                      <w:szCs w:val="21"/>
                      <w:highlight w:val="none"/>
                      <w:lang w:bidi="ar"/>
                      <w14:textFill>
                        <w14:solidFill>
                          <w14:schemeClr w14:val="tx1"/>
                        </w14:solidFill>
                      </w14:textFill>
                    </w:rPr>
                  </w:pPr>
                </w:p>
              </w:tc>
              <w:tc>
                <w:tcPr>
                  <w:tcW w:w="606" w:type="pct"/>
                  <w:noWrap w:val="0"/>
                  <w:vAlign w:val="center"/>
                </w:tcPr>
                <w:p w14:paraId="33E28755">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p>
              </w:tc>
              <w:tc>
                <w:tcPr>
                  <w:tcW w:w="1490" w:type="pct"/>
                  <w:noWrap w:val="0"/>
                  <w:vAlign w:val="center"/>
                </w:tcPr>
                <w:p w14:paraId="5719A461">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0.00187</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kg/m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燃料）</w:t>
                  </w:r>
                </w:p>
              </w:tc>
              <w:tc>
                <w:tcPr>
                  <w:tcW w:w="712" w:type="pct"/>
                  <w:noWrap w:val="0"/>
                  <w:vAlign w:val="center"/>
                </w:tcPr>
                <w:p w14:paraId="77409FE1">
                  <w:pPr>
                    <w:keepNext w:val="0"/>
                    <w:keepLines w:val="0"/>
                    <w:widowControl/>
                    <w:suppressLineNumbers w:val="0"/>
                    <w:jc w:val="center"/>
                    <w:textAlignment w:val="center"/>
                    <w:rPr>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0.341 </w:t>
                  </w:r>
                </w:p>
              </w:tc>
              <w:tc>
                <w:tcPr>
                  <w:tcW w:w="717" w:type="pct"/>
                  <w:noWrap w:val="0"/>
                  <w:vAlign w:val="center"/>
                </w:tcPr>
                <w:p w14:paraId="330E2703">
                  <w:pPr>
                    <w:keepNext w:val="0"/>
                    <w:keepLines w:val="0"/>
                    <w:widowControl/>
                    <w:suppressLineNumbers w:val="0"/>
                    <w:jc w:val="center"/>
                    <w:textAlignment w:val="center"/>
                    <w:rPr>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0.177 </w:t>
                  </w:r>
                </w:p>
              </w:tc>
            </w:tr>
            <w:tr w14:paraId="14E4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317" w:type="pct"/>
                  <w:noWrap w:val="0"/>
                  <w:vAlign w:val="center"/>
                </w:tcPr>
                <w:p w14:paraId="1E0C229E">
                  <w:pPr>
                    <w:numPr>
                      <w:ilvl w:val="0"/>
                      <w:numId w:val="15"/>
                    </w:numPr>
                    <w:wordWrap w:val="0"/>
                    <w:topLinePunct/>
                    <w:autoSpaceDE w:val="0"/>
                    <w:autoSpaceDN w:val="0"/>
                    <w:jc w:val="center"/>
                    <w:rPr>
                      <w:color w:val="000000" w:themeColor="text1"/>
                      <w:sz w:val="21"/>
                      <w:szCs w:val="21"/>
                      <w:highlight w:val="none"/>
                      <w14:textFill>
                        <w14:solidFill>
                          <w14:schemeClr w14:val="tx1"/>
                        </w14:solidFill>
                      </w14:textFill>
                    </w:rPr>
                  </w:pPr>
                </w:p>
              </w:tc>
              <w:tc>
                <w:tcPr>
                  <w:tcW w:w="617" w:type="pct"/>
                  <w:vMerge w:val="continue"/>
                  <w:noWrap w:val="0"/>
                  <w:vAlign w:val="center"/>
                </w:tcPr>
                <w:p w14:paraId="58FF3706">
                  <w:pPr>
                    <w:wordWrap w:val="0"/>
                    <w:topLinePunct/>
                    <w:autoSpaceDE w:val="0"/>
                    <w:autoSpaceDN w:val="0"/>
                    <w:jc w:val="center"/>
                    <w:rPr>
                      <w:color w:val="000000" w:themeColor="text1"/>
                      <w:sz w:val="21"/>
                      <w:szCs w:val="21"/>
                      <w:highlight w:val="none"/>
                      <w14:textFill>
                        <w14:solidFill>
                          <w14:schemeClr w14:val="tx1"/>
                        </w14:solidFill>
                      </w14:textFill>
                    </w:rPr>
                  </w:pPr>
                </w:p>
              </w:tc>
              <w:tc>
                <w:tcPr>
                  <w:tcW w:w="538" w:type="pct"/>
                  <w:vMerge w:val="continue"/>
                  <w:noWrap w:val="0"/>
                  <w:vAlign w:val="center"/>
                </w:tcPr>
                <w:p w14:paraId="2AC7E96C">
                  <w:pPr>
                    <w:jc w:val="center"/>
                    <w:rPr>
                      <w:color w:val="000000" w:themeColor="text1"/>
                      <w:sz w:val="21"/>
                      <w:szCs w:val="21"/>
                      <w:highlight w:val="none"/>
                      <w:lang w:bidi="ar"/>
                      <w14:textFill>
                        <w14:solidFill>
                          <w14:schemeClr w14:val="tx1"/>
                        </w14:solidFill>
                      </w14:textFill>
                    </w:rPr>
                  </w:pPr>
                </w:p>
              </w:tc>
              <w:tc>
                <w:tcPr>
                  <w:tcW w:w="606" w:type="pct"/>
                  <w:noWrap w:val="0"/>
                  <w:vAlign w:val="center"/>
                </w:tcPr>
                <w:p w14:paraId="2EB0D0C4">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烟尘</w:t>
                  </w:r>
                </w:p>
              </w:tc>
              <w:tc>
                <w:tcPr>
                  <w:tcW w:w="1490" w:type="pct"/>
                  <w:noWrap w:val="0"/>
                  <w:vAlign w:val="center"/>
                </w:tcPr>
                <w:p w14:paraId="6F57B5EC">
                  <w:pPr>
                    <w:keepNext w:val="0"/>
                    <w:keepLines w:val="0"/>
                    <w:widowControl/>
                    <w:suppressLineNumbers w:val="0"/>
                    <w:jc w:val="center"/>
                    <w:textAlignment w:val="center"/>
                    <w:rPr>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0.000286</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kg/m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燃料）</w:t>
                  </w:r>
                </w:p>
              </w:tc>
              <w:tc>
                <w:tcPr>
                  <w:tcW w:w="712" w:type="pct"/>
                  <w:noWrap w:val="0"/>
                  <w:vAlign w:val="center"/>
                </w:tcPr>
                <w:p w14:paraId="5E0F3E27">
                  <w:pPr>
                    <w:keepNext w:val="0"/>
                    <w:keepLines w:val="0"/>
                    <w:widowControl/>
                    <w:suppressLineNumbers w:val="0"/>
                    <w:jc w:val="center"/>
                    <w:textAlignment w:val="center"/>
                    <w:rPr>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0.052 </w:t>
                  </w:r>
                </w:p>
              </w:tc>
              <w:tc>
                <w:tcPr>
                  <w:tcW w:w="717" w:type="pct"/>
                  <w:noWrap w:val="0"/>
                  <w:vAlign w:val="center"/>
                </w:tcPr>
                <w:p w14:paraId="774D00A2">
                  <w:pPr>
                    <w:keepNext w:val="0"/>
                    <w:keepLines w:val="0"/>
                    <w:widowControl/>
                    <w:suppressLineNumbers w:val="0"/>
                    <w:jc w:val="center"/>
                    <w:textAlignment w:val="center"/>
                    <w:rPr>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0.027 </w:t>
                  </w:r>
                </w:p>
              </w:tc>
            </w:tr>
            <w:tr w14:paraId="343D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exact"/>
              </w:trPr>
              <w:tc>
                <w:tcPr>
                  <w:tcW w:w="5000" w:type="pct"/>
                  <w:gridSpan w:val="7"/>
                  <w:noWrap w:val="0"/>
                  <w:vAlign w:val="center"/>
                </w:tcPr>
                <w:p w14:paraId="25C9A244">
                  <w:pPr>
                    <w:widowControl/>
                    <w:jc w:val="left"/>
                    <w:textAlignment w:val="center"/>
                    <w:rPr>
                      <w:color w:val="000000" w:themeColor="text1"/>
                      <w:sz w:val="21"/>
                      <w:szCs w:val="21"/>
                      <w:highlight w:val="none"/>
                      <w:lang w:bidi="ar"/>
                      <w14:textFill>
                        <w14:solidFill>
                          <w14:schemeClr w14:val="tx1"/>
                        </w14:solidFill>
                      </w14:textFill>
                    </w:rPr>
                  </w:pPr>
                  <w:r>
                    <w:rPr>
                      <w:color w:val="000000" w:themeColor="text1"/>
                      <w:sz w:val="21"/>
                      <w:szCs w:val="21"/>
                      <w:highlight w:val="none"/>
                      <w14:textFill>
                        <w14:solidFill>
                          <w14:schemeClr w14:val="tx1"/>
                        </w14:solidFill>
                      </w14:textFill>
                    </w:rPr>
                    <w:t>注：</w:t>
                  </w:r>
                  <w:r>
                    <w:rPr>
                      <w:rFonts w:hint="eastAsia" w:ascii="宋体" w:hAnsi="宋体" w:cs="宋体"/>
                      <w:color w:val="000000" w:themeColor="text1"/>
                      <w:sz w:val="21"/>
                      <w:szCs w:val="21"/>
                      <w:highlight w:val="none"/>
                      <w14:textFill>
                        <w14:solidFill>
                          <w14:schemeClr w14:val="tx1"/>
                        </w14:solidFill>
                      </w14:textFill>
                    </w:rPr>
                    <w:t>①</w:t>
                  </w:r>
                  <w:r>
                    <w:rPr>
                      <w:color w:val="000000" w:themeColor="text1"/>
                      <w:sz w:val="21"/>
                      <w:szCs w:val="21"/>
                      <w:highlight w:val="none"/>
                      <w14:textFill>
                        <w14:solidFill>
                          <w14:schemeClr w14:val="tx1"/>
                        </w14:solidFill>
                      </w14:textFill>
                    </w:rPr>
                    <w:t>SO</w:t>
                  </w:r>
                  <w:r>
                    <w:rPr>
                      <w:color w:val="000000" w:themeColor="text1"/>
                      <w:sz w:val="21"/>
                      <w:szCs w:val="21"/>
                      <w:highlight w:val="none"/>
                      <w:vertAlign w:val="subscript"/>
                      <w14:textFill>
                        <w14:solidFill>
                          <w14:schemeClr w14:val="tx1"/>
                        </w14:solidFill>
                      </w14:textFill>
                    </w:rPr>
                    <w:t>2</w:t>
                  </w:r>
                  <w:r>
                    <w:rPr>
                      <w:color w:val="000000" w:themeColor="text1"/>
                      <w:sz w:val="21"/>
                      <w:szCs w:val="21"/>
                      <w:highlight w:val="none"/>
                      <w14:textFill>
                        <w14:solidFill>
                          <w14:schemeClr w14:val="tx1"/>
                        </w14:solidFill>
                      </w14:textFill>
                    </w:rPr>
                    <w:t>的产生系数为0.000002S，其中S为燃料中的含硫量，根据《天然气》（GB17820-2018）中的二类标准含S量最高不超100mg/m</w:t>
                  </w:r>
                  <w:r>
                    <w:rPr>
                      <w:color w:val="000000" w:themeColor="text1"/>
                      <w:sz w:val="21"/>
                      <w:szCs w:val="21"/>
                      <w:highlight w:val="none"/>
                      <w:vertAlign w:val="superscript"/>
                      <w14:textFill>
                        <w14:solidFill>
                          <w14:schemeClr w14:val="tx1"/>
                        </w14:solidFill>
                      </w14:textFill>
                    </w:rPr>
                    <w:t>3</w:t>
                  </w:r>
                  <w:r>
                    <w:rPr>
                      <w:color w:val="000000" w:themeColor="text1"/>
                      <w:sz w:val="21"/>
                      <w:szCs w:val="21"/>
                      <w:highlight w:val="none"/>
                      <w14:textFill>
                        <w14:solidFill>
                          <w14:schemeClr w14:val="tx1"/>
                        </w14:solidFill>
                      </w14:textFill>
                    </w:rPr>
                    <w:t>计算，即S取100；</w:t>
                  </w:r>
                </w:p>
              </w:tc>
            </w:tr>
          </w:tbl>
          <w:p w14:paraId="261C5929">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3616BE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固化工序</w:t>
            </w:r>
            <w:r>
              <w:rPr>
                <w:rFonts w:hint="default" w:ascii="Times New Roman" w:hAnsi="Times New Roman" w:cs="Times New Roman"/>
                <w:color w:val="000000" w:themeColor="text1"/>
                <w:sz w:val="24"/>
                <w:highlight w:val="none"/>
                <w14:textFill>
                  <w14:solidFill>
                    <w14:schemeClr w14:val="tx1"/>
                  </w14:solidFill>
                </w14:textFill>
              </w:rPr>
              <w:t>燃烧机燃烧天然气产生的热烟气，经</w:t>
            </w:r>
            <w:r>
              <w:rPr>
                <w:rFonts w:hint="eastAsia" w:cs="Times New Roman"/>
                <w:color w:val="000000" w:themeColor="text1"/>
                <w:sz w:val="24"/>
                <w:highlight w:val="none"/>
                <w:lang w:val="en-US" w:eastAsia="zh-CN"/>
                <w14:textFill>
                  <w14:solidFill>
                    <w14:schemeClr w14:val="tx1"/>
                  </w14:solidFill>
                </w14:textFill>
              </w:rPr>
              <w:t>固化</w:t>
            </w:r>
            <w:r>
              <w:rPr>
                <w:rFonts w:hint="default" w:ascii="Times New Roman" w:hAnsi="Times New Roman" w:cs="Times New Roman"/>
                <w:color w:val="000000" w:themeColor="text1"/>
                <w:sz w:val="24"/>
                <w:highlight w:val="none"/>
                <w14:textFill>
                  <w14:solidFill>
                    <w14:schemeClr w14:val="tx1"/>
                  </w14:solidFill>
                </w14:textFill>
              </w:rPr>
              <w:t>通道首尾两端设置的集气罩收集，与</w:t>
            </w:r>
            <w:r>
              <w:rPr>
                <w:rFonts w:hint="eastAsia" w:cs="Times New Roman"/>
                <w:color w:val="000000" w:themeColor="text1"/>
                <w:sz w:val="24"/>
                <w:highlight w:val="none"/>
                <w:lang w:val="en-US" w:eastAsia="zh-CN"/>
                <w14:textFill>
                  <w14:solidFill>
                    <w14:schemeClr w14:val="tx1"/>
                  </w14:solidFill>
                </w14:textFill>
              </w:rPr>
              <w:t>固化</w:t>
            </w:r>
            <w:r>
              <w:rPr>
                <w:rFonts w:hint="default" w:ascii="Times New Roman" w:hAnsi="Times New Roman" w:cs="Times New Roman"/>
                <w:color w:val="000000" w:themeColor="text1"/>
                <w:sz w:val="24"/>
                <w:highlight w:val="none"/>
                <w14:textFill>
                  <w14:solidFill>
                    <w14:schemeClr w14:val="tx1"/>
                  </w14:solidFill>
                </w14:textFill>
              </w:rPr>
              <w:t>通道设置的直连排风管一并引至15m高排气筒</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DA00</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高空排放。</w:t>
            </w:r>
          </w:p>
          <w:p w14:paraId="66BEC5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根据建设项目提供环保工程资料，</w:t>
            </w:r>
            <w:r>
              <w:rPr>
                <w:rFonts w:hint="eastAsia" w:cs="Times New Roman"/>
                <w:color w:val="000000" w:themeColor="text1"/>
                <w:sz w:val="24"/>
                <w:highlight w:val="none"/>
                <w:lang w:val="en-US" w:eastAsia="zh-CN"/>
                <w14:textFill>
                  <w14:solidFill>
                    <w14:schemeClr w14:val="tx1"/>
                  </w14:solidFill>
                </w14:textFill>
              </w:rPr>
              <w:t>固化</w:t>
            </w:r>
            <w:r>
              <w:rPr>
                <w:rFonts w:hint="default" w:ascii="Times New Roman" w:hAnsi="Times New Roman" w:cs="Times New Roman"/>
                <w:color w:val="000000" w:themeColor="text1"/>
                <w:sz w:val="24"/>
                <w:highlight w:val="none"/>
                <w:lang w:val="en-US" w:eastAsia="zh-CN"/>
                <w14:textFill>
                  <w14:solidFill>
                    <w14:schemeClr w14:val="tx1"/>
                  </w14:solidFill>
                </w14:textFill>
              </w:rPr>
              <w:t>通道</w:t>
            </w:r>
            <w:r>
              <w:rPr>
                <w:rFonts w:hint="default" w:ascii="Times New Roman" w:hAnsi="Times New Roman" w:cs="Times New Roman"/>
                <w:color w:val="000000" w:themeColor="text1"/>
                <w:sz w:val="24"/>
                <w:highlight w:val="none"/>
                <w14:textFill>
                  <w14:solidFill>
                    <w14:schemeClr w14:val="tx1"/>
                  </w14:solidFill>
                </w14:textFill>
              </w:rPr>
              <w:t>集气罩尺寸配置及风量计算如下表所示。</w:t>
            </w:r>
          </w:p>
          <w:p w14:paraId="38943203">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表4-1</w:t>
            </w:r>
            <w:r>
              <w:rPr>
                <w:rFonts w:hint="eastAsia" w:cs="Times New Roman"/>
                <w:b/>
                <w:bCs/>
                <w:color w:val="000000" w:themeColor="text1"/>
                <w:kern w:val="2"/>
                <w:sz w:val="21"/>
                <w:szCs w:val="21"/>
                <w:lang w:val="en-US" w:eastAsia="zh-CN" w:bidi="ar"/>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天然气燃烧</w:t>
            </w:r>
            <w:r>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t>废气集气罩风量一览表</w:t>
            </w:r>
          </w:p>
          <w:tbl>
            <w:tblPr>
              <w:tblStyle w:val="44"/>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2"/>
              <w:gridCol w:w="694"/>
              <w:gridCol w:w="657"/>
              <w:gridCol w:w="700"/>
              <w:gridCol w:w="669"/>
              <w:gridCol w:w="905"/>
              <w:gridCol w:w="880"/>
              <w:gridCol w:w="877"/>
              <w:gridCol w:w="674"/>
              <w:gridCol w:w="1131"/>
            </w:tblGrid>
            <w:tr w14:paraId="367BD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22" w:type="pct"/>
                  <w:vMerge w:val="restart"/>
                  <w:tcBorders>
                    <w:top w:val="single" w:color="000000" w:sz="4" w:space="0"/>
                    <w:left w:val="single" w:color="000000" w:sz="4" w:space="0"/>
                    <w:bottom w:val="single" w:color="000000" w:sz="4" w:space="0"/>
                    <w:right w:val="single" w:color="000000" w:sz="4" w:space="0"/>
                  </w:tcBorders>
                  <w:noWrap w:val="0"/>
                  <w:vAlign w:val="center"/>
                </w:tcPr>
                <w:p w14:paraId="751840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产污类别</w:t>
                  </w:r>
                </w:p>
              </w:tc>
              <w:tc>
                <w:tcPr>
                  <w:tcW w:w="413" w:type="pct"/>
                  <w:vMerge w:val="restart"/>
                  <w:tcBorders>
                    <w:top w:val="single" w:color="000000" w:sz="4" w:space="0"/>
                    <w:left w:val="single" w:color="000000" w:sz="4" w:space="0"/>
                    <w:bottom w:val="single" w:color="000000" w:sz="4" w:space="0"/>
                    <w:right w:val="single" w:color="000000" w:sz="4" w:space="0"/>
                  </w:tcBorders>
                  <w:noWrap w:val="0"/>
                  <w:vAlign w:val="center"/>
                </w:tcPr>
                <w:p w14:paraId="13400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产污设备</w:t>
                  </w:r>
                </w:p>
              </w:tc>
              <w:tc>
                <w:tcPr>
                  <w:tcW w:w="391" w:type="pct"/>
                  <w:vMerge w:val="restart"/>
                  <w:tcBorders>
                    <w:top w:val="single" w:color="000000" w:sz="4" w:space="0"/>
                    <w:left w:val="single" w:color="000000" w:sz="4" w:space="0"/>
                    <w:bottom w:val="single" w:color="000000" w:sz="4" w:space="0"/>
                    <w:right w:val="single" w:color="000000" w:sz="4" w:space="0"/>
                  </w:tcBorders>
                  <w:noWrap w:val="0"/>
                  <w:vAlign w:val="center"/>
                </w:tcPr>
                <w:p w14:paraId="7CC850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设备数量</w:t>
                  </w:r>
                </w:p>
              </w:tc>
              <w:tc>
                <w:tcPr>
                  <w:tcW w:w="1878" w:type="pct"/>
                  <w:gridSpan w:val="4"/>
                  <w:tcBorders>
                    <w:top w:val="single" w:color="000000" w:sz="4" w:space="0"/>
                    <w:left w:val="single" w:color="000000" w:sz="4" w:space="0"/>
                    <w:bottom w:val="single" w:color="000000" w:sz="4" w:space="0"/>
                    <w:right w:val="single" w:color="000000" w:sz="4" w:space="0"/>
                  </w:tcBorders>
                  <w:noWrap w:val="0"/>
                  <w:vAlign w:val="center"/>
                </w:tcPr>
                <w:p w14:paraId="08D8A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集气罩参数</w:t>
                  </w:r>
                </w:p>
              </w:tc>
              <w:tc>
                <w:tcPr>
                  <w:tcW w:w="522" w:type="pct"/>
                  <w:vMerge w:val="restart"/>
                  <w:tcBorders>
                    <w:top w:val="single" w:color="000000" w:sz="4" w:space="0"/>
                    <w:left w:val="single" w:color="000000" w:sz="4" w:space="0"/>
                    <w:bottom w:val="single" w:color="000000" w:sz="4" w:space="0"/>
                    <w:right w:val="single" w:color="000000" w:sz="4" w:space="0"/>
                  </w:tcBorders>
                  <w:noWrap w:val="0"/>
                  <w:vAlign w:val="center"/>
                </w:tcPr>
                <w:p w14:paraId="07E7EF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单个集气罩风量m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/h</w:t>
                  </w:r>
                </w:p>
              </w:tc>
              <w:tc>
                <w:tcPr>
                  <w:tcW w:w="401" w:type="pct"/>
                  <w:vMerge w:val="restart"/>
                  <w:tcBorders>
                    <w:top w:val="single" w:color="000000" w:sz="4" w:space="0"/>
                    <w:left w:val="single" w:color="000000" w:sz="4" w:space="0"/>
                    <w:bottom w:val="single" w:color="000000" w:sz="4" w:space="0"/>
                    <w:right w:val="single" w:color="000000" w:sz="4" w:space="0"/>
                  </w:tcBorders>
                  <w:noWrap w:val="0"/>
                  <w:vAlign w:val="center"/>
                </w:tcPr>
                <w:p w14:paraId="121342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总集气罩数量</w:t>
                  </w:r>
                </w:p>
              </w:tc>
              <w:tc>
                <w:tcPr>
                  <w:tcW w:w="670" w:type="pct"/>
                  <w:vMerge w:val="restart"/>
                  <w:tcBorders>
                    <w:top w:val="single" w:color="000000" w:sz="4" w:space="0"/>
                    <w:left w:val="single" w:color="000000" w:sz="4" w:space="0"/>
                    <w:bottom w:val="single" w:color="000000" w:sz="4" w:space="0"/>
                    <w:right w:val="single" w:color="000000" w:sz="4" w:space="0"/>
                  </w:tcBorders>
                  <w:noWrap w:val="0"/>
                  <w:vAlign w:val="center"/>
                </w:tcPr>
                <w:p w14:paraId="6076AF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集气罩计算总风量m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/h</w:t>
                  </w:r>
                </w:p>
              </w:tc>
            </w:tr>
            <w:tr w14:paraId="0F1DE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4C8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4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48B5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3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8111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417" w:type="pct"/>
                  <w:tcBorders>
                    <w:top w:val="single" w:color="000000" w:sz="4" w:space="0"/>
                    <w:left w:val="single" w:color="000000" w:sz="4" w:space="0"/>
                    <w:bottom w:val="single" w:color="000000" w:sz="4" w:space="0"/>
                    <w:right w:val="single" w:color="000000" w:sz="4" w:space="0"/>
                  </w:tcBorders>
                  <w:noWrap w:val="0"/>
                  <w:vAlign w:val="center"/>
                </w:tcPr>
                <w:p w14:paraId="03229B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长度m</w:t>
                  </w:r>
                </w:p>
              </w:tc>
              <w:tc>
                <w:tcPr>
                  <w:tcW w:w="398" w:type="pct"/>
                  <w:tcBorders>
                    <w:top w:val="single" w:color="000000" w:sz="4" w:space="0"/>
                    <w:left w:val="single" w:color="000000" w:sz="4" w:space="0"/>
                    <w:bottom w:val="single" w:color="000000" w:sz="4" w:space="0"/>
                    <w:right w:val="single" w:color="000000" w:sz="4" w:space="0"/>
                  </w:tcBorders>
                  <w:noWrap w:val="0"/>
                  <w:vAlign w:val="center"/>
                </w:tcPr>
                <w:p w14:paraId="029267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宽度m</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3044A3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至罩口距离m</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244C51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控制风速m/s</w:t>
                  </w:r>
                </w:p>
              </w:tc>
              <w:tc>
                <w:tcPr>
                  <w:tcW w:w="5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1FF8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4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2A7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c>
                <w:tcPr>
                  <w:tcW w:w="67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19E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p>
              </w:tc>
            </w:tr>
            <w:tr w14:paraId="1A622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22" w:type="pct"/>
                  <w:tcBorders>
                    <w:top w:val="single" w:color="000000" w:sz="4" w:space="0"/>
                    <w:left w:val="single" w:color="000000" w:sz="4" w:space="0"/>
                    <w:bottom w:val="single" w:color="000000" w:sz="4" w:space="0"/>
                    <w:right w:val="single" w:color="000000" w:sz="4" w:space="0"/>
                  </w:tcBorders>
                  <w:noWrap w:val="0"/>
                  <w:vAlign w:val="center"/>
                </w:tcPr>
                <w:p w14:paraId="4EE83C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天然气燃烧废气（</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DA002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E4EBC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固化炉</w:t>
                  </w:r>
                </w:p>
              </w:tc>
              <w:tc>
                <w:tcPr>
                  <w:tcW w:w="391" w:type="pct"/>
                  <w:tcBorders>
                    <w:top w:val="single" w:color="000000" w:sz="4" w:space="0"/>
                    <w:left w:val="single" w:color="000000" w:sz="4" w:space="0"/>
                    <w:bottom w:val="single" w:color="000000" w:sz="4" w:space="0"/>
                    <w:right w:val="single" w:color="000000" w:sz="4" w:space="0"/>
                  </w:tcBorders>
                  <w:noWrap/>
                  <w:vAlign w:val="center"/>
                </w:tcPr>
                <w:p w14:paraId="490FF5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62CA36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398" w:type="pct"/>
                  <w:tcBorders>
                    <w:top w:val="single" w:color="000000" w:sz="4" w:space="0"/>
                    <w:left w:val="single" w:color="000000" w:sz="4" w:space="0"/>
                    <w:bottom w:val="single" w:color="000000" w:sz="4" w:space="0"/>
                    <w:right w:val="single" w:color="000000" w:sz="4" w:space="0"/>
                  </w:tcBorders>
                  <w:noWrap/>
                  <w:vAlign w:val="center"/>
                </w:tcPr>
                <w:p w14:paraId="428E38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39" w:type="pct"/>
                  <w:tcBorders>
                    <w:top w:val="single" w:color="000000" w:sz="4" w:space="0"/>
                    <w:left w:val="single" w:color="000000" w:sz="4" w:space="0"/>
                    <w:bottom w:val="single" w:color="000000" w:sz="4" w:space="0"/>
                    <w:right w:val="single" w:color="000000" w:sz="4" w:space="0"/>
                  </w:tcBorders>
                  <w:noWrap/>
                  <w:vAlign w:val="center"/>
                </w:tcPr>
                <w:p w14:paraId="61BB30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w:t>
                  </w:r>
                </w:p>
              </w:tc>
              <w:tc>
                <w:tcPr>
                  <w:tcW w:w="522" w:type="pct"/>
                  <w:tcBorders>
                    <w:top w:val="single" w:color="000000" w:sz="4" w:space="0"/>
                    <w:left w:val="single" w:color="000000" w:sz="4" w:space="0"/>
                    <w:bottom w:val="single" w:color="000000" w:sz="4" w:space="0"/>
                    <w:right w:val="single" w:color="000000" w:sz="4" w:space="0"/>
                  </w:tcBorders>
                  <w:noWrap/>
                  <w:vAlign w:val="center"/>
                </w:tcPr>
                <w:p w14:paraId="146207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522" w:type="pct"/>
                  <w:tcBorders>
                    <w:top w:val="single" w:color="000000" w:sz="4" w:space="0"/>
                    <w:left w:val="single" w:color="000000" w:sz="4" w:space="0"/>
                    <w:bottom w:val="single" w:color="000000" w:sz="4" w:space="0"/>
                    <w:right w:val="single" w:color="000000" w:sz="4" w:space="0"/>
                  </w:tcBorders>
                  <w:noWrap/>
                  <w:vAlign w:val="center"/>
                </w:tcPr>
                <w:p w14:paraId="46762A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4536</w:t>
                  </w:r>
                </w:p>
              </w:tc>
              <w:tc>
                <w:tcPr>
                  <w:tcW w:w="401" w:type="pct"/>
                  <w:tcBorders>
                    <w:top w:val="single" w:color="000000" w:sz="4" w:space="0"/>
                    <w:left w:val="single" w:color="000000" w:sz="4" w:space="0"/>
                    <w:bottom w:val="single" w:color="000000" w:sz="4" w:space="0"/>
                    <w:right w:val="single" w:color="000000" w:sz="4" w:space="0"/>
                  </w:tcBorders>
                  <w:noWrap/>
                  <w:vAlign w:val="center"/>
                </w:tcPr>
                <w:p w14:paraId="550F6F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46DC7C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36288</w:t>
                  </w:r>
                </w:p>
              </w:tc>
            </w:tr>
            <w:tr w14:paraId="07EAD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14:paraId="54CD76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注：在</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固化</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通道两端各设置1只集气罩。</w:t>
                  </w:r>
                </w:p>
                <w:p w14:paraId="4E315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000000" w:themeColor="text1"/>
                      <w:sz w:val="21"/>
                      <w:szCs w:val="21"/>
                      <w:highlight w:val="none"/>
                      <w14:textFill>
                        <w14:solidFill>
                          <w14:schemeClr w14:val="tx1"/>
                        </w14:solidFill>
                      </w14:textFill>
                    </w:rPr>
                  </w:pPr>
                  <w:r>
                    <w:rPr>
                      <w:rStyle w:val="159"/>
                      <w:rFonts w:hint="default" w:ascii="Times New Roman" w:hAnsi="Times New Roman" w:cs="Times New Roman"/>
                      <w:color w:val="000000" w:themeColor="text1"/>
                      <w:sz w:val="21"/>
                      <w:szCs w:val="21"/>
                      <w:highlight w:val="none"/>
                      <w14:textFill>
                        <w14:solidFill>
                          <w14:schemeClr w14:val="tx1"/>
                        </w14:solidFill>
                      </w14:textFill>
                    </w:rPr>
                    <w:t>依据《简明通风设计手册》[主编：孙一坚（湖南大学），中国建筑工业出版社出版]，上吸式集气罩的排风量计算公式为：</w:t>
                  </w:r>
                </w:p>
                <w:p w14:paraId="20F1D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630" w:firstLineChars="30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Q=</w:t>
                  </w:r>
                  <w:r>
                    <w:rPr>
                      <w:rFonts w:hint="default" w:ascii="Times New Roman" w:hAnsi="Times New Roman" w:cs="Times New Roman"/>
                      <w:color w:val="000000" w:themeColor="text1"/>
                      <w:sz w:val="21"/>
                      <w:szCs w:val="21"/>
                      <w:highlight w:val="none"/>
                      <w14:textFill>
                        <w14:solidFill>
                          <w14:schemeClr w14:val="tx1"/>
                        </w14:solidFill>
                      </w14:textFill>
                    </w:rPr>
                    <w:t>K×P×H×</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υ</w:t>
                  </w:r>
                  <w:r>
                    <w:rPr>
                      <w:rStyle w:val="49"/>
                      <w:rFonts w:hint="default" w:ascii="Times New Roman" w:hAnsi="Times New Roman" w:eastAsia="宋体" w:cs="Times New Roman"/>
                      <w:i w:val="0"/>
                      <w:iCs w:val="0"/>
                      <w:caps w:val="0"/>
                      <w:color w:val="000000" w:themeColor="text1"/>
                      <w:spacing w:val="0"/>
                      <w:sz w:val="21"/>
                      <w:szCs w:val="21"/>
                      <w:shd w:val="clear" w:color="auto" w:fill="FFFFFF"/>
                      <w:vertAlign w:val="subscript"/>
                      <w14:textFill>
                        <w14:solidFill>
                          <w14:schemeClr w14:val="tx1"/>
                        </w14:solidFill>
                      </w14:textFill>
                    </w:rPr>
                    <w:t>x</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×3600</w:t>
                  </w:r>
                </w:p>
                <w:p w14:paraId="206E8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Style w:val="159"/>
                      <w:rFonts w:hint="default" w:ascii="Times New Roman" w:hAnsi="Times New Roman" w:cs="Times New Roman"/>
                      <w:color w:val="000000" w:themeColor="text1"/>
                      <w:sz w:val="21"/>
                      <w:szCs w:val="21"/>
                      <w:highlight w:val="none"/>
                      <w14:textFill>
                        <w14:solidFill>
                          <w14:schemeClr w14:val="tx1"/>
                        </w14:solidFill>
                      </w14:textFill>
                    </w:rPr>
                  </w:pPr>
                  <w:r>
                    <w:rPr>
                      <w:rStyle w:val="159"/>
                      <w:rFonts w:hint="default" w:ascii="Times New Roman" w:hAnsi="Times New Roman" w:cs="Times New Roman"/>
                      <w:color w:val="000000" w:themeColor="text1"/>
                      <w:sz w:val="21"/>
                      <w:szCs w:val="21"/>
                      <w:highlight w:val="none"/>
                      <w14:textFill>
                        <w14:solidFill>
                          <w14:schemeClr w14:val="tx1"/>
                        </w14:solidFill>
                      </w14:textFill>
                    </w:rPr>
                    <w:t>式中：</w:t>
                  </w:r>
                </w:p>
                <w:p w14:paraId="0B1A5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000000" w:themeColor="text1"/>
                      <w:sz w:val="21"/>
                      <w:szCs w:val="21"/>
                      <w:highlight w:val="none"/>
                      <w14:textFill>
                        <w14:solidFill>
                          <w14:schemeClr w14:val="tx1"/>
                        </w14:solidFill>
                      </w14:textFill>
                    </w:rPr>
                  </w:pPr>
                  <w:r>
                    <w:rPr>
                      <w:rStyle w:val="162"/>
                      <w:rFonts w:hint="default" w:ascii="Times New Roman" w:hAnsi="Times New Roman" w:cs="Times New Roman"/>
                      <w:color w:val="000000" w:themeColor="text1"/>
                      <w:sz w:val="21"/>
                      <w:szCs w:val="21"/>
                      <w:highlight w:val="none"/>
                      <w14:textFill>
                        <w14:solidFill>
                          <w14:schemeClr w14:val="tx1"/>
                        </w14:solidFill>
                      </w14:textFill>
                    </w:rPr>
                    <w:t>Q</w:t>
                  </w:r>
                  <w:r>
                    <w:rPr>
                      <w:rStyle w:val="159"/>
                      <w:rFonts w:hint="default" w:ascii="Times New Roman" w:hAnsi="Times New Roman" w:cs="Times New Roman"/>
                      <w:color w:val="000000" w:themeColor="text1"/>
                      <w:sz w:val="21"/>
                      <w:szCs w:val="21"/>
                      <w:highlight w:val="none"/>
                      <w14:textFill>
                        <w14:solidFill>
                          <w14:schemeClr w14:val="tx1"/>
                        </w14:solidFill>
                      </w14:textFill>
                    </w:rPr>
                    <w:t>：集气罩排风量，</w:t>
                  </w:r>
                  <w:r>
                    <w:rPr>
                      <w:rStyle w:val="162"/>
                      <w:rFonts w:hint="default" w:ascii="Times New Roman" w:hAnsi="Times New Roman" w:cs="Times New Roman"/>
                      <w:color w:val="000000" w:themeColor="text1"/>
                      <w:sz w:val="21"/>
                      <w:szCs w:val="21"/>
                      <w:highlight w:val="none"/>
                      <w14:textFill>
                        <w14:solidFill>
                          <w14:schemeClr w14:val="tx1"/>
                        </w14:solidFill>
                      </w14:textFill>
                    </w:rPr>
                    <w:t>m</w:t>
                  </w:r>
                  <w:r>
                    <w:rPr>
                      <w:rStyle w:val="162"/>
                      <w:rFonts w:hint="default" w:ascii="Times New Roman" w:hAnsi="Times New Roman" w:cs="Times New Roman"/>
                      <w:color w:val="000000" w:themeColor="text1"/>
                      <w:sz w:val="21"/>
                      <w:szCs w:val="21"/>
                      <w:highlight w:val="none"/>
                      <w:vertAlign w:val="superscript"/>
                      <w14:textFill>
                        <w14:solidFill>
                          <w14:schemeClr w14:val="tx1"/>
                        </w14:solidFill>
                      </w14:textFill>
                    </w:rPr>
                    <w:t>3</w:t>
                  </w:r>
                  <w:r>
                    <w:rPr>
                      <w:rStyle w:val="162"/>
                      <w:rFonts w:hint="default" w:ascii="Times New Roman" w:hAnsi="Times New Roman" w:cs="Times New Roman"/>
                      <w:color w:val="000000" w:themeColor="text1"/>
                      <w:sz w:val="21"/>
                      <w:szCs w:val="21"/>
                      <w:highlight w:val="none"/>
                      <w14:textFill>
                        <w14:solidFill>
                          <w14:schemeClr w14:val="tx1"/>
                        </w14:solidFill>
                      </w14:textFill>
                    </w:rPr>
                    <w:t>/h</w:t>
                  </w:r>
                  <w:r>
                    <w:rPr>
                      <w:rStyle w:val="159"/>
                      <w:rFonts w:hint="default" w:ascii="Times New Roman" w:hAnsi="Times New Roman" w:cs="Times New Roman"/>
                      <w:color w:val="000000" w:themeColor="text1"/>
                      <w:sz w:val="21"/>
                      <w:szCs w:val="21"/>
                      <w:highlight w:val="none"/>
                      <w14:textFill>
                        <w14:solidFill>
                          <w14:schemeClr w14:val="tx1"/>
                        </w14:solidFill>
                      </w14:textFill>
                    </w:rPr>
                    <w:t>；</w:t>
                  </w:r>
                </w:p>
                <w:p w14:paraId="65B28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K：考虑沿高度分布不均匀的安全系数，通常取1.4；</w:t>
                  </w:r>
                </w:p>
                <w:p w14:paraId="574981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P：集气罩的周长，m；P=2（a+b），a和b分别为集气罩罩口的长宽尺寸，应确保集气罩罩口的长宽大于废气发生源的长宽，a和b可按照废气发生源长宽的110%～120%进行设计。</w:t>
                  </w:r>
                </w:p>
                <w:p w14:paraId="7BBE3B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H：控制点（废气发生源）至罩口的距离，m；</w:t>
                  </w:r>
                  <w:r>
                    <w:rPr>
                      <w:rFonts w:hint="default" w:ascii="Times New Roman" w:hAnsi="Times New Roman" w:eastAsia="宋体" w:cs="Times New Roman"/>
                      <w:color w:val="000000" w:themeColor="text1"/>
                      <w:sz w:val="21"/>
                      <w:szCs w:val="21"/>
                      <w:highlight w:val="none"/>
                      <w14:textFill>
                        <w14:solidFill>
                          <w14:schemeClr w14:val="tx1"/>
                        </w14:solidFill>
                      </w14:textFill>
                    </w:rPr>
                    <w:t>为确保集气罩对废气有较高的收集效率，H应尽可能小于集气罩长边0.3倍，</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即</w:t>
                  </w:r>
                  <w:r>
                    <w:rPr>
                      <w:rFonts w:hint="default" w:ascii="Times New Roman" w:hAnsi="Times New Roman" w:eastAsia="宋体" w:cs="Times New Roman"/>
                      <w:color w:val="000000" w:themeColor="text1"/>
                      <w:sz w:val="21"/>
                      <w:szCs w:val="21"/>
                      <w:highlight w:val="none"/>
                      <w14:textFill>
                        <w14:solidFill>
                          <w14:schemeClr w14:val="tx1"/>
                        </w14:solidFill>
                      </w14:textFill>
                    </w:rPr>
                    <w:t>H≤0.3a。</w:t>
                  </w:r>
                </w:p>
                <w:p w14:paraId="28E640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000000" w:themeColor="text1"/>
                      <w:sz w:val="21"/>
                      <w:szCs w:val="21"/>
                      <w:highlight w:val="none"/>
                      <w14:textFill>
                        <w14:solidFill>
                          <w14:schemeClr w14:val="tx1"/>
                        </w14:solidFill>
                      </w14:textFill>
                    </w:rPr>
                  </w:pPr>
                  <w:r>
                    <w:rPr>
                      <w:rStyle w:val="162"/>
                      <w:rFonts w:hint="default" w:ascii="Times New Roman" w:hAnsi="Times New Roman" w:cs="Times New Roman"/>
                      <w:color w:val="000000" w:themeColor="text1"/>
                      <w:sz w:val="21"/>
                      <w:szCs w:val="21"/>
                      <w:highlight w:val="none"/>
                      <w14:textFill>
                        <w14:solidFill>
                          <w14:schemeClr w14:val="tx1"/>
                        </w14:solidFill>
                      </w14:textFill>
                    </w:rPr>
                    <w:t>V</w:t>
                  </w:r>
                  <w:r>
                    <w:rPr>
                      <w:rStyle w:val="162"/>
                      <w:rFonts w:hint="default" w:ascii="Times New Roman" w:hAnsi="Times New Roman" w:cs="Times New Roman"/>
                      <w:color w:val="000000" w:themeColor="text1"/>
                      <w:sz w:val="21"/>
                      <w:szCs w:val="21"/>
                      <w:highlight w:val="none"/>
                      <w:vertAlign w:val="subscript"/>
                      <w14:textFill>
                        <w14:solidFill>
                          <w14:schemeClr w14:val="tx1"/>
                        </w14:solidFill>
                      </w14:textFill>
                    </w:rPr>
                    <w:t>x</w:t>
                  </w:r>
                  <w:r>
                    <w:rPr>
                      <w:rStyle w:val="159"/>
                      <w:rFonts w:hint="default" w:ascii="Times New Roman" w:hAnsi="Times New Roman" w:cs="Times New Roman"/>
                      <w:color w:val="000000" w:themeColor="text1"/>
                      <w:sz w:val="21"/>
                      <w:szCs w:val="21"/>
                      <w:highlight w:val="none"/>
                      <w14:textFill>
                        <w14:solidFill>
                          <w14:schemeClr w14:val="tx1"/>
                        </w14:solidFill>
                      </w14:textFill>
                    </w:rPr>
                    <w:t>：控制风速，m/s；本项目取0.</w:t>
                  </w:r>
                  <w:r>
                    <w:rPr>
                      <w:rStyle w:val="159"/>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r>
                    <w:rPr>
                      <w:rStyle w:val="159"/>
                      <w:rFonts w:hint="default" w:ascii="Times New Roman" w:hAnsi="Times New Roman" w:cs="Times New Roman"/>
                      <w:color w:val="000000" w:themeColor="text1"/>
                      <w:sz w:val="21"/>
                      <w:szCs w:val="21"/>
                      <w:highlight w:val="none"/>
                      <w14:textFill>
                        <w14:solidFill>
                          <w14:schemeClr w14:val="tx1"/>
                        </w14:solidFill>
                      </w14:textFill>
                    </w:rPr>
                    <w:t>m/s</w:t>
                  </w:r>
                </w:p>
                <w:p w14:paraId="27606B32">
                  <w:pPr>
                    <w:pStyle w:val="2"/>
                    <w:ind w:firstLine="420" w:firstLineChars="200"/>
                    <w:rPr>
                      <w:rFonts w:hint="default" w:eastAsia="宋体....."/>
                      <w:color w:val="000000" w:themeColor="text1"/>
                      <w:lang w:val="en-US" w:eastAsia="zh-CN"/>
                      <w14:textFill>
                        <w14:solidFill>
                          <w14:schemeClr w14:val="tx1"/>
                        </w14:solidFill>
                      </w14:textFill>
                    </w:rPr>
                  </w:pPr>
                  <w:r>
                    <w:rPr>
                      <w:rStyle w:val="159"/>
                      <w:rFonts w:hint="eastAsia" w:ascii="Times New Roman" w:cs="Times New Roman"/>
                      <w:color w:val="000000" w:themeColor="text1"/>
                      <w:sz w:val="21"/>
                      <w:szCs w:val="21"/>
                      <w:highlight w:val="none"/>
                      <w:lang w:val="en-US" w:eastAsia="zh-CN"/>
                      <w14:textFill>
                        <w14:solidFill>
                          <w14:schemeClr w14:val="tx1"/>
                        </w14:solidFill>
                      </w14:textFill>
                    </w:rPr>
                    <w:t>每个固化通道设置固化炉2个。</w:t>
                  </w:r>
                </w:p>
              </w:tc>
            </w:tr>
          </w:tbl>
          <w:p w14:paraId="4AFCE5A3">
            <w:pPr>
              <w:keepNext w:val="0"/>
              <w:keepLines w:val="0"/>
              <w:widowControl/>
              <w:numPr>
                <w:ilvl w:val="0"/>
                <w:numId w:val="0"/>
              </w:numPr>
              <w:suppressLineNumbers w:val="0"/>
              <w:tabs>
                <w:tab w:val="left" w:pos="0"/>
              </w:tabs>
              <w:spacing w:before="0" w:beforeAutospacing="0" w:after="0" w:afterAutospacing="0" w:line="240" w:lineRule="auto"/>
              <w:ind w:left="40" w:leftChars="0" w:right="0" w:rightChars="0"/>
              <w:jc w:val="both"/>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pPr>
          </w:p>
          <w:p w14:paraId="3487BF42">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72BD0D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固化</w:t>
            </w:r>
            <w:r>
              <w:rPr>
                <w:rFonts w:hint="default" w:ascii="Times New Roman" w:hAnsi="Times New Roman" w:cs="Times New Roman"/>
                <w:color w:val="000000" w:themeColor="text1"/>
                <w:sz w:val="24"/>
                <w:szCs w:val="24"/>
                <w:highlight w:val="none"/>
                <w14:textFill>
                  <w14:solidFill>
                    <w14:schemeClr w14:val="tx1"/>
                  </w14:solidFill>
                </w14:textFill>
              </w:rPr>
              <w:t>通道设置的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1条</w:t>
            </w:r>
            <w:r>
              <w:rPr>
                <w:rFonts w:hint="default" w:ascii="Times New Roman" w:hAnsi="Times New Roman" w:cs="Times New Roman"/>
                <w:color w:val="000000" w:themeColor="text1"/>
                <w:sz w:val="24"/>
                <w:szCs w:val="24"/>
                <w:highlight w:val="none"/>
                <w14:textFill>
                  <w14:solidFill>
                    <w14:schemeClr w14:val="tx1"/>
                  </w14:solidFill>
                </w14:textFill>
              </w:rPr>
              <w:t>直连排风管</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参考《环境工程设计手册》中圆形分管的风量计算公式：</w:t>
            </w:r>
          </w:p>
          <w:p w14:paraId="36D28089">
            <w:pPr>
              <w:keepNext w:val="0"/>
              <w:keepLines w:val="0"/>
              <w:suppressLineNumbers w:val="0"/>
              <w:spacing w:before="0" w:beforeAutospacing="0" w:after="0" w:afterAutospacing="0" w:line="240" w:lineRule="auto"/>
              <w:ind w:left="420" w:leftChars="200" w:right="0"/>
              <w:jc w:val="center"/>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position w:val="-24"/>
                <w:sz w:val="24"/>
                <w:szCs w:val="24"/>
                <w:highlight w:val="none"/>
                <w14:textFill>
                  <w14:solidFill>
                    <w14:schemeClr w14:val="tx1"/>
                  </w14:solidFill>
                </w14:textFill>
              </w:rPr>
              <w:object>
                <v:shape id="_x0000_i1027" o:spt="75" type="#_x0000_t75" style="height:31pt;width:80pt;" o:ole="t" filled="f" o:preferrelative="t" stroked="f" coordsize="21600,21600">
                  <v:path/>
                  <v:fill on="f" focussize="0,0"/>
                  <v:stroke on="f"/>
                  <v:imagedata r:id="rId26" o:title=""/>
                  <o:lock v:ext="edit" aspectratio="t"/>
                  <w10:wrap type="none"/>
                  <w10:anchorlock/>
                </v:shape>
                <o:OLEObject Type="Embed" ProgID="Equation.KSEE3" ShapeID="_x0000_i1027" DrawAspect="Content" ObjectID="_1468075727" r:id="rId25">
                  <o:LockedField>false</o:LockedField>
                </o:OLEObject>
              </w:object>
            </w:r>
          </w:p>
          <w:p w14:paraId="7A140F50">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式中：</w:t>
            </w:r>
          </w:p>
          <w:p w14:paraId="784D1183">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L---集气罩排风量，m</w:t>
            </w:r>
            <w:r>
              <w:rPr>
                <w:rFonts w:hint="default" w:ascii="Times New Roman" w:hAnsi="Times New Roman"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eastAsia="zh-CN"/>
                <w14:textFill>
                  <w14:solidFill>
                    <w14:schemeClr w14:val="tx1"/>
                  </w14:solidFill>
                </w14:textFill>
              </w:rPr>
              <w:t>/h；</w:t>
            </w:r>
          </w:p>
          <w:p w14:paraId="075257A2">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D---分管直径，m，</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本项目分管直径取0.15m</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62A7F1A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V---断面平均风速，m/s，根据《简明通风设计手册》中表6-10一般通风系统风管内的风速，项目采用钢板及塑料风管，项目干管采用风速为14m/s，本项目断面平均风速取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14</w:t>
            </w:r>
            <w:r>
              <w:rPr>
                <w:rFonts w:hint="default" w:ascii="Times New Roman" w:hAnsi="Times New Roman" w:cs="Times New Roman"/>
                <w:color w:val="000000" w:themeColor="text1"/>
                <w:sz w:val="24"/>
                <w:szCs w:val="24"/>
                <w:highlight w:val="none"/>
                <w:lang w:eastAsia="zh-CN"/>
                <w14:textFill>
                  <w14:solidFill>
                    <w14:schemeClr w14:val="tx1"/>
                  </w14:solidFill>
                </w14:textFill>
              </w:rPr>
              <w:t>m/s。</w:t>
            </w:r>
          </w:p>
          <w:p w14:paraId="116972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单条直连排风管风量=3600s×3.14÷4×0.15</w:t>
            </w:r>
            <w:r>
              <w:rPr>
                <w:rFonts w:hint="default"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m</w:t>
            </w:r>
            <w:r>
              <w:rPr>
                <w:rFonts w:hint="default"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×14m/s=890.2m</w:t>
            </w:r>
            <w:r>
              <w:rPr>
                <w:rFonts w:hint="default"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/h</w:t>
            </w:r>
          </w:p>
          <w:p w14:paraId="0E1F0376">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本项目天然气燃烧废气收集风量统计如下表所示。</w:t>
            </w:r>
          </w:p>
          <w:p w14:paraId="32DFC56B">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表4-1</w:t>
            </w:r>
            <w:r>
              <w:rPr>
                <w:rFonts w:hint="eastAsia" w:cs="Times New Roman"/>
                <w:b/>
                <w:bCs/>
                <w:color w:val="000000" w:themeColor="text1"/>
                <w:kern w:val="2"/>
                <w:sz w:val="21"/>
                <w:szCs w:val="21"/>
                <w:lang w:val="en-US" w:eastAsia="zh-CN" w:bidi="ar"/>
                <w14:textFill>
                  <w14:solidFill>
                    <w14:schemeClr w14:val="tx1"/>
                  </w14:solidFill>
                </w14:textFill>
              </w:rPr>
              <w:t>2</w:t>
            </w:r>
            <w:r>
              <w:rPr>
                <w:rFonts w:hint="eastAsia" w:cs="Times New Roman"/>
                <w:b/>
                <w:bCs/>
                <w:color w:val="000000" w:themeColor="text1"/>
                <w:sz w:val="21"/>
                <w:szCs w:val="21"/>
                <w:highlight w:val="none"/>
                <w:lang w:val="en-US" w:eastAsia="zh-CN" w:bidi="ar"/>
                <w14:textFill>
                  <w14:solidFill>
                    <w14:schemeClr w14:val="tx1"/>
                  </w14:solidFill>
                </w14:textFill>
              </w:rPr>
              <w:t>固化</w:t>
            </w:r>
            <w:r>
              <w:rPr>
                <w:rFonts w:hint="default" w:ascii="Times New Roman" w:hAnsi="Times New Roman" w:eastAsia="宋体" w:cs="Times New Roman"/>
                <w:b/>
                <w:bCs/>
                <w:color w:val="000000" w:themeColor="text1"/>
                <w:sz w:val="21"/>
                <w:szCs w:val="21"/>
                <w:highlight w:val="none"/>
                <w:lang w:val="en-US" w:eastAsia="zh-CN" w:bidi="ar"/>
                <w14:textFill>
                  <w14:solidFill>
                    <w14:schemeClr w14:val="tx1"/>
                  </w14:solidFill>
                </w14:textFill>
              </w:rPr>
              <w:t>通道天然气燃烧废气合计收集风量一览表</w:t>
            </w:r>
          </w:p>
          <w:tbl>
            <w:tblPr>
              <w:tblStyle w:val="44"/>
              <w:tblW w:w="84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82"/>
              <w:gridCol w:w="2407"/>
              <w:gridCol w:w="1796"/>
              <w:gridCol w:w="2116"/>
            </w:tblGrid>
            <w:tr w14:paraId="7814D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55367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产污类别</w:t>
                  </w: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71CCD6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产污设备</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76B423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集气方式</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2C9E9D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计算风量（m</w:t>
                  </w:r>
                  <w:r>
                    <w:rPr>
                      <w:rFonts w:hint="default" w:ascii="Times New Roman" w:hAnsi="Times New Roman" w:eastAsia="宋体" w:cs="Times New Roman"/>
                      <w:b/>
                      <w:bCs/>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/h）</w:t>
                  </w:r>
                </w:p>
              </w:tc>
            </w:tr>
            <w:tr w14:paraId="2A7AC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0A8681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天然气燃烧废气</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DA002</w:t>
                  </w: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7A75EE85">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固化炉</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首尾两端</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2467C7A1">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集气罩</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44EF31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36288</w:t>
                  </w:r>
                </w:p>
              </w:tc>
            </w:tr>
            <w:tr w14:paraId="3F61E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continue"/>
                  <w:tcBorders>
                    <w:top w:val="single" w:color="000000" w:sz="4" w:space="0"/>
                    <w:left w:val="single" w:color="000000" w:sz="4" w:space="0"/>
                    <w:bottom w:val="single" w:color="000000" w:sz="4" w:space="0"/>
                    <w:right w:val="single" w:color="000000" w:sz="4" w:space="0"/>
                  </w:tcBorders>
                  <w:noWrap/>
                  <w:vAlign w:val="center"/>
                </w:tcPr>
                <w:p w14:paraId="52B1763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c>
                <w:tcPr>
                  <w:tcW w:w="2407" w:type="dxa"/>
                  <w:tcBorders>
                    <w:top w:val="single" w:color="000000" w:sz="4" w:space="0"/>
                    <w:left w:val="single" w:color="000000" w:sz="4" w:space="0"/>
                    <w:bottom w:val="single" w:color="000000" w:sz="4" w:space="0"/>
                    <w:right w:val="single" w:color="000000" w:sz="4" w:space="0"/>
                  </w:tcBorders>
                  <w:noWrap/>
                  <w:vAlign w:val="center"/>
                </w:tcPr>
                <w:p w14:paraId="24B0E2BD">
                  <w:pPr>
                    <w:keepNext w:val="0"/>
                    <w:keepLines w:val="0"/>
                    <w:widowControl/>
                    <w:suppressLineNumbers w:val="0"/>
                    <w:spacing w:before="0" w:beforeAutospacing="0" w:after="0" w:afterAutospacing="0" w:line="240" w:lineRule="auto"/>
                    <w:ind w:left="0" w:leftChars="0" w:right="0" w:rightChars="0"/>
                    <w:jc w:val="center"/>
                    <w:textAlignment w:val="center"/>
                    <w:rPr>
                      <w:color w:val="000000" w:themeColor="text1"/>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固化</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通道</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5252FF51">
                  <w:pPr>
                    <w:keepNext w:val="0"/>
                    <w:keepLines w:val="0"/>
                    <w:widowControl/>
                    <w:suppressLineNumbers w:val="0"/>
                    <w:spacing w:before="0" w:beforeAutospacing="0" w:after="0" w:afterAutospacing="0" w:line="240" w:lineRule="auto"/>
                    <w:ind w:left="0" w:leftChars="0" w:right="0" w:rightChars="0"/>
                    <w:jc w:val="center"/>
                    <w:textAlignment w:val="center"/>
                    <w:rPr>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直连管道</w:t>
                  </w:r>
                </w:p>
              </w:tc>
              <w:tc>
                <w:tcPr>
                  <w:tcW w:w="2116" w:type="dxa"/>
                  <w:tcBorders>
                    <w:top w:val="single" w:color="000000" w:sz="4" w:space="0"/>
                    <w:left w:val="single" w:color="000000" w:sz="4" w:space="0"/>
                    <w:bottom w:val="single" w:color="000000" w:sz="4" w:space="0"/>
                    <w:right w:val="single" w:color="000000" w:sz="4" w:space="0"/>
                  </w:tcBorders>
                  <w:noWrap/>
                  <w:vAlign w:val="center"/>
                </w:tcPr>
                <w:p w14:paraId="670608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1780.4</w:t>
                  </w:r>
                </w:p>
              </w:tc>
            </w:tr>
            <w:tr w14:paraId="4B643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401" w:type="dxa"/>
                  <w:gridSpan w:val="4"/>
                  <w:tcBorders>
                    <w:top w:val="single" w:color="000000" w:sz="4" w:space="0"/>
                    <w:left w:val="single" w:color="000000" w:sz="4" w:space="0"/>
                    <w:bottom w:val="single" w:color="000000" w:sz="4" w:space="0"/>
                    <w:right w:val="single" w:color="000000" w:sz="4" w:space="0"/>
                  </w:tcBorders>
                  <w:noWrap/>
                  <w:vAlign w:val="center"/>
                </w:tcPr>
                <w:p w14:paraId="6A756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备注：本环评考虑到风阻损失等，</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DA002</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保守设计风量取</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400</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00m</w:t>
                  </w:r>
                  <w:r>
                    <w:rPr>
                      <w:rFonts w:hint="default" w:ascii="Times New Roman" w:hAnsi="Times New Roman" w:eastAsia="宋体" w:cs="Times New Roman"/>
                      <w:b w:val="0"/>
                      <w:bCs w:val="0"/>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/h</w:t>
                  </w: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，且已包含天然气自身产生的工业废气量</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r>
          </w:tbl>
          <w:p w14:paraId="307D38EE">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2A0725B5">
            <w:pPr>
              <w:pStyle w:val="158"/>
              <w:keepNext w:val="0"/>
              <w:keepLines w:val="0"/>
              <w:suppressLineNumbers w:val="0"/>
              <w:snapToGrid/>
              <w:spacing w:before="0" w:beforeAutospacing="0" w:after="0" w:afterAutospacing="0"/>
              <w:ind w:left="0" w:right="0" w:firstLine="480"/>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根据前文废气产生量和风量计算，本项目燃烧废气产排情况如下表所示。</w:t>
            </w:r>
          </w:p>
          <w:p w14:paraId="4FEBE8F6">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2"/>
                <w:sz w:val="21"/>
                <w:szCs w:val="21"/>
                <w:lang w:val="en-US" w:eastAsia="zh-CN" w:bidi="ar-SA"/>
                <w14:textFill>
                  <w14:solidFill>
                    <w14:schemeClr w14:val="tx1"/>
                  </w14:solidFill>
                </w14:textFill>
              </w:rPr>
              <w:t>表4-1</w:t>
            </w:r>
            <w:r>
              <w:rPr>
                <w:rFonts w:hint="eastAsia" w:cs="Times New Roman"/>
                <w:b/>
                <w:bCs/>
                <w:color w:val="000000" w:themeColor="text1"/>
                <w:spacing w:val="0"/>
                <w:kern w:val="2"/>
                <w:sz w:val="21"/>
                <w:szCs w:val="21"/>
                <w:lang w:val="en-US" w:eastAsia="zh-CN" w:bidi="ar-SA"/>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本项目燃烧废气产排情况一览表</w:t>
            </w:r>
          </w:p>
          <w:tbl>
            <w:tblPr>
              <w:tblStyle w:val="44"/>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05"/>
              <w:gridCol w:w="1508"/>
              <w:gridCol w:w="1575"/>
              <w:gridCol w:w="1514"/>
            </w:tblGrid>
            <w:tr w14:paraId="210D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23D8B6B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污染物</w:t>
                  </w:r>
                </w:p>
              </w:tc>
              <w:tc>
                <w:tcPr>
                  <w:tcW w:w="897" w:type="pct"/>
                  <w:tcBorders>
                    <w:top w:val="single" w:color="000000" w:sz="4" w:space="0"/>
                    <w:left w:val="single" w:color="000000" w:sz="4" w:space="0"/>
                    <w:bottom w:val="single" w:color="000000" w:sz="4" w:space="0"/>
                    <w:right w:val="single" w:color="000000" w:sz="4" w:space="0"/>
                  </w:tcBorders>
                  <w:noWrap w:val="0"/>
                  <w:vAlign w:val="center"/>
                </w:tcPr>
                <w:p w14:paraId="7584F85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颗粒物</w:t>
                  </w:r>
                </w:p>
              </w:tc>
              <w:tc>
                <w:tcPr>
                  <w:tcW w:w="937" w:type="pct"/>
                  <w:tcBorders>
                    <w:top w:val="single" w:color="000000" w:sz="4" w:space="0"/>
                    <w:left w:val="single" w:color="000000" w:sz="4" w:space="0"/>
                    <w:bottom w:val="single" w:color="000000" w:sz="4" w:space="0"/>
                    <w:right w:val="single" w:color="000000" w:sz="4" w:space="0"/>
                  </w:tcBorders>
                  <w:noWrap w:val="0"/>
                  <w:vAlign w:val="center"/>
                </w:tcPr>
                <w:p w14:paraId="6D18B9F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b/>
                      <w:bCs/>
                      <w:i w:val="0"/>
                      <w:iCs w:val="0"/>
                      <w:color w:val="000000" w:themeColor="text1"/>
                      <w:kern w:val="0"/>
                      <w:sz w:val="21"/>
                      <w:szCs w:val="21"/>
                      <w:u w:val="none"/>
                      <w:vertAlign w:val="subscript"/>
                      <w:lang w:val="en-US" w:eastAsia="zh-CN" w:bidi="ar"/>
                      <w14:textFill>
                        <w14:solidFill>
                          <w14:schemeClr w14:val="tx1"/>
                        </w14:solidFill>
                      </w14:textFill>
                    </w:rPr>
                    <w:t>2</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2D4141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NO</w:t>
                  </w:r>
                  <w:r>
                    <w:rPr>
                      <w:rFonts w:hint="default" w:ascii="Times New Roman" w:hAnsi="Times New Roman" w:eastAsia="宋体" w:cs="Times New Roman"/>
                      <w:b/>
                      <w:bCs/>
                      <w:i w:val="0"/>
                      <w:iCs w:val="0"/>
                      <w:color w:val="000000" w:themeColor="text1"/>
                      <w:kern w:val="0"/>
                      <w:sz w:val="21"/>
                      <w:szCs w:val="21"/>
                      <w:u w:val="none"/>
                      <w:vertAlign w:val="subscript"/>
                      <w:lang w:val="en-US" w:eastAsia="zh-CN" w:bidi="ar"/>
                      <w14:textFill>
                        <w14:solidFill>
                          <w14:schemeClr w14:val="tx1"/>
                        </w14:solidFill>
                      </w14:textFill>
                    </w:rPr>
                    <w:t>X</w:t>
                  </w:r>
                </w:p>
              </w:tc>
            </w:tr>
            <w:tr w14:paraId="435A9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4E9948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产生总量（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97" w:type="pct"/>
                  <w:tcBorders>
                    <w:top w:val="single" w:color="000000" w:sz="4" w:space="0"/>
                    <w:left w:val="single" w:color="000000" w:sz="4" w:space="0"/>
                    <w:bottom w:val="single" w:color="000000" w:sz="4" w:space="0"/>
                    <w:right w:val="single" w:color="000000" w:sz="4" w:space="0"/>
                  </w:tcBorders>
                  <w:noWrap w:val="0"/>
                  <w:vAlign w:val="center"/>
                </w:tcPr>
                <w:p w14:paraId="679283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0.052 </w:t>
                  </w:r>
                </w:p>
              </w:tc>
              <w:tc>
                <w:tcPr>
                  <w:tcW w:w="937" w:type="pct"/>
                  <w:tcBorders>
                    <w:top w:val="single" w:color="000000" w:sz="4" w:space="0"/>
                    <w:left w:val="single" w:color="000000" w:sz="4" w:space="0"/>
                    <w:bottom w:val="single" w:color="000000" w:sz="4" w:space="0"/>
                    <w:right w:val="single" w:color="000000" w:sz="4" w:space="0"/>
                  </w:tcBorders>
                  <w:noWrap w:val="0"/>
                  <w:vAlign w:val="center"/>
                </w:tcPr>
                <w:p w14:paraId="42BB79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0.036 </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FCC70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0.341 </w:t>
                  </w:r>
                </w:p>
              </w:tc>
            </w:tr>
            <w:tr w14:paraId="440C6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30795F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产生速率（</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kg/h</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97" w:type="pct"/>
                  <w:tcBorders>
                    <w:top w:val="single" w:color="000000" w:sz="4" w:space="0"/>
                    <w:left w:val="single" w:color="000000" w:sz="4" w:space="0"/>
                    <w:bottom w:val="single" w:color="000000" w:sz="4" w:space="0"/>
                    <w:right w:val="single" w:color="000000" w:sz="4" w:space="0"/>
                  </w:tcBorders>
                  <w:noWrap w:val="0"/>
                  <w:vAlign w:val="center"/>
                </w:tcPr>
                <w:p w14:paraId="10D548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0.027 </w:t>
                  </w:r>
                </w:p>
              </w:tc>
              <w:tc>
                <w:tcPr>
                  <w:tcW w:w="937" w:type="pct"/>
                  <w:tcBorders>
                    <w:top w:val="single" w:color="000000" w:sz="4" w:space="0"/>
                    <w:left w:val="single" w:color="000000" w:sz="4" w:space="0"/>
                    <w:bottom w:val="single" w:color="000000" w:sz="4" w:space="0"/>
                    <w:right w:val="single" w:color="000000" w:sz="4" w:space="0"/>
                  </w:tcBorders>
                  <w:noWrap w:val="0"/>
                  <w:vAlign w:val="center"/>
                </w:tcPr>
                <w:p w14:paraId="16A6DF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 </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6B8C9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0.177 </w:t>
                  </w:r>
                </w:p>
              </w:tc>
            </w:tr>
            <w:tr w14:paraId="40372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29CEDD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废气量</w:t>
                  </w:r>
                </w:p>
              </w:tc>
              <w:tc>
                <w:tcPr>
                  <w:tcW w:w="2735" w:type="pct"/>
                  <w:gridSpan w:val="3"/>
                  <w:tcBorders>
                    <w:top w:val="single" w:color="000000" w:sz="4" w:space="0"/>
                    <w:left w:val="single" w:color="000000" w:sz="4" w:space="0"/>
                    <w:bottom w:val="single" w:color="000000" w:sz="4" w:space="0"/>
                    <w:right w:val="single" w:color="000000" w:sz="4" w:space="0"/>
                  </w:tcBorders>
                  <w:noWrap w:val="0"/>
                  <w:vAlign w:val="center"/>
                </w:tcPr>
                <w:p w14:paraId="4E9961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40000m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w:t>
                  </w:r>
                </w:p>
              </w:tc>
            </w:tr>
            <w:tr w14:paraId="6C66C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618B849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排气筒编号：</w:t>
                  </w:r>
                </w:p>
              </w:tc>
              <w:tc>
                <w:tcPr>
                  <w:tcW w:w="2735" w:type="pct"/>
                  <w:gridSpan w:val="3"/>
                  <w:tcBorders>
                    <w:top w:val="single" w:color="000000" w:sz="4" w:space="0"/>
                    <w:left w:val="single" w:color="000000" w:sz="4" w:space="0"/>
                    <w:bottom w:val="single" w:color="000000" w:sz="4" w:space="0"/>
                    <w:right w:val="single" w:color="000000" w:sz="4" w:space="0"/>
                  </w:tcBorders>
                  <w:noWrap w:val="0"/>
                  <w:vAlign w:val="center"/>
                </w:tcPr>
                <w:p w14:paraId="617C4B1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DA002</w:t>
                  </w:r>
                </w:p>
              </w:tc>
            </w:tr>
            <w:tr w14:paraId="5F1B6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18E700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污染物</w:t>
                  </w:r>
                </w:p>
              </w:tc>
              <w:tc>
                <w:tcPr>
                  <w:tcW w:w="897" w:type="pct"/>
                  <w:tcBorders>
                    <w:top w:val="single" w:color="000000" w:sz="4" w:space="0"/>
                    <w:left w:val="single" w:color="000000" w:sz="4" w:space="0"/>
                    <w:bottom w:val="single" w:color="000000" w:sz="4" w:space="0"/>
                    <w:right w:val="single" w:color="000000" w:sz="4" w:space="0"/>
                  </w:tcBorders>
                  <w:noWrap w:val="0"/>
                  <w:vAlign w:val="center"/>
                </w:tcPr>
                <w:p w14:paraId="6A3E24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颗粒物</w:t>
                  </w:r>
                </w:p>
              </w:tc>
              <w:tc>
                <w:tcPr>
                  <w:tcW w:w="937" w:type="pct"/>
                  <w:tcBorders>
                    <w:top w:val="single" w:color="000000" w:sz="4" w:space="0"/>
                    <w:left w:val="single" w:color="000000" w:sz="4" w:space="0"/>
                    <w:bottom w:val="single" w:color="000000" w:sz="4" w:space="0"/>
                    <w:right w:val="single" w:color="000000" w:sz="4" w:space="0"/>
                  </w:tcBorders>
                  <w:noWrap w:val="0"/>
                  <w:vAlign w:val="center"/>
                </w:tcPr>
                <w:p w14:paraId="3FC73A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b/>
                      <w:bCs/>
                      <w:i w:val="0"/>
                      <w:iCs w:val="0"/>
                      <w:color w:val="000000" w:themeColor="text1"/>
                      <w:kern w:val="0"/>
                      <w:sz w:val="21"/>
                      <w:szCs w:val="21"/>
                      <w:u w:val="none"/>
                      <w:vertAlign w:val="subscript"/>
                      <w:lang w:val="en-US" w:eastAsia="zh-CN" w:bidi="ar"/>
                      <w14:textFill>
                        <w14:solidFill>
                          <w14:schemeClr w14:val="tx1"/>
                        </w14:solidFill>
                      </w14:textFill>
                    </w:rPr>
                    <w:t>2</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C9409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NO</w:t>
                  </w:r>
                  <w:r>
                    <w:rPr>
                      <w:rFonts w:hint="default" w:ascii="Times New Roman" w:hAnsi="Times New Roman" w:eastAsia="宋体" w:cs="Times New Roman"/>
                      <w:b/>
                      <w:bCs/>
                      <w:i w:val="0"/>
                      <w:iCs w:val="0"/>
                      <w:color w:val="000000" w:themeColor="text1"/>
                      <w:kern w:val="0"/>
                      <w:sz w:val="21"/>
                      <w:szCs w:val="21"/>
                      <w:u w:val="none"/>
                      <w:vertAlign w:val="subscript"/>
                      <w:lang w:val="en-US" w:eastAsia="zh-CN" w:bidi="ar"/>
                      <w14:textFill>
                        <w14:solidFill>
                          <w14:schemeClr w14:val="tx1"/>
                        </w14:solidFill>
                      </w14:textFill>
                    </w:rPr>
                    <w:t>X</w:t>
                  </w:r>
                </w:p>
              </w:tc>
            </w:tr>
            <w:tr w14:paraId="039DF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53CE44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排放量（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97" w:type="pct"/>
                  <w:tcBorders>
                    <w:top w:val="single" w:color="000000" w:sz="4" w:space="0"/>
                    <w:left w:val="single" w:color="000000" w:sz="4" w:space="0"/>
                    <w:bottom w:val="single" w:color="000000" w:sz="4" w:space="0"/>
                    <w:right w:val="single" w:color="000000" w:sz="4" w:space="0"/>
                  </w:tcBorders>
                  <w:noWrap w:val="0"/>
                  <w:vAlign w:val="center"/>
                </w:tcPr>
                <w:p w14:paraId="41E00C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0.052 </w:t>
                  </w:r>
                </w:p>
              </w:tc>
              <w:tc>
                <w:tcPr>
                  <w:tcW w:w="937" w:type="pct"/>
                  <w:tcBorders>
                    <w:top w:val="single" w:color="000000" w:sz="4" w:space="0"/>
                    <w:left w:val="single" w:color="000000" w:sz="4" w:space="0"/>
                    <w:bottom w:val="single" w:color="000000" w:sz="4" w:space="0"/>
                    <w:right w:val="single" w:color="000000" w:sz="4" w:space="0"/>
                  </w:tcBorders>
                  <w:noWrap w:val="0"/>
                  <w:vAlign w:val="center"/>
                </w:tcPr>
                <w:p w14:paraId="773961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0.036 </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E1CF4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0.341 </w:t>
                  </w:r>
                </w:p>
              </w:tc>
            </w:tr>
            <w:tr w14:paraId="2B9BC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64B75B1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排放速率（</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kg/h</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97" w:type="pct"/>
                  <w:tcBorders>
                    <w:top w:val="single" w:color="000000" w:sz="4" w:space="0"/>
                    <w:left w:val="single" w:color="000000" w:sz="4" w:space="0"/>
                    <w:bottom w:val="single" w:color="000000" w:sz="4" w:space="0"/>
                    <w:right w:val="single" w:color="000000" w:sz="4" w:space="0"/>
                  </w:tcBorders>
                  <w:noWrap w:val="0"/>
                  <w:vAlign w:val="center"/>
                </w:tcPr>
                <w:p w14:paraId="2D2CBD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0.027 </w:t>
                  </w:r>
                </w:p>
              </w:tc>
              <w:tc>
                <w:tcPr>
                  <w:tcW w:w="937" w:type="pct"/>
                  <w:tcBorders>
                    <w:top w:val="single" w:color="000000" w:sz="4" w:space="0"/>
                    <w:left w:val="single" w:color="000000" w:sz="4" w:space="0"/>
                    <w:bottom w:val="single" w:color="000000" w:sz="4" w:space="0"/>
                    <w:right w:val="single" w:color="000000" w:sz="4" w:space="0"/>
                  </w:tcBorders>
                  <w:noWrap w:val="0"/>
                  <w:vAlign w:val="center"/>
                </w:tcPr>
                <w:p w14:paraId="1EEFF9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0.019 </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6159B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0.177 </w:t>
                  </w:r>
                </w:p>
              </w:tc>
            </w:tr>
            <w:tr w14:paraId="3856B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2264" w:type="pct"/>
                  <w:tcBorders>
                    <w:top w:val="single" w:color="000000" w:sz="4" w:space="0"/>
                    <w:left w:val="single" w:color="000000" w:sz="4" w:space="0"/>
                    <w:bottom w:val="single" w:color="000000" w:sz="4" w:space="0"/>
                    <w:right w:val="single" w:color="000000" w:sz="4" w:space="0"/>
                  </w:tcBorders>
                  <w:noWrap w:val="0"/>
                  <w:vAlign w:val="center"/>
                </w:tcPr>
                <w:p w14:paraId="0CE1261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排放浓度（</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97" w:type="pct"/>
                  <w:tcBorders>
                    <w:top w:val="single" w:color="000000" w:sz="4" w:space="0"/>
                    <w:left w:val="single" w:color="000000" w:sz="4" w:space="0"/>
                    <w:bottom w:val="single" w:color="000000" w:sz="4" w:space="0"/>
                    <w:right w:val="single" w:color="000000" w:sz="4" w:space="0"/>
                  </w:tcBorders>
                  <w:noWrap w:val="0"/>
                  <w:vAlign w:val="center"/>
                </w:tcPr>
                <w:p w14:paraId="059BD3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 </w:t>
                  </w:r>
                </w:p>
              </w:tc>
              <w:tc>
                <w:tcPr>
                  <w:tcW w:w="937" w:type="pct"/>
                  <w:tcBorders>
                    <w:top w:val="single" w:color="000000" w:sz="4" w:space="0"/>
                    <w:left w:val="single" w:color="000000" w:sz="4" w:space="0"/>
                    <w:bottom w:val="single" w:color="000000" w:sz="4" w:space="0"/>
                    <w:right w:val="single" w:color="000000" w:sz="4" w:space="0"/>
                  </w:tcBorders>
                  <w:noWrap w:val="0"/>
                  <w:vAlign w:val="center"/>
                </w:tcPr>
                <w:p w14:paraId="1BC155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 </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68CC0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4.4 </w:t>
                  </w:r>
                </w:p>
              </w:tc>
            </w:tr>
          </w:tbl>
          <w:p w14:paraId="4041A44C">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6A1DBAB3">
            <w:pPr>
              <w:keepNext w:val="0"/>
              <w:keepLines w:val="0"/>
              <w:suppressLineNumbers w:val="0"/>
              <w:spacing w:before="0" w:beforeAutospacing="0" w:after="0" w:afterAutospacing="0" w:line="360" w:lineRule="auto"/>
              <w:ind w:left="0" w:right="0" w:firstLine="470" w:firstLineChars="200"/>
              <w:rPr>
                <w:b/>
                <w:bCs/>
                <w:color w:val="000000" w:themeColor="text1"/>
                <w:sz w:val="24"/>
                <w:szCs w:val="24"/>
                <w:highlight w:val="none"/>
                <w14:textFill>
                  <w14:solidFill>
                    <w14:schemeClr w14:val="tx1"/>
                  </w14:solidFill>
                </w14:textFill>
              </w:rPr>
            </w:pPr>
            <w:r>
              <w:rPr>
                <w:rFonts w:hint="eastAsia" w:cs="Times New Roman"/>
                <w:b/>
                <w:bCs/>
                <w:color w:val="000000" w:themeColor="text1"/>
                <w:spacing w:val="-3"/>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spacing w:val="-3"/>
                <w:sz w:val="24"/>
                <w:szCs w:val="24"/>
                <w:highlight w:val="none"/>
                <w:lang w:val="en-US" w:eastAsia="zh-CN"/>
                <w14:textFill>
                  <w14:solidFill>
                    <w14:schemeClr w14:val="tx1"/>
                  </w14:solidFill>
                </w14:textFill>
              </w:rPr>
              <w:t>.</w:t>
            </w:r>
            <w:r>
              <w:rPr>
                <w:rFonts w:hint="eastAsia" w:cs="Times New Roman"/>
                <w:b/>
                <w:bCs/>
                <w:color w:val="000000" w:themeColor="text1"/>
                <w:spacing w:val="-3"/>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pacing w:val="-3"/>
                <w:sz w:val="24"/>
                <w:szCs w:val="24"/>
                <w:highlight w:val="none"/>
                <w:lang w:val="en-US" w:eastAsia="zh-CN"/>
                <w14:textFill>
                  <w14:solidFill>
                    <w14:schemeClr w14:val="tx1"/>
                  </w14:solidFill>
                </w14:textFill>
              </w:rPr>
              <w:t>.4</w:t>
            </w:r>
            <w:r>
              <w:rPr>
                <w:b/>
                <w:bCs/>
                <w:color w:val="000000" w:themeColor="text1"/>
                <w:sz w:val="24"/>
                <w:szCs w:val="24"/>
                <w:highlight w:val="none"/>
                <w14:textFill>
                  <w14:solidFill>
                    <w14:schemeClr w14:val="tx1"/>
                  </w14:solidFill>
                </w14:textFill>
              </w:rPr>
              <w:t>静电喷粉粉尘</w:t>
            </w:r>
          </w:p>
          <w:p w14:paraId="22D76E13">
            <w:pPr>
              <w:pageBreakBefore w:val="0"/>
              <w:wordWrap w:val="0"/>
              <w:topLinePunct/>
              <w:bidi w:val="0"/>
              <w:spacing w:beforeAutospacing="0" w:afterAutospacing="0"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项目使用喷枪在密闭喷粉房对工件进行喷粉处理，喷粉过程中未附着的环氧/聚酯粉末涂料粉末会形成粉尘，其主要污染物为颗粒物。</w:t>
            </w:r>
          </w:p>
          <w:p w14:paraId="7D43ABE6">
            <w:pPr>
              <w:pageBreakBefore w:val="0"/>
              <w:wordWrap w:val="0"/>
              <w:topLinePunct/>
              <w:bidi w:val="0"/>
              <w:spacing w:beforeAutospacing="0" w:afterAutospacing="0"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喷粉房本身可视作集尘室，喷粉过程中保持密闭，同样采用“密闭工作台（集尘室）+大旋风+滤芯式二级回收系统”系统处理，即静电喷粉粉尘收集效率为90%，收集后可回用于静电喷粉工序，考虑到少量粉末附着在滤芯内，收集回用率取99%；静电喷粉粉尘未收集部分沉降在喷粉房内，沉降率取80%，最终处理后的静电喷粉粉尘于车间内无组织排放。</w:t>
            </w:r>
          </w:p>
          <w:p w14:paraId="11AFD1C6">
            <w:pPr>
              <w:pageBreakBefore w:val="0"/>
              <w:wordWrap w:val="0"/>
              <w:topLinePunct/>
              <w:bidi w:val="0"/>
              <w:spacing w:beforeAutospacing="0" w:afterAutospacing="0"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本项目的喷粉粉末</w:t>
            </w:r>
            <w:r>
              <w:rPr>
                <w:rFonts w:hint="eastAsia"/>
                <w:color w:val="000000" w:themeColor="text1"/>
                <w:sz w:val="24"/>
                <w:szCs w:val="24"/>
                <w:highlight w:val="none"/>
                <w:lang w:val="en-US" w:eastAsia="zh-CN"/>
                <w14:textFill>
                  <w14:solidFill>
                    <w14:schemeClr w14:val="tx1"/>
                  </w14:solidFill>
                </w14:textFill>
              </w:rPr>
              <w:t>一次</w:t>
            </w:r>
            <w:r>
              <w:rPr>
                <w:color w:val="000000" w:themeColor="text1"/>
                <w:sz w:val="24"/>
                <w:szCs w:val="24"/>
                <w:highlight w:val="none"/>
                <w14:textFill>
                  <w14:solidFill>
                    <w14:schemeClr w14:val="tx1"/>
                  </w14:solidFill>
                </w14:textFill>
              </w:rPr>
              <w:t>上粉率为70%，综合利用率为95.54%，使用的环氧粉末涂料粉总量为</w:t>
            </w:r>
            <w:r>
              <w:rPr>
                <w:rFonts w:hint="eastAsia"/>
                <w:color w:val="000000" w:themeColor="text1"/>
                <w:sz w:val="24"/>
                <w:szCs w:val="24"/>
                <w:highlight w:val="none"/>
                <w:lang w:val="en-US" w:eastAsia="zh-CN"/>
                <w14:textFill>
                  <w14:solidFill>
                    <w14:schemeClr w14:val="tx1"/>
                  </w14:solidFill>
                </w14:textFill>
              </w:rPr>
              <w:t>109.7551</w:t>
            </w:r>
            <w:r>
              <w:rPr>
                <w:color w:val="000000" w:themeColor="text1"/>
                <w:sz w:val="24"/>
                <w:szCs w:val="24"/>
                <w:highlight w:val="none"/>
                <w14:textFill>
                  <w14:solidFill>
                    <w14:schemeClr w14:val="tx1"/>
                  </w14:solidFill>
                </w14:textFill>
              </w:rPr>
              <w:t>t/a，粉末喷涂工件附着量为：</w:t>
            </w:r>
            <w:r>
              <w:rPr>
                <w:rFonts w:hint="eastAsia"/>
                <w:color w:val="000000" w:themeColor="text1"/>
                <w:sz w:val="24"/>
                <w:szCs w:val="24"/>
                <w:highlight w:val="none"/>
                <w:lang w:val="en-US" w:eastAsia="zh-CN"/>
                <w14:textFill>
                  <w14:solidFill>
                    <w14:schemeClr w14:val="tx1"/>
                  </w14:solidFill>
                </w14:textFill>
              </w:rPr>
              <w:t>109.7551</w:t>
            </w:r>
            <w:r>
              <w:rPr>
                <w:color w:val="000000" w:themeColor="text1"/>
                <w:sz w:val="24"/>
                <w:szCs w:val="24"/>
                <w:highlight w:val="none"/>
                <w14:textFill>
                  <w14:solidFill>
                    <w14:schemeClr w14:val="tx1"/>
                  </w14:solidFill>
                </w14:textFill>
              </w:rPr>
              <w:t>/a×95.54%=</w:t>
            </w:r>
            <w:r>
              <w:rPr>
                <w:rFonts w:hint="eastAsia"/>
                <w:color w:val="000000" w:themeColor="text1"/>
                <w:sz w:val="24"/>
                <w:szCs w:val="24"/>
                <w:highlight w:val="none"/>
                <w:lang w:val="en-US" w:eastAsia="zh-CN"/>
                <w14:textFill>
                  <w14:solidFill>
                    <w14:schemeClr w14:val="tx1"/>
                  </w14:solidFill>
                </w14:textFill>
              </w:rPr>
              <w:t>104.860</w:t>
            </w:r>
            <w:r>
              <w:rPr>
                <w:color w:val="000000" w:themeColor="text1"/>
                <w:sz w:val="24"/>
                <w:szCs w:val="24"/>
                <w:highlight w:val="none"/>
                <w14:textFill>
                  <w14:solidFill>
                    <w14:schemeClr w14:val="tx1"/>
                  </w14:solidFill>
                </w14:textFill>
              </w:rPr>
              <w:t>t/a。</w:t>
            </w:r>
          </w:p>
          <w:p w14:paraId="61F27B1F">
            <w:pPr>
              <w:pageBreakBefore w:val="0"/>
              <w:wordWrap w:val="0"/>
              <w:topLinePunct/>
              <w:bidi w:val="0"/>
              <w:spacing w:beforeAutospacing="0" w:afterAutospacing="0" w:line="360" w:lineRule="auto"/>
              <w:ind w:firstLine="480" w:firstLineChars="200"/>
              <w:rPr>
                <w:rFonts w:hint="eastAsia" w:eastAsia="宋体"/>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静电喷涂工位均接入“密闭工作台（集尘室）+大旋风+滤芯式二级回收系统”系统；该系统除尘效率参考《简明通风设计手册》（孙一坚主编）中“第三节 惯性及旋风除尘器”P361内容可知，高效旋风除尘器除尘效率可达90%以上，保守取值为90%；滤芯过滤器主要部件为转翼式滤芯筒，由“二 滤筒式除尘器”p407内容可知，其实测除尘效率为99.2%～99.9%（重量法），保守取值为99%。综上，“大旋风+滤芯式二级回收系统”总处理效率为：1-（1-90%）×（1-99%）×100%=99.9%，保守取值99%</w:t>
            </w:r>
            <w:r>
              <w:rPr>
                <w:rFonts w:hint="eastAsia"/>
                <w:color w:val="000000" w:themeColor="text1"/>
                <w:sz w:val="24"/>
                <w:szCs w:val="24"/>
                <w:highlight w:val="none"/>
                <w:lang w:eastAsia="zh-CN"/>
                <w14:textFill>
                  <w14:solidFill>
                    <w14:schemeClr w14:val="tx1"/>
                  </w14:solidFill>
                </w14:textFill>
              </w:rPr>
              <w:t>。</w:t>
            </w:r>
          </w:p>
          <w:p w14:paraId="3E6BB551">
            <w:pPr>
              <w:pageBreakBefore w:val="0"/>
              <w:wordWrap w:val="0"/>
              <w:topLinePunct/>
              <w:bidi w:val="0"/>
              <w:spacing w:beforeAutospacing="0" w:afterAutospacing="0"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在收集效率为90%、</w:t>
            </w:r>
            <w:r>
              <w:rPr>
                <w:rFonts w:hint="eastAsia"/>
                <w:color w:val="000000" w:themeColor="text1"/>
                <w:sz w:val="24"/>
                <w:szCs w:val="24"/>
                <w:highlight w:val="none"/>
                <w:lang w:eastAsia="zh-CN"/>
                <w14:textFill>
                  <w14:solidFill>
                    <w14:schemeClr w14:val="tx1"/>
                  </w14:solidFill>
                </w14:textFill>
              </w:rPr>
              <w:t>收集回用效率为</w:t>
            </w:r>
            <w:r>
              <w:rPr>
                <w:color w:val="000000" w:themeColor="text1"/>
                <w:sz w:val="24"/>
                <w:szCs w:val="24"/>
                <w:highlight w:val="none"/>
                <w14:textFill>
                  <w14:solidFill>
                    <w14:schemeClr w14:val="tx1"/>
                  </w14:solidFill>
                </w14:textFill>
              </w:rPr>
              <w:t>99%的情况下，设回收利用过程未附着量为Xt/a，则有</w:t>
            </w:r>
            <w:r>
              <w:rPr>
                <w:rFonts w:hint="eastAsia"/>
                <w:color w:val="000000" w:themeColor="text1"/>
                <w:sz w:val="24"/>
                <w:szCs w:val="24"/>
                <w:highlight w:val="none"/>
                <w:lang w:val="en-US" w:eastAsia="zh-CN"/>
                <w14:textFill>
                  <w14:solidFill>
                    <w14:schemeClr w14:val="tx1"/>
                  </w14:solidFill>
                </w14:textFill>
              </w:rPr>
              <w:t>109.7551</w:t>
            </w:r>
            <w:r>
              <w:rPr>
                <w:color w:val="000000" w:themeColor="text1"/>
                <w:sz w:val="24"/>
                <w:szCs w:val="24"/>
                <w:highlight w:val="none"/>
                <w14:textFill>
                  <w14:solidFill>
                    <w14:schemeClr w14:val="tx1"/>
                  </w14:solidFill>
                </w14:textFill>
              </w:rPr>
              <w:t>t/a+（0.9×0.99）Xt/a=</w:t>
            </w:r>
            <w:r>
              <w:rPr>
                <w:rFonts w:hint="eastAsia"/>
                <w:color w:val="000000" w:themeColor="text1"/>
                <w:sz w:val="24"/>
                <w:szCs w:val="24"/>
                <w:highlight w:val="none"/>
                <w:lang w:val="en-US" w:eastAsia="zh-CN"/>
                <w14:textFill>
                  <w14:solidFill>
                    <w14:schemeClr w14:val="tx1"/>
                  </w14:solidFill>
                </w14:textFill>
              </w:rPr>
              <w:t>104.8600</w:t>
            </w:r>
            <w:r>
              <w:rPr>
                <w:color w:val="000000" w:themeColor="text1"/>
                <w:sz w:val="24"/>
                <w:szCs w:val="24"/>
                <w:highlight w:val="none"/>
                <w14:textFill>
                  <w14:solidFill>
                    <w14:schemeClr w14:val="tx1"/>
                  </w14:solidFill>
                </w14:textFill>
              </w:rPr>
              <w:t>t/a+Xt/a，解得回收利用过程未附着量X=</w:t>
            </w:r>
            <w:r>
              <w:rPr>
                <w:rFonts w:hint="eastAsia"/>
                <w:color w:val="000000" w:themeColor="text1"/>
                <w:sz w:val="24"/>
                <w:szCs w:val="24"/>
                <w:highlight w:val="none"/>
                <w:lang w:val="en-US" w:eastAsia="zh-CN"/>
                <w14:textFill>
                  <w14:solidFill>
                    <w14:schemeClr w14:val="tx1"/>
                  </w14:solidFill>
                </w14:textFill>
              </w:rPr>
              <w:t>44.909</w:t>
            </w:r>
            <w:r>
              <w:rPr>
                <w:color w:val="000000" w:themeColor="text1"/>
                <w:sz w:val="24"/>
                <w:szCs w:val="24"/>
                <w:highlight w:val="none"/>
                <w14:textFill>
                  <w14:solidFill>
                    <w14:schemeClr w14:val="tx1"/>
                  </w14:solidFill>
                </w14:textFill>
              </w:rPr>
              <w:t>t/a。</w:t>
            </w:r>
          </w:p>
          <w:p w14:paraId="7C4BAEA4">
            <w:pPr>
              <w:pageBreakBefore w:val="0"/>
              <w:wordWrap w:val="0"/>
              <w:topLinePunct/>
              <w:bidi w:val="0"/>
              <w:spacing w:beforeAutospacing="0" w:afterAutospacing="0"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对应收集量为：</w:t>
            </w:r>
            <w:r>
              <w:rPr>
                <w:rFonts w:hint="eastAsia"/>
                <w:color w:val="000000" w:themeColor="text1"/>
                <w:sz w:val="24"/>
                <w:szCs w:val="24"/>
                <w:highlight w:val="none"/>
                <w:lang w:val="en-US" w:eastAsia="zh-CN"/>
                <w14:textFill>
                  <w14:solidFill>
                    <w14:schemeClr w14:val="tx1"/>
                  </w14:solidFill>
                </w14:textFill>
              </w:rPr>
              <w:t>44.909</w:t>
            </w:r>
            <w:r>
              <w:rPr>
                <w:color w:val="000000" w:themeColor="text1"/>
                <w:sz w:val="24"/>
                <w:szCs w:val="24"/>
                <w:highlight w:val="none"/>
                <w14:textFill>
                  <w14:solidFill>
                    <w14:schemeClr w14:val="tx1"/>
                  </w14:solidFill>
                </w14:textFill>
              </w:rPr>
              <w:t>t/a×0.9=</w:t>
            </w:r>
            <w:r>
              <w:rPr>
                <w:rFonts w:hint="eastAsia"/>
                <w:color w:val="000000" w:themeColor="text1"/>
                <w:sz w:val="24"/>
                <w:szCs w:val="24"/>
                <w:highlight w:val="none"/>
                <w:lang w:val="en-US" w:eastAsia="zh-CN"/>
                <w14:textFill>
                  <w14:solidFill>
                    <w14:schemeClr w14:val="tx1"/>
                  </w14:solidFill>
                </w14:textFill>
              </w:rPr>
              <w:t>40.4181</w:t>
            </w:r>
            <w:r>
              <w:rPr>
                <w:color w:val="000000" w:themeColor="text1"/>
                <w:sz w:val="24"/>
                <w:szCs w:val="24"/>
                <w:highlight w:val="none"/>
                <w14:textFill>
                  <w14:solidFill>
                    <w14:schemeClr w14:val="tx1"/>
                  </w14:solidFill>
                </w14:textFill>
              </w:rPr>
              <w:t>t/a；收集回用量为：</w:t>
            </w:r>
            <w:r>
              <w:rPr>
                <w:rFonts w:hint="eastAsia"/>
                <w:color w:val="000000" w:themeColor="text1"/>
                <w:sz w:val="24"/>
                <w:szCs w:val="24"/>
                <w:highlight w:val="none"/>
                <w:lang w:val="en-US" w:eastAsia="zh-CN"/>
                <w14:textFill>
                  <w14:solidFill>
                    <w14:schemeClr w14:val="tx1"/>
                  </w14:solidFill>
                </w14:textFill>
              </w:rPr>
              <w:t>40.4181</w:t>
            </w:r>
            <w:r>
              <w:rPr>
                <w:color w:val="000000" w:themeColor="text1"/>
                <w:sz w:val="24"/>
                <w:szCs w:val="24"/>
                <w:highlight w:val="none"/>
                <w14:textFill>
                  <w14:solidFill>
                    <w14:schemeClr w14:val="tx1"/>
                  </w14:solidFill>
                </w14:textFill>
              </w:rPr>
              <w:t>t/a×0.99=</w:t>
            </w:r>
            <w:r>
              <w:rPr>
                <w:rFonts w:hint="eastAsia"/>
                <w:color w:val="000000" w:themeColor="text1"/>
                <w:sz w:val="24"/>
                <w:szCs w:val="24"/>
                <w:highlight w:val="none"/>
                <w:lang w:val="en-US" w:eastAsia="zh-CN"/>
                <w14:textFill>
                  <w14:solidFill>
                    <w14:schemeClr w14:val="tx1"/>
                  </w14:solidFill>
                </w14:textFill>
              </w:rPr>
              <w:t>40.014</w:t>
            </w:r>
            <w:r>
              <w:rPr>
                <w:color w:val="000000" w:themeColor="text1"/>
                <w:sz w:val="24"/>
                <w:szCs w:val="24"/>
                <w:highlight w:val="none"/>
                <w14:textFill>
                  <w14:solidFill>
                    <w14:schemeClr w14:val="tx1"/>
                  </w14:solidFill>
                </w14:textFill>
              </w:rPr>
              <w:t>t/a；未收集量为：</w:t>
            </w:r>
            <w:r>
              <w:rPr>
                <w:rFonts w:hint="eastAsia"/>
                <w:color w:val="000000" w:themeColor="text1"/>
                <w:sz w:val="24"/>
                <w:szCs w:val="24"/>
                <w:highlight w:val="none"/>
                <w:lang w:val="en-US" w:eastAsia="zh-CN"/>
                <w14:textFill>
                  <w14:solidFill>
                    <w14:schemeClr w14:val="tx1"/>
                  </w14:solidFill>
                </w14:textFill>
              </w:rPr>
              <w:t>44.9090</w:t>
            </w:r>
            <w:r>
              <w:rPr>
                <w:color w:val="000000" w:themeColor="text1"/>
                <w:sz w:val="24"/>
                <w:szCs w:val="24"/>
                <w:highlight w:val="none"/>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-40.418</w:t>
            </w:r>
            <w:r>
              <w:rPr>
                <w:color w:val="000000" w:themeColor="text1"/>
                <w:sz w:val="24"/>
                <w:szCs w:val="24"/>
                <w:highlight w:val="none"/>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4.4909</w:t>
            </w:r>
            <w:r>
              <w:rPr>
                <w:color w:val="000000" w:themeColor="text1"/>
                <w:sz w:val="24"/>
                <w:szCs w:val="24"/>
                <w:highlight w:val="none"/>
                <w14:textFill>
                  <w14:solidFill>
                    <w14:schemeClr w14:val="tx1"/>
                  </w14:solidFill>
                </w14:textFill>
              </w:rPr>
              <w:t>t/a，地面沉降量为：</w:t>
            </w:r>
            <w:r>
              <w:rPr>
                <w:rFonts w:hint="eastAsia"/>
                <w:color w:val="000000" w:themeColor="text1"/>
                <w:sz w:val="24"/>
                <w:szCs w:val="24"/>
                <w:highlight w:val="none"/>
                <w:lang w:val="en-US" w:eastAsia="zh-CN"/>
                <w14:textFill>
                  <w14:solidFill>
                    <w14:schemeClr w14:val="tx1"/>
                  </w14:solidFill>
                </w14:textFill>
              </w:rPr>
              <w:t>4.4909</w:t>
            </w:r>
            <w:r>
              <w:rPr>
                <w:color w:val="000000" w:themeColor="text1"/>
                <w:sz w:val="24"/>
                <w:szCs w:val="24"/>
                <w:highlight w:val="none"/>
                <w14:textFill>
                  <w14:solidFill>
                    <w14:schemeClr w14:val="tx1"/>
                  </w14:solidFill>
                </w14:textFill>
              </w:rPr>
              <w:t>t/a×80%=</w:t>
            </w:r>
            <w:r>
              <w:rPr>
                <w:rFonts w:hint="eastAsia"/>
                <w:color w:val="000000" w:themeColor="text1"/>
                <w:sz w:val="24"/>
                <w:szCs w:val="24"/>
                <w:highlight w:val="none"/>
                <w:lang w:val="en-US" w:eastAsia="zh-CN"/>
                <w14:textFill>
                  <w14:solidFill>
                    <w14:schemeClr w14:val="tx1"/>
                  </w14:solidFill>
                </w14:textFill>
              </w:rPr>
              <w:t>3.5927</w:t>
            </w:r>
            <w:r>
              <w:rPr>
                <w:color w:val="000000" w:themeColor="text1"/>
                <w:sz w:val="24"/>
                <w:szCs w:val="24"/>
                <w:highlight w:val="none"/>
                <w14:textFill>
                  <w14:solidFill>
                    <w14:schemeClr w14:val="tx1"/>
                  </w14:solidFill>
                </w14:textFill>
              </w:rPr>
              <w:t>t/a。最终静电喷粉粉尘无组织排放量为：（</w:t>
            </w:r>
            <w:r>
              <w:rPr>
                <w:rFonts w:hint="eastAsia"/>
                <w:color w:val="000000" w:themeColor="text1"/>
                <w:sz w:val="24"/>
                <w:szCs w:val="24"/>
                <w:highlight w:val="none"/>
                <w:lang w:val="en-US" w:eastAsia="zh-CN"/>
                <w14:textFill>
                  <w14:solidFill>
                    <w14:schemeClr w14:val="tx1"/>
                  </w14:solidFill>
                </w14:textFill>
              </w:rPr>
              <w:t>4.4909</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3.5927</w:t>
            </w:r>
            <w:r>
              <w:rPr>
                <w:color w:val="000000" w:themeColor="text1"/>
                <w:sz w:val="24"/>
                <w:szCs w:val="24"/>
                <w:highlight w:val="none"/>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40.4181-40.0139</w:t>
            </w:r>
            <w:r>
              <w:rPr>
                <w:color w:val="000000" w:themeColor="text1"/>
                <w:sz w:val="24"/>
                <w:szCs w:val="24"/>
                <w:highlight w:val="none"/>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1.3024</w:t>
            </w:r>
            <w:r>
              <w:rPr>
                <w:color w:val="000000" w:themeColor="text1"/>
                <w:sz w:val="24"/>
                <w:szCs w:val="24"/>
                <w:highlight w:val="none"/>
                <w14:textFill>
                  <w14:solidFill>
                    <w14:schemeClr w14:val="tx1"/>
                  </w14:solidFill>
                </w14:textFill>
              </w:rPr>
              <w:t>t/a。</w:t>
            </w:r>
          </w:p>
          <w:p w14:paraId="0FA6C0FE">
            <w:pPr>
              <w:pageBreakBefore w:val="0"/>
              <w:wordWrap w:val="0"/>
              <w:topLinePunct/>
              <w:bidi w:val="0"/>
              <w:spacing w:beforeAutospacing="0" w:afterAutospacing="0"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粉末涂料平衡详见下图。</w:t>
            </w:r>
          </w:p>
          <w:p w14:paraId="29C09DB8">
            <w:pPr>
              <w:pStyle w:val="4"/>
              <w:rPr>
                <w:rFonts w:hint="eastAsia" w:eastAsia="宋体"/>
                <w:color w:val="000000" w:themeColor="text1"/>
                <w:lang w:eastAsia="zh-CN"/>
                <w14:textFill>
                  <w14:solidFill>
                    <w14:schemeClr w14:val="tx1"/>
                  </w14:solidFill>
                </w14:textFill>
              </w:rPr>
            </w:pPr>
            <w:r>
              <w:rPr>
                <w:color w:val="000000" w:themeColor="text1"/>
                <w:sz w:val="32"/>
                <w14:textFill>
                  <w14:solidFill>
                    <w14:schemeClr w14:val="tx1"/>
                  </w14:solidFill>
                </w14:textFill>
              </w:rPr>
              <mc:AlternateContent>
                <mc:Choice Requires="wpc">
                  <w:drawing>
                    <wp:inline distT="0" distB="0" distL="114300" distR="114300">
                      <wp:extent cx="5336540" cy="3593465"/>
                      <wp:effectExtent l="0" t="0" r="0" b="0"/>
                      <wp:docPr id="169" name="画布 169"/>
                      <wp:cNvGraphicFramePr/>
                      <a:graphic xmlns:a="http://schemas.openxmlformats.org/drawingml/2006/main">
                        <a:graphicData uri="http://schemas.microsoft.com/office/word/2010/wordprocessingCanvas">
                          <wpc:wpc>
                            <wpc:bg/>
                            <wpc:whole/>
                            <wps:wsp>
                              <wps:cNvPr id="170" name="文本框 170"/>
                              <wps:cNvSpPr txBox="1"/>
                              <wps:spPr>
                                <a:xfrm>
                                  <a:off x="130175" y="989965"/>
                                  <a:ext cx="885825"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2A97DA3">
                                    <w:pPr>
                                      <w:jc w:val="center"/>
                                      <w:rPr>
                                        <w:rFonts w:hint="default" w:ascii="Times New Roman" w:hAnsi="Times New Roman" w:cs="Times New Roman"/>
                                        <w:sz w:val="18"/>
                                        <w:szCs w:val="21"/>
                                        <w:lang w:val="en-US" w:eastAsia="zh-CN"/>
                                      </w:rPr>
                                    </w:pPr>
                                    <w:r>
                                      <w:rPr>
                                        <w:rFonts w:hint="default" w:ascii="Times New Roman" w:hAnsi="Times New Roman" w:cs="Times New Roman"/>
                                        <w:sz w:val="18"/>
                                        <w:szCs w:val="21"/>
                                        <w:lang w:val="en-US" w:eastAsia="zh-CN"/>
                                      </w:rPr>
                                      <w:t>静电喷涂粉末</w:t>
                                    </w:r>
                                  </w:p>
                                  <w:p w14:paraId="1DD0D127">
                                    <w:pPr>
                                      <w:pStyle w:val="2"/>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109.7551t/a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5" name="文本框 295"/>
                              <wps:cNvSpPr txBox="1"/>
                              <wps:spPr>
                                <a:xfrm>
                                  <a:off x="1484630" y="65405"/>
                                  <a:ext cx="86741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FFE75E8">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工件附着量104.8600</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6" name="文本框 296"/>
                              <wps:cNvSpPr txBox="1"/>
                              <wps:spPr>
                                <a:xfrm>
                                  <a:off x="1484630" y="1551305"/>
                                  <a:ext cx="924560" cy="619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519FAB1">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回收利用过程未附着量44.9090</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7" name="文本框 297"/>
                              <wps:cNvSpPr txBox="1"/>
                              <wps:spPr>
                                <a:xfrm>
                                  <a:off x="2955925" y="2475230"/>
                                  <a:ext cx="90551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748F79D">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收集量40.4181</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8" name="文本框 298"/>
                              <wps:cNvSpPr txBox="1"/>
                              <wps:spPr>
                                <a:xfrm>
                                  <a:off x="2956560" y="1370330"/>
                                  <a:ext cx="904240" cy="4191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68E68C">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地面沉降量3.5927</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9" name="文本框 299"/>
                              <wps:cNvSpPr txBox="1"/>
                              <wps:spPr>
                                <a:xfrm>
                                  <a:off x="2961005" y="522605"/>
                                  <a:ext cx="895985" cy="381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AF04419">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未收集量</w:t>
                                    </w:r>
                                  </w:p>
                                  <w:p w14:paraId="20840563">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4.4909</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0" name="文本框 300"/>
                              <wps:cNvSpPr txBox="1"/>
                              <wps:spPr>
                                <a:xfrm>
                                  <a:off x="4255135" y="1179830"/>
                                  <a:ext cx="87757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A349DD">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无组织排放量</w:t>
                                    </w:r>
                                  </w:p>
                                  <w:p w14:paraId="295C4304">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1.302</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1" name="肘形连接符 301"/>
                              <wps:cNvCnPr>
                                <a:stCxn id="170" idx="3"/>
                                <a:endCxn id="295" idx="1"/>
                              </wps:cNvCnPr>
                              <wps:spPr>
                                <a:xfrm flipV="1">
                                  <a:off x="1016000" y="313055"/>
                                  <a:ext cx="468630" cy="92456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2" name="肘形连接符 302"/>
                              <wps:cNvCnPr>
                                <a:stCxn id="170" idx="3"/>
                                <a:endCxn id="296" idx="1"/>
                              </wps:cNvCnPr>
                              <wps:spPr>
                                <a:xfrm>
                                  <a:off x="1016000" y="1237615"/>
                                  <a:ext cx="468630" cy="62357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3" name="肘形连接符 303"/>
                              <wps:cNvCnPr>
                                <a:stCxn id="296" idx="3"/>
                                <a:endCxn id="297" idx="1"/>
                              </wps:cNvCnPr>
                              <wps:spPr>
                                <a:xfrm>
                                  <a:off x="2409190" y="1861185"/>
                                  <a:ext cx="546735" cy="861695"/>
                                </a:xfrm>
                                <a:prstGeom prst="bentConnector3">
                                  <a:avLst>
                                    <a:gd name="adj1" fmla="val 50058"/>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4" name="肘形连接符 304"/>
                              <wps:cNvCnPr>
                                <a:stCxn id="296" idx="3"/>
                                <a:endCxn id="299" idx="1"/>
                              </wps:cNvCnPr>
                              <wps:spPr>
                                <a:xfrm flipV="1">
                                  <a:off x="2409190" y="713105"/>
                                  <a:ext cx="551815" cy="1148080"/>
                                </a:xfrm>
                                <a:prstGeom prst="bentConnector3">
                                  <a:avLst>
                                    <a:gd name="adj1" fmla="val 50058"/>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5" name="直接箭头连接符 305"/>
                              <wps:cNvCnPr>
                                <a:stCxn id="299" idx="2"/>
                                <a:endCxn id="298" idx="0"/>
                              </wps:cNvCnPr>
                              <wps:spPr>
                                <a:xfrm flipH="1">
                                  <a:off x="3408680" y="903605"/>
                                  <a:ext cx="635" cy="46672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6" name="肘形连接符 306"/>
                              <wps:cNvCnPr>
                                <a:stCxn id="299" idx="3"/>
                                <a:endCxn id="300" idx="1"/>
                              </wps:cNvCnPr>
                              <wps:spPr>
                                <a:xfrm>
                                  <a:off x="3856990" y="713105"/>
                                  <a:ext cx="398145" cy="714375"/>
                                </a:xfrm>
                                <a:prstGeom prst="bentConnector3">
                                  <a:avLst>
                                    <a:gd name="adj1" fmla="val 5008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7" name="肘形连接符 307"/>
                              <wps:cNvCnPr>
                                <a:stCxn id="297" idx="3"/>
                                <a:endCxn id="300" idx="1"/>
                              </wps:cNvCnPr>
                              <wps:spPr>
                                <a:xfrm flipV="1">
                                  <a:off x="3861435" y="1427480"/>
                                  <a:ext cx="393700" cy="129540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8" name="肘形连接符 308"/>
                              <wps:cNvCnPr/>
                              <wps:spPr>
                                <a:xfrm rot="5400000" flipH="1">
                                  <a:off x="1248410" y="796290"/>
                                  <a:ext cx="1485265" cy="2835275"/>
                                </a:xfrm>
                                <a:prstGeom prst="bentConnector3">
                                  <a:avLst>
                                    <a:gd name="adj1" fmla="val -16032"/>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9" name="文本框 309"/>
                              <wps:cNvSpPr txBox="1"/>
                              <wps:spPr>
                                <a:xfrm>
                                  <a:off x="4035425" y="2009140"/>
                                  <a:ext cx="80962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A6430">
                                    <w:pPr>
                                      <w:rPr>
                                        <w:rFonts w:hint="default" w:eastAsia="宋体"/>
                                        <w:lang w:val="en-US" w:eastAsia="zh-CN"/>
                                      </w:rPr>
                                    </w:pPr>
                                    <w:r>
                                      <w:rPr>
                                        <w:rFonts w:hint="eastAsia"/>
                                        <w:lang w:val="en-US" w:eastAsia="zh-CN"/>
                                      </w:rPr>
                                      <w:t>0.4042t/a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0" name="文本框 310"/>
                              <wps:cNvSpPr txBox="1"/>
                              <wps:spPr>
                                <a:xfrm>
                                  <a:off x="141605" y="255905"/>
                                  <a:ext cx="85280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FCEB21">
                                    <w:pPr>
                                      <w:rPr>
                                        <w:rFonts w:hint="default" w:eastAsia="宋体"/>
                                        <w:lang w:val="en-US" w:eastAsia="zh-CN"/>
                                      </w:rPr>
                                    </w:pPr>
                                    <w:r>
                                      <w:rPr>
                                        <w:rFonts w:hint="eastAsia"/>
                                        <w:lang w:val="en-US" w:eastAsia="zh-CN"/>
                                      </w:rPr>
                                      <w:t>109.7551t/a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1" name="文本框 311"/>
                              <wps:cNvSpPr txBox="1"/>
                              <wps:spPr>
                                <a:xfrm>
                                  <a:off x="988060" y="2919730"/>
                                  <a:ext cx="1306195" cy="269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5042A">
                                    <w:pPr>
                                      <w:rPr>
                                        <w:rFonts w:hint="default" w:eastAsia="宋体"/>
                                        <w:lang w:val="en-US" w:eastAsia="zh-CN"/>
                                      </w:rPr>
                                    </w:pPr>
                                    <w:r>
                                      <w:rPr>
                                        <w:rFonts w:hint="eastAsia"/>
                                        <w:lang w:val="en-US" w:eastAsia="zh-CN"/>
                                      </w:rPr>
                                      <w:t>回用40.0139t/a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2" name="文本框 312"/>
                              <wps:cNvSpPr txBox="1"/>
                              <wps:spPr>
                                <a:xfrm>
                                  <a:off x="3951605" y="779780"/>
                                  <a:ext cx="80962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0E33D">
                                    <w:pPr>
                                      <w:rPr>
                                        <w:rFonts w:hint="default" w:eastAsia="宋体"/>
                                        <w:lang w:val="en-US" w:eastAsia="zh-CN"/>
                                      </w:rPr>
                                    </w:pPr>
                                    <w:r>
                                      <w:rPr>
                                        <w:rFonts w:hint="eastAsia"/>
                                        <w:lang w:val="en-US" w:eastAsia="zh-CN"/>
                                      </w:rPr>
                                      <w:t>0.8982t/a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3" name="直接箭头连接符 313"/>
                              <wps:cNvCnPr/>
                              <wps:spPr>
                                <a:xfrm flipH="1">
                                  <a:off x="513080" y="484505"/>
                                  <a:ext cx="635" cy="46672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c:wpc>
                        </a:graphicData>
                      </a:graphic>
                    </wp:inline>
                  </w:drawing>
                </mc:Choice>
                <mc:Fallback>
                  <w:pict>
                    <v:group id="_x0000_s1026" o:spid="_x0000_s1026" o:spt="203" style="height:282.95pt;width:420.2pt;" coordsize="5336540,3593465" editas="canvas" o:gfxdata="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">
                      <o:lock v:ext="edit" aspectratio="f"/>
                      <v:shape id="_x0000_s1026" o:spid="_x0000_s1026" style="position:absolute;left:0;top:0;height:3593465;width:5336540;" filled="f" stroked="f" coordsize="21600,21600" o:gfxdata="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">
                        <v:fill on="f" focussize="0,0"/>
                        <v:stroke on="f"/>
                        <v:imagedata o:title=""/>
                        <o:lock v:ext="edit" aspectratio="f"/>
                      </v:shape>
                      <v:shape id="_x0000_s1026" o:spid="_x0000_s1026" o:spt="202" type="#_x0000_t202" style="position:absolute;left:130175;top:989965;height:495300;width:885825;"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Fs6YjllAgAAxAQAAA4AAAAAAAAAAQAgAAAAIwEAAGRycy9lMm9Eb2MueG1sUEsFBgAA&#10;AAAGAAYAWQEAAPoFAAAAAA==&#10;">
                        <v:fill on="t" focussize="0,0"/>
                        <v:stroke weight="0.5pt" color="#000000 [3204]" joinstyle="round"/>
                        <v:imagedata o:title=""/>
                        <o:lock v:ext="edit" aspectratio="f"/>
                        <v:textbox>
                          <w:txbxContent>
                            <w:p w14:paraId="52A97DA3">
                              <w:pPr>
                                <w:jc w:val="center"/>
                                <w:rPr>
                                  <w:rFonts w:hint="default" w:ascii="Times New Roman" w:hAnsi="Times New Roman" w:cs="Times New Roman"/>
                                  <w:sz w:val="18"/>
                                  <w:szCs w:val="21"/>
                                  <w:lang w:val="en-US" w:eastAsia="zh-CN"/>
                                </w:rPr>
                              </w:pPr>
                              <w:r>
                                <w:rPr>
                                  <w:rFonts w:hint="default" w:ascii="Times New Roman" w:hAnsi="Times New Roman" w:cs="Times New Roman"/>
                                  <w:sz w:val="18"/>
                                  <w:szCs w:val="21"/>
                                  <w:lang w:val="en-US" w:eastAsia="zh-CN"/>
                                </w:rPr>
                                <w:t>静电喷涂粉末</w:t>
                              </w:r>
                            </w:p>
                            <w:p w14:paraId="1DD0D127">
                              <w:pPr>
                                <w:pStyle w:val="2"/>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109.7551t/a</w:t>
                              </w:r>
                            </w:p>
                          </w:txbxContent>
                        </v:textbox>
                      </v:shape>
                      <v:shape id="_x0000_s1026" o:spid="_x0000_s1026" o:spt="202" type="#_x0000_t202" style="position:absolute;left:1484630;top:65405;height:495300;width:86741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B/+0akZgIAAMQEAAAOAAAAAAAAAAEAIAAAACMBAABkcnMvZTJvRG9jLnhtbFBLBQYA&#10;AAAABgAGAFkBAAD7BQAAAAA=&#10;">
                        <v:fill on="t" focussize="0,0"/>
                        <v:stroke weight="0.5pt" color="#000000 [3204]" joinstyle="round"/>
                        <v:imagedata o:title=""/>
                        <o:lock v:ext="edit" aspectratio="f"/>
                        <v:textbox>
                          <w:txbxContent>
                            <w:p w14:paraId="2FFE75E8">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工件附着量104.8600</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1484630;top:1551305;height:619125;width:92456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D/v77HZgIAAMYEAAAOAAAAAAAAAAEAIAAAACMBAABkcnMvZTJvRG9jLnhtbFBLBQYA&#10;AAAABgAGAFkBAAD7BQAAAAA=&#10;">
                        <v:fill on="t" focussize="0,0"/>
                        <v:stroke weight="0.5pt" color="#000000 [3204]" joinstyle="round"/>
                        <v:imagedata o:title=""/>
                        <o:lock v:ext="edit" aspectratio="f"/>
                        <v:textbox>
                          <w:txbxContent>
                            <w:p w14:paraId="3519FAB1">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回收利用过程未附着量44.9090</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55925;top:2475230;height:495300;width:90551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x4+lJ1AAAAAUBAAAPAAAAAAAAAAEAIAAAACIAAABkcnMvZG93bnJldi54bWxQSwECFAAU&#10;AAAACACHTuJANTgXdGcCAADGBAAADgAAAAAAAAABACAAAAAjAQAAZHJzL2Uyb0RvYy54bWxQSwUG&#10;AAAAAAYABgBZAQAA/AUAAAAA&#10;">
                        <v:fill on="t" focussize="0,0"/>
                        <v:stroke weight="0.5pt" color="#000000 [3204]" joinstyle="round"/>
                        <v:imagedata o:title=""/>
                        <o:lock v:ext="edit" aspectratio="f"/>
                        <v:textbox>
                          <w:txbxContent>
                            <w:p w14:paraId="1748F79D">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收集量40.4181</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56560;top:1370330;height:419100;width:90424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CnT3mxlAgAAxgQAAA4AAAAAAAAAAQAgAAAAIwEAAGRycy9lMm9Eb2MueG1sUEsFBgAA&#10;AAAGAAYAWQEAAPoFAAAAAA==&#10;">
                        <v:fill on="t" focussize="0,0"/>
                        <v:stroke weight="0.5pt" color="#000000 [3204]" joinstyle="round"/>
                        <v:imagedata o:title=""/>
                        <o:lock v:ext="edit" aspectratio="f"/>
                        <v:textbox>
                          <w:txbxContent>
                            <w:p w14:paraId="6F68E68C">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地面沉降量3.5927</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61005;top:522605;height:381000;width:895985;"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BV7uR6ZgIAAMUEAAAOAAAAAAAAAAEAIAAAACMBAABkcnMvZTJvRG9jLnhtbFBLBQYA&#10;AAAABgAGAFkBAAD7BQAAAAA=&#10;">
                        <v:fill on="t" focussize="0,0"/>
                        <v:stroke weight="0.5pt" color="#000000 [3204]" joinstyle="round"/>
                        <v:imagedata o:title=""/>
                        <o:lock v:ext="edit" aspectratio="f"/>
                        <v:textbox>
                          <w:txbxContent>
                            <w:p w14:paraId="2AF04419">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未收集量</w:t>
                              </w:r>
                            </w:p>
                            <w:p w14:paraId="20840563">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4.4909</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4255135;top:1179830;height:495300;width:87757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CYL0qtlAgAAxgQAAA4AAAAAAAAAAQAgAAAAIwEAAGRycy9lMm9Eb2MueG1sUEsFBgAA&#10;AAAGAAYAWQEAAPoFAAAAAA==&#10;">
                        <v:fill on="t" focussize="0,0"/>
                        <v:stroke weight="0.5pt" color="#000000 [3204]" joinstyle="round"/>
                        <v:imagedata o:title=""/>
                        <o:lock v:ext="edit" aspectratio="f"/>
                        <v:textbox>
                          <w:txbxContent>
                            <w:p w14:paraId="47A349DD">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无组织排放量</w:t>
                              </w:r>
                            </w:p>
                            <w:p w14:paraId="295C4304">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1.302</w:t>
                              </w:r>
                              <w:r>
                                <w:rPr>
                                  <w:rFonts w:hint="default" w:ascii="Times New Roman" w:hAnsi="Times New Roman" w:cs="Times New Roman"/>
                                  <w:sz w:val="21"/>
                                  <w:szCs w:val="21"/>
                                  <w:lang w:val="en-US" w:eastAsia="zh-CN"/>
                                </w:rPr>
                                <w:t>t/a</w:t>
                              </w:r>
                            </w:p>
                          </w:txbxContent>
                        </v:textbox>
                      </v:shape>
                      <v:shape id="_x0000_s1026" o:spid="_x0000_s1026" o:spt="34" type="#_x0000_t34" style="position:absolute;left:1016000;top:313055;flip:y;height:924560;width:468630;" filled="f" stroked="t" coordsize="21600,21600" o:gfxdata="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Cr4ZA1gAAAAUBAAAPAAAAAAAAAAEAIAAAACIAAABkcnMv&#10;ZG93bnJldi54bWxQSwECFAAUAAAACACHTuJAzK9Urz4CAABLBAAADgAAAAAAAAABACAAAAAlAQAA&#10;ZHJzL2Uyb0RvYy54bWxQSwUGAAAAAAYABgBZAQAA1QUAAAAA&#10;" adj="10800">
                        <v:fill on="f" focussize="0,0"/>
                        <v:stroke color="#000000 [3213]" joinstyle="round" endarrow="open"/>
                        <v:imagedata o:title=""/>
                        <o:lock v:ext="edit" aspectratio="f"/>
                      </v:shape>
                      <v:shape id="_x0000_s1026" o:spid="_x0000_s1026" o:spt="34" type="#_x0000_t34" style="position:absolute;left:1016000;top:1237615;height:623570;width:468630;" filled="f" stroked="t" coordsize="21600,21600" o:gfxdata="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ygbnE1gAAAAUBAAAPAAAAAAAAAAEAIAAAACIAAABkcnMvZG93bnJldi54&#10;bWxQSwECFAAUAAAACACHTuJAsFg1KjUCAABCBAAADgAAAAAAAAABACAAAAAlAQAAZHJzL2Uyb0Rv&#10;Yy54bWxQSwUGAAAAAAYABgBZAQAAzAUAAAAA&#10;" adj="10800">
                        <v:fill on="f" focussize="0,0"/>
                        <v:stroke color="#000000 [3213]" joinstyle="round" endarrow="open"/>
                        <v:imagedata o:title=""/>
                        <o:lock v:ext="edit" aspectratio="f"/>
                      </v:shape>
                      <v:shape id="_x0000_s1026" o:spid="_x0000_s1026" o:spt="34" type="#_x0000_t34" style="position:absolute;left:2409190;top:1861185;height:861695;width:546735;" filled="f" stroked="t" coordsize="21600,21600" o:gfxdata="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AFZdvYAAAABQEAAA8AAAAAAAAAAQAgAAAAIgAAAGRycy9kb3ducmV2&#10;LnhtbFBLAQIUABQAAAAIAIdO4kAjeDecNQIAAEIEAAAOAAAAAAAAAAEAIAAAACcBAABkcnMvZTJv&#10;RG9jLnhtbFBLBQYAAAAABgAGAFkBAADOBQAAAAA=&#10;" adj="10813">
                        <v:fill on="f" focussize="0,0"/>
                        <v:stroke color="#000000 [3213]" joinstyle="round" endarrow="open"/>
                        <v:imagedata o:title=""/>
                        <o:lock v:ext="edit" aspectratio="f"/>
                      </v:shape>
                      <v:shape id="_x0000_s1026" o:spid="_x0000_s1026" o:spt="34" type="#_x0000_t34" style="position:absolute;left:2409190;top:713105;flip:y;height:1148080;width:551815;" filled="f" stroked="t" coordsize="21600,21600" o:gfxdata="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4UWqdQAAAAFAQAADwAAAAAAAAABACAAAAAiAAAAZHJzL2Rv&#10;d25yZXYueG1sUEsBAhQAFAAAAAgAh07iQGsaUHs+AgAATAQAAA4AAAAAAAAAAQAgAAAAIwEAAGRy&#10;cy9lMm9Eb2MueG1sUEsFBgAAAAAGAAYAWQEAANMFAAAAAA==&#10;" adj="10813">
                        <v:fill on="f" focussize="0,0"/>
                        <v:stroke color="#000000 [3213]" joinstyle="round" endarrow="open"/>
                        <v:imagedata o:title=""/>
                        <o:lock v:ext="edit" aspectratio="f"/>
                      </v:shape>
                      <v:shape id="_x0000_s1026" o:spid="_x0000_s1026" o:spt="32" type="#_x0000_t32" style="position:absolute;left:3408680;top:903605;flip:x;height:466725;width:635;" filled="f" stroked="t" coordsize="21600,21600" o:gfxdata="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fwrVHVAAAABQEAAA8AAAAAAAAAAQAgAAAAIgAAAGRycy9kb3ducmV2LnhtbFBLAQIUABQA&#10;AAAIAIdO4kAexL2ALAIAACUEAAAOAAAAAAAAAAEAIAAAACQBAABkcnMvZTJvRG9jLnhtbFBLBQYA&#10;AAAABgAGAFkBAADCBQAAAAA=&#10;">
                        <v:fill on="f" focussize="0,0"/>
                        <v:stroke color="#000000 [3213]" joinstyle="round" endarrow="open"/>
                        <v:imagedata o:title=""/>
                        <o:lock v:ext="edit" aspectratio="f"/>
                      </v:shape>
                      <v:shape id="_x0000_s1026" o:spid="_x0000_s1026" o:spt="34" type="#_x0000_t34" style="position:absolute;left:3856990;top:713105;height:714375;width:398145;" filled="f" stroked="t" coordsize="21600,21600" o:gfxdata="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uavZNcAAAAFAQAADwAAAAAAAAABACAAAAAiAAAAZHJzL2Rvd25yZXYu&#10;eG1sUEsBAhQAFAAAAAgAh07iQCH71FU1AgAAQQQAAA4AAAAAAAAAAQAgAAAAJgEAAGRycy9lMm9E&#10;b2MueG1sUEsFBgAAAAAGAAYAWQEAAM0FAAAAAA==&#10;" adj="10817">
                        <v:fill on="f" focussize="0,0"/>
                        <v:stroke color="#000000 [3213]" joinstyle="round" endarrow="open"/>
                        <v:imagedata o:title=""/>
                        <o:lock v:ext="edit" aspectratio="f"/>
                      </v:shape>
                      <v:shape id="_x0000_s1026" o:spid="_x0000_s1026" o:spt="34" type="#_x0000_t34" style="position:absolute;left:3861435;top:1427480;flip:y;height:1295400;width:393700;" filled="f" stroked="t" coordsize="21600,21600" o:gfxdata="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q+GQNYAAAAFAQAADwAAAAAAAAABACAAAAAiAAAAZHJz&#10;L2Rvd25yZXYueG1sUEsBAhQAFAAAAAgAh07iQInCl/k/AgAATQQAAA4AAAAAAAAAAQAgAAAAJQEA&#10;AGRycy9lMm9Eb2MueG1sUEsFBgAAAAAGAAYAWQEAANYFAAAAAA==&#10;" adj="10800">
                        <v:fill on="f" focussize="0,0"/>
                        <v:stroke color="#000000 [3213]" joinstyle="round" endarrow="open"/>
                        <v:imagedata o:title=""/>
                        <o:lock v:ext="edit" aspectratio="f"/>
                      </v:shape>
                      <v:shape id="_x0000_s1026" o:spid="_x0000_s1026" o:spt="34" type="#_x0000_t34" style="position:absolute;left:1248410;top:796290;flip:x;height:2835275;width:1485265;rotation:-5898240f;" filled="f" stroked="t" coordsize="21600,21600" o:gfxdata="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2PlaQ1gAAAAUBAAAPAAAAAAAAAAEAIAAAACIAAABkcnMvZG93bnJldi54bWxQSwEC&#10;FAAUAAAACACHTuJA/6aTCi8CAAAYBAAADgAAAAAAAAABACAAAAAlAQAAZHJzL2Uyb0RvYy54bWxQ&#10;SwUGAAAAAAYABgBZAQAAxgUAAAAA&#10;" adj="-3463">
                        <v:fill on="f" focussize="0,0"/>
                        <v:stroke color="#000000 [3213]" joinstyle="round" endarrow="open"/>
                        <v:imagedata o:title=""/>
                        <o:lock v:ext="edit" aspectratio="f"/>
                      </v:shape>
                      <v:shape id="_x0000_s1026" o:spid="_x0000_s1026" o:spt="202" type="#_x0000_t202" style="position:absolute;left:4035425;top:2009140;height:238125;width:80962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4vUAX9gAAAAFAQAADwAAAAAAAAABACAA&#10;AAAiAAAAZHJzL2Rvd25yZXYueG1sUEsBAhQAFAAAAAgAh07iQBmCn+dGAgAAdQQAAA4AAAAAAAAA&#10;AQAgAAAAJwEAAGRycy9lMm9Eb2MueG1sUEsFBgAAAAAGAAYAWQEAAN8FAAAAAA==&#10;">
                        <v:fill on="f" focussize="0,0"/>
                        <v:stroke on="f" weight="0.5pt"/>
                        <v:imagedata o:title=""/>
                        <o:lock v:ext="edit" aspectratio="f"/>
                        <v:textbox>
                          <w:txbxContent>
                            <w:p w14:paraId="617A6430">
                              <w:pPr>
                                <w:rPr>
                                  <w:rFonts w:hint="default" w:eastAsia="宋体"/>
                                  <w:lang w:val="en-US" w:eastAsia="zh-CN"/>
                                </w:rPr>
                              </w:pPr>
                              <w:r>
                                <w:rPr>
                                  <w:rFonts w:hint="eastAsia"/>
                                  <w:lang w:val="en-US" w:eastAsia="zh-CN"/>
                                </w:rPr>
                                <w:t>0.4042t/a</w:t>
                              </w:r>
                            </w:p>
                          </w:txbxContent>
                        </v:textbox>
                      </v:shape>
                      <v:shape id="_x0000_s1026" o:spid="_x0000_s1026" o:spt="202" type="#_x0000_t202" style="position:absolute;left:141605;top:255905;height:238125;width:85280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i9QBf2AAAAAUBAAAPAAAAAAAAAAEAIAAA&#10;ACIAAABkcnMvZG93bnJldi54bWxQSwECFAAUAAAACACHTuJAsXJha0UCAABzBAAADgAAAAAAAAAB&#10;ACAAAAAnAQAAZHJzL2Uyb0RvYy54bWxQSwUGAAAAAAYABgBZAQAA3gUAAAAA&#10;">
                        <v:fill on="f" focussize="0,0"/>
                        <v:stroke on="f" weight="0.5pt"/>
                        <v:imagedata o:title=""/>
                        <o:lock v:ext="edit" aspectratio="f"/>
                        <v:textbox>
                          <w:txbxContent>
                            <w:p w14:paraId="5FFCEB21">
                              <w:pPr>
                                <w:rPr>
                                  <w:rFonts w:hint="default" w:eastAsia="宋体"/>
                                  <w:lang w:val="en-US" w:eastAsia="zh-CN"/>
                                </w:rPr>
                              </w:pPr>
                              <w:r>
                                <w:rPr>
                                  <w:rFonts w:hint="eastAsia"/>
                                  <w:lang w:val="en-US" w:eastAsia="zh-CN"/>
                                </w:rPr>
                                <w:t>109.7551t/a</w:t>
                              </w:r>
                            </w:p>
                          </w:txbxContent>
                        </v:textbox>
                      </v:shape>
                      <v:shape id="_x0000_s1026" o:spid="_x0000_s1026" o:spt="202" type="#_x0000_t202" style="position:absolute;left:988060;top:2919730;height:269875;width:130619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4vUAX9gAAAAFAQAADwAAAAAAAAAB&#10;ACAAAAAiAAAAZHJzL2Rvd25yZXYueG1sUEsBAhQAFAAAAAgAh07iQPWwxYRJAgAAdQQAAA4AAAAA&#10;AAAAAQAgAAAAJwEAAGRycy9lMm9Eb2MueG1sUEsFBgAAAAAGAAYAWQEAAOIFAAAAAA==&#10;">
                        <v:fill on="f" focussize="0,0"/>
                        <v:stroke on="f" weight="0.5pt"/>
                        <v:imagedata o:title=""/>
                        <o:lock v:ext="edit" aspectratio="f"/>
                        <v:textbox>
                          <w:txbxContent>
                            <w:p w14:paraId="31E5042A">
                              <w:pPr>
                                <w:rPr>
                                  <w:rFonts w:hint="default" w:eastAsia="宋体"/>
                                  <w:lang w:val="en-US" w:eastAsia="zh-CN"/>
                                </w:rPr>
                              </w:pPr>
                              <w:r>
                                <w:rPr>
                                  <w:rFonts w:hint="eastAsia"/>
                                  <w:lang w:val="en-US" w:eastAsia="zh-CN"/>
                                </w:rPr>
                                <w:t>回用40.0139t/a</w:t>
                              </w:r>
                            </w:p>
                          </w:txbxContent>
                        </v:textbox>
                      </v:shape>
                      <v:shape id="_x0000_s1026" o:spid="_x0000_s1026" o:spt="202" type="#_x0000_t202" style="position:absolute;left:3951605;top:779780;height:238125;width:80962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i9QBf2AAAAAUBAAAPAAAAAAAAAAEA&#10;IAAAACIAAABkcnMvZG93bnJldi54bWxQSwECFAAUAAAACACHTuJA9Rn1PEgCAAB0BAAADgAAAAAA&#10;AAABACAAAAAnAQAAZHJzL2Uyb0RvYy54bWxQSwUGAAAAAAYABgBZAQAA4QUAAAAA&#10;">
                        <v:fill on="f" focussize="0,0"/>
                        <v:stroke on="f" weight="0.5pt"/>
                        <v:imagedata o:title=""/>
                        <o:lock v:ext="edit" aspectratio="f"/>
                        <v:textbox>
                          <w:txbxContent>
                            <w:p w14:paraId="78E0E33D">
                              <w:pPr>
                                <w:rPr>
                                  <w:rFonts w:hint="default" w:eastAsia="宋体"/>
                                  <w:lang w:val="en-US" w:eastAsia="zh-CN"/>
                                </w:rPr>
                              </w:pPr>
                              <w:r>
                                <w:rPr>
                                  <w:rFonts w:hint="eastAsia"/>
                                  <w:lang w:val="en-US" w:eastAsia="zh-CN"/>
                                </w:rPr>
                                <w:t>0.8982t/a</w:t>
                              </w:r>
                            </w:p>
                          </w:txbxContent>
                        </v:textbox>
                      </v:shape>
                      <v:shape id="_x0000_s1026" o:spid="_x0000_s1026" o:spt="32" type="#_x0000_t32" style="position:absolute;left:513080;top:484505;flip:x;height:466725;width:635;" filled="f" stroked="t" coordsize="21600,21600" o:gfxdata="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fwrVHVAAAABQEAAA8AAAAAAAAAAQAgAAAA&#10;IgAAAGRycy9kb3ducmV2LnhtbFBLAQIUABQAAAAIAIdO4kA0huzRDgIAAOADAAAOAAAAAAAAAAEA&#10;IAAAACQBAABkcnMvZTJvRG9jLnhtbFBLBQYAAAAABgAGAFkBAACkBQAAAAA=&#10;">
                        <v:fill on="f" focussize="0,0"/>
                        <v:stroke color="#000000 [3213]" joinstyle="round" endarrow="open"/>
                        <v:imagedata o:title=""/>
                        <o:lock v:ext="edit" aspectratio="f"/>
                      </v:shape>
                      <w10:wrap type="none"/>
                      <w10:anchorlock/>
                    </v:group>
                  </w:pict>
                </mc:Fallback>
              </mc:AlternateContent>
            </w:r>
          </w:p>
          <w:p w14:paraId="046C42DF">
            <w:pPr>
              <w:pageBreakBefore w:val="0"/>
              <w:widowControl/>
              <w:wordWrap w:val="0"/>
              <w:topLinePunct/>
              <w:bidi w:val="0"/>
              <w:spacing w:beforeAutospacing="0" w:afterAutospacing="0"/>
              <w:jc w:val="center"/>
              <w:rPr>
                <w:color w:val="000000" w:themeColor="text1"/>
                <w:sz w:val="21"/>
                <w:szCs w:val="21"/>
                <w:highlight w:val="none"/>
                <w14:textFill>
                  <w14:solidFill>
                    <w14:schemeClr w14:val="tx1"/>
                  </w14:solidFill>
                </w14:textFill>
              </w:rPr>
            </w:pPr>
            <w:r>
              <w:rPr>
                <w:b/>
                <w:bCs/>
                <w:color w:val="000000" w:themeColor="text1"/>
                <w:sz w:val="21"/>
                <w:szCs w:val="21"/>
                <w:highlight w:val="none"/>
                <w:lang w:bidi="ar"/>
                <w14:textFill>
                  <w14:solidFill>
                    <w14:schemeClr w14:val="tx1"/>
                  </w14:solidFill>
                </w14:textFill>
              </w:rPr>
              <w:t>图</w:t>
            </w:r>
            <w:r>
              <w:rPr>
                <w:rFonts w:hint="eastAsia"/>
                <w:b/>
                <w:bCs/>
                <w:color w:val="000000" w:themeColor="text1"/>
                <w:sz w:val="21"/>
                <w:szCs w:val="21"/>
                <w:highlight w:val="none"/>
                <w:lang w:val="en-US" w:eastAsia="zh-CN" w:bidi="ar"/>
                <w14:textFill>
                  <w14:solidFill>
                    <w14:schemeClr w14:val="tx1"/>
                  </w14:solidFill>
                </w14:textFill>
              </w:rPr>
              <w:t xml:space="preserve">4-1 </w:t>
            </w:r>
            <w:r>
              <w:rPr>
                <w:b/>
                <w:bCs/>
                <w:color w:val="000000" w:themeColor="text1"/>
                <w:sz w:val="21"/>
                <w:szCs w:val="21"/>
                <w:highlight w:val="none"/>
                <w:lang w:bidi="ar"/>
                <w14:textFill>
                  <w14:solidFill>
                    <w14:schemeClr w14:val="tx1"/>
                  </w14:solidFill>
                </w14:textFill>
              </w:rPr>
              <w:t>粉末涂料平衡图</w:t>
            </w:r>
          </w:p>
          <w:p w14:paraId="2DE70AC1">
            <w:pPr>
              <w:pStyle w:val="158"/>
              <w:pageBreakBefore w:val="0"/>
              <w:wordWrap w:val="0"/>
              <w:topLinePunct/>
              <w:bidi w:val="0"/>
              <w:snapToGrid/>
              <w:spacing w:beforeAutospacing="0" w:afterAutospacing="0"/>
              <w:ind w:firstLine="482"/>
              <w:outlineLvl w:val="9"/>
              <w:rPr>
                <w:b/>
                <w:bCs/>
                <w:color w:val="000000" w:themeColor="text1"/>
                <w:highlight w:val="none"/>
                <w14:textFill>
                  <w14:solidFill>
                    <w14:schemeClr w14:val="tx1"/>
                  </w14:solidFill>
                </w14:textFill>
              </w:rPr>
            </w:pPr>
            <w:bookmarkStart w:id="23" w:name="_Toc32051"/>
            <w:bookmarkStart w:id="24" w:name="_Toc15801"/>
            <w:r>
              <w:rPr>
                <w:rFonts w:hint="eastAsia"/>
                <w:b/>
                <w:bCs/>
                <w:color w:val="000000" w:themeColor="text1"/>
                <w:highlight w:val="none"/>
                <w:lang w:val="en-US" w:eastAsia="zh-CN"/>
                <w14:textFill>
                  <w14:solidFill>
                    <w14:schemeClr w14:val="tx1"/>
                  </w14:solidFill>
                </w14:textFill>
              </w:rPr>
              <w:t>1.2.5</w:t>
            </w:r>
            <w:r>
              <w:rPr>
                <w:b/>
                <w:bCs/>
                <w:color w:val="000000" w:themeColor="text1"/>
                <w:highlight w:val="none"/>
                <w14:textFill>
                  <w14:solidFill>
                    <w14:schemeClr w14:val="tx1"/>
                  </w14:solidFill>
                </w14:textFill>
              </w:rPr>
              <w:t>有机废气</w:t>
            </w:r>
            <w:bookmarkEnd w:id="23"/>
            <w:bookmarkEnd w:id="24"/>
          </w:p>
          <w:p w14:paraId="0D31A8F7">
            <w:pPr>
              <w:pStyle w:val="158"/>
              <w:wordWrap w:val="0"/>
              <w:topLinePunct/>
              <w:snapToGrid/>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铝单板喷漆过程中</w:t>
            </w:r>
            <w:r>
              <w:rPr>
                <w:rFonts w:hint="eastAsia"/>
                <w:color w:val="000000" w:themeColor="text1"/>
                <w:highlight w:val="none"/>
                <w14:textFill>
                  <w14:solidFill>
                    <w14:schemeClr w14:val="tx1"/>
                  </w14:solidFill>
                </w14:textFill>
              </w:rPr>
              <w:t>废气产生节点</w:t>
            </w:r>
            <w:r>
              <w:rPr>
                <w:color w:val="000000" w:themeColor="text1"/>
                <w:highlight w:val="none"/>
                <w14:textFill>
                  <w14:solidFill>
                    <w14:schemeClr w14:val="tx1"/>
                  </w14:solidFill>
                </w14:textFill>
              </w:rPr>
              <w:t>包含调漆、喷漆、流平、烘干、固化工序</w:t>
            </w:r>
            <w:r>
              <w:rPr>
                <w:rFonts w:hint="eastAsia"/>
                <w:color w:val="000000" w:themeColor="text1"/>
                <w:highlight w:val="none"/>
                <w14:textFill>
                  <w14:solidFill>
                    <w14:schemeClr w14:val="tx1"/>
                  </w14:solidFill>
                </w14:textFill>
              </w:rPr>
              <w:t>，产生的废气污染物为漆雾和有机废气。</w:t>
            </w:r>
          </w:p>
          <w:p w14:paraId="5461E9F8">
            <w:pPr>
              <w:pStyle w:val="158"/>
              <w:wordWrap w:val="0"/>
              <w:topLinePunct/>
              <w:snapToGrid/>
              <w:ind w:firstLine="480"/>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漆雾</w:t>
            </w:r>
          </w:p>
          <w:p w14:paraId="6CF964E7">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本项目铝单板喷漆过程中会产生漆雾（颗粒物）。</w:t>
            </w:r>
          </w:p>
          <w:p w14:paraId="743D96A2">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根据《环境保护产品技术要求—工业粉尘湿式除尘装置》（HJ/T285-2006）的要求，</w:t>
            </w:r>
            <w:r>
              <w:rPr>
                <w:rFonts w:hint="eastAsia"/>
                <w:color w:val="000000" w:themeColor="text1"/>
                <w:highlight w:val="none"/>
                <w:lang w:eastAsia="zh-CN"/>
                <w14:textFill>
                  <w14:solidFill>
                    <w14:schemeClr w14:val="tx1"/>
                  </w14:solidFill>
                </w14:textFill>
              </w:rPr>
              <w:t>水帘柜</w:t>
            </w:r>
            <w:r>
              <w:rPr>
                <w:color w:val="000000" w:themeColor="text1"/>
                <w:highlight w:val="none"/>
                <w14:textFill>
                  <w14:solidFill>
                    <w14:schemeClr w14:val="tx1"/>
                  </w14:solidFill>
                </w14:textFill>
              </w:rPr>
              <w:t>、喷淋塔属于以喷淋、冲激、水膜为原理类的第Ⅰ类湿式除尘装置，处理效率应不低于80%，本次评价取80%。</w:t>
            </w:r>
            <w:r>
              <w:rPr>
                <w:color w:val="000000" w:themeColor="text1"/>
                <w:kern w:val="0"/>
                <w:highlight w:val="none"/>
                <w14:textFill>
                  <w14:solidFill>
                    <w14:schemeClr w14:val="tx1"/>
                  </w14:solidFill>
                </w14:textFill>
              </w:rPr>
              <w:t>干式过滤</w:t>
            </w:r>
            <w:r>
              <w:rPr>
                <w:color w:val="000000" w:themeColor="text1"/>
                <w:highlight w:val="none"/>
                <w14:textFill>
                  <w14:solidFill>
                    <w14:schemeClr w14:val="tx1"/>
                  </w14:solidFill>
                </w14:textFill>
              </w:rPr>
              <w:t>采用多层化学纤维过滤棉，去除漆雾，并进行气水分离。根据《广东省表面涂装（汽车制造业）挥发性有机废气治理技术指南》，干式漆雾捕集系统（过滤棉、无纺布、石灰石为滤料、静电漆雾捕集装置）对漆雾的处理效率可达95%以上，本次评价取95%。综上</w:t>
            </w:r>
            <w:r>
              <w:rPr>
                <w:color w:val="000000" w:themeColor="text1"/>
                <w:kern w:val="0"/>
                <w:highlight w:val="none"/>
                <w14:textFill>
                  <w14:solidFill>
                    <w14:schemeClr w14:val="tx1"/>
                  </w14:solidFill>
                </w14:textFill>
              </w:rPr>
              <w:t>，</w:t>
            </w:r>
            <w:r>
              <w:rPr>
                <w:color w:val="000000" w:themeColor="text1"/>
                <w:highlight w:val="none"/>
                <w14:textFill>
                  <w14:solidFill>
                    <w14:schemeClr w14:val="tx1"/>
                  </w14:solidFill>
                </w14:textFill>
              </w:rPr>
              <w:t>漆雾的</w:t>
            </w:r>
            <w:r>
              <w:rPr>
                <w:color w:val="000000" w:themeColor="text1"/>
                <w:kern w:val="0"/>
                <w:highlight w:val="none"/>
                <w14:textFill>
                  <w14:solidFill>
                    <w14:schemeClr w14:val="tx1"/>
                  </w14:solidFill>
                </w14:textFill>
              </w:rPr>
              <w:t>综合治理效率η=1-（1-80%）</w:t>
            </w:r>
            <w:r>
              <w:rPr>
                <w:color w:val="000000" w:themeColor="text1"/>
                <w:highlight w:val="none"/>
                <w14:textFill>
                  <w14:solidFill>
                    <w14:schemeClr w14:val="tx1"/>
                  </w14:solidFill>
                </w14:textFill>
              </w:rPr>
              <w:t>×</w:t>
            </w:r>
            <w:r>
              <w:rPr>
                <w:color w:val="000000" w:themeColor="text1"/>
                <w:kern w:val="0"/>
                <w:highlight w:val="none"/>
                <w14:textFill>
                  <w14:solidFill>
                    <w14:schemeClr w14:val="tx1"/>
                  </w14:solidFill>
                </w14:textFill>
              </w:rPr>
              <w:t>（1-80%）</w:t>
            </w:r>
            <w:r>
              <w:rPr>
                <w:color w:val="000000" w:themeColor="text1"/>
                <w:highlight w:val="none"/>
                <w14:textFill>
                  <w14:solidFill>
                    <w14:schemeClr w14:val="tx1"/>
                  </w14:solidFill>
                </w14:textFill>
              </w:rPr>
              <w:t>×</w:t>
            </w:r>
            <w:r>
              <w:rPr>
                <w:color w:val="000000" w:themeColor="text1"/>
                <w:kern w:val="0"/>
                <w:highlight w:val="none"/>
                <w14:textFill>
                  <w14:solidFill>
                    <w14:schemeClr w14:val="tx1"/>
                  </w14:solidFill>
                </w14:textFill>
              </w:rPr>
              <w:t>（1-95%）×</w:t>
            </w:r>
            <w:r>
              <w:rPr>
                <w:color w:val="000000" w:themeColor="text1"/>
                <w:highlight w:val="none"/>
                <w14:textFill>
                  <w14:solidFill>
                    <w14:schemeClr w14:val="tx1"/>
                  </w14:solidFill>
                </w14:textFill>
              </w:rPr>
              <w:t>100%</w:t>
            </w:r>
            <w:r>
              <w:rPr>
                <w:color w:val="000000" w:themeColor="text1"/>
                <w:kern w:val="0"/>
                <w:highlight w:val="none"/>
                <w14:textFill>
                  <w14:solidFill>
                    <w14:schemeClr w14:val="tx1"/>
                  </w14:solidFill>
                </w14:textFill>
              </w:rPr>
              <w:t>=99.8%</w:t>
            </w:r>
            <w:r>
              <w:rPr>
                <w:rFonts w:hint="eastAsia"/>
                <w:color w:val="000000" w:themeColor="text1"/>
                <w:kern w:val="0"/>
                <w:highlight w:val="none"/>
                <w:lang w:eastAsia="zh-CN"/>
                <w14:textFill>
                  <w14:solidFill>
                    <w14:schemeClr w14:val="tx1"/>
                  </w14:solidFill>
                </w14:textFill>
              </w:rPr>
              <w:t>，本环评保守取值</w:t>
            </w:r>
            <w:r>
              <w:rPr>
                <w:rFonts w:hint="eastAsia"/>
                <w:color w:val="000000" w:themeColor="text1"/>
                <w:kern w:val="0"/>
                <w:highlight w:val="none"/>
                <w:lang w:val="en-US" w:eastAsia="zh-CN"/>
                <w14:textFill>
                  <w14:solidFill>
                    <w14:schemeClr w14:val="tx1"/>
                  </w14:solidFill>
                </w14:textFill>
              </w:rPr>
              <w:t>99%</w:t>
            </w:r>
            <w:r>
              <w:rPr>
                <w:color w:val="000000" w:themeColor="text1"/>
                <w:kern w:val="0"/>
                <w:highlight w:val="none"/>
                <w14:textFill>
                  <w14:solidFill>
                    <w14:schemeClr w14:val="tx1"/>
                  </w14:solidFill>
                </w14:textFill>
              </w:rPr>
              <w:t>。</w:t>
            </w:r>
            <w:r>
              <w:rPr>
                <w:rFonts w:hint="eastAsia"/>
                <w:color w:val="000000" w:themeColor="text1"/>
                <w:highlight w:val="none"/>
                <w14:textFill>
                  <w14:solidFill>
                    <w14:schemeClr w14:val="tx1"/>
                  </w14:solidFill>
                </w14:textFill>
              </w:rPr>
              <w:t>收集效率取90%</w:t>
            </w:r>
            <w:r>
              <w:rPr>
                <w:color w:val="000000" w:themeColor="text1"/>
                <w:highlight w:val="none"/>
                <w14:textFill>
                  <w14:solidFill>
                    <w14:schemeClr w14:val="tx1"/>
                  </w14:solidFill>
                </w14:textFill>
              </w:rPr>
              <w:t>。漆雾经以上废气治理设施收集处理后形成漆渣，收集后作为危废处理。</w:t>
            </w:r>
          </w:p>
          <w:p w14:paraId="3AFC1ADD">
            <w:pPr>
              <w:pStyle w:val="158"/>
              <w:wordWrap w:val="0"/>
              <w:topLinePunct/>
              <w:snapToGrid/>
              <w:spacing w:line="240" w:lineRule="auto"/>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表</w:t>
            </w:r>
            <w:r>
              <w:rPr>
                <w:rFonts w:hint="eastAsia"/>
                <w:b/>
                <w:bCs/>
                <w:color w:val="000000" w:themeColor="text1"/>
                <w:sz w:val="21"/>
                <w:szCs w:val="21"/>
                <w:highlight w:val="none"/>
                <w:lang w:val="en-US" w:eastAsia="zh-CN"/>
                <w14:textFill>
                  <w14:solidFill>
                    <w14:schemeClr w14:val="tx1"/>
                  </w14:solidFill>
                </w14:textFill>
              </w:rPr>
              <w:t xml:space="preserve">4-14  </w:t>
            </w:r>
            <w:r>
              <w:rPr>
                <w:b/>
                <w:bCs/>
                <w:color w:val="000000" w:themeColor="text1"/>
                <w:sz w:val="21"/>
                <w:szCs w:val="21"/>
                <w:highlight w:val="none"/>
                <w14:textFill>
                  <w14:solidFill>
                    <w14:schemeClr w14:val="tx1"/>
                  </w14:solidFill>
                </w14:textFill>
              </w:rPr>
              <w:t xml:space="preserve"> 项目漆雾</w:t>
            </w:r>
            <w:r>
              <w:rPr>
                <w:rFonts w:hint="eastAsia"/>
                <w:b/>
                <w:bCs/>
                <w:color w:val="000000" w:themeColor="text1"/>
                <w:sz w:val="21"/>
                <w:szCs w:val="21"/>
                <w:highlight w:val="none"/>
                <w14:textFill>
                  <w14:solidFill>
                    <w14:schemeClr w14:val="tx1"/>
                  </w14:solidFill>
                </w14:textFill>
              </w:rPr>
              <w:t>产排</w:t>
            </w:r>
            <w:r>
              <w:rPr>
                <w:b/>
                <w:bCs/>
                <w:color w:val="000000" w:themeColor="text1"/>
                <w:sz w:val="21"/>
                <w:szCs w:val="21"/>
                <w:highlight w:val="none"/>
                <w14:textFill>
                  <w14:solidFill>
                    <w14:schemeClr w14:val="tx1"/>
                  </w14:solidFill>
                </w14:textFill>
              </w:rPr>
              <w:t>核算表</w:t>
            </w:r>
          </w:p>
          <w:tbl>
            <w:tblPr>
              <w:tblStyle w:val="44"/>
              <w:tblW w:w="497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66"/>
              <w:gridCol w:w="843"/>
              <w:gridCol w:w="989"/>
              <w:gridCol w:w="699"/>
              <w:gridCol w:w="924"/>
              <w:gridCol w:w="746"/>
              <w:gridCol w:w="991"/>
              <w:gridCol w:w="879"/>
              <w:gridCol w:w="802"/>
              <w:gridCol w:w="726"/>
            </w:tblGrid>
            <w:tr w14:paraId="4471F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7"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14:paraId="0BD0776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原料名称</w:t>
                  </w:r>
                </w:p>
              </w:tc>
              <w:tc>
                <w:tcPr>
                  <w:tcW w:w="512" w:type="pct"/>
                  <w:tcBorders>
                    <w:top w:val="single" w:color="000000" w:sz="4" w:space="0"/>
                    <w:left w:val="single" w:color="000000" w:sz="4" w:space="0"/>
                    <w:bottom w:val="single" w:color="000000" w:sz="4" w:space="0"/>
                    <w:right w:val="single" w:color="000000" w:sz="4" w:space="0"/>
                  </w:tcBorders>
                  <w:noWrap w:val="0"/>
                  <w:vAlign w:val="center"/>
                </w:tcPr>
                <w:p w14:paraId="07DA2C5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年用量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c>
                <w:tcPr>
                  <w:tcW w:w="599" w:type="pct"/>
                  <w:tcBorders>
                    <w:top w:val="single" w:color="000000" w:sz="4" w:space="0"/>
                    <w:left w:val="single" w:color="000000" w:sz="4" w:space="0"/>
                    <w:bottom w:val="single" w:color="000000" w:sz="4" w:space="0"/>
                    <w:right w:val="single" w:color="000000" w:sz="4" w:space="0"/>
                  </w:tcBorders>
                  <w:noWrap w:val="0"/>
                  <w:vAlign w:val="center"/>
                </w:tcPr>
                <w:p w14:paraId="2DD63E09">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固含量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EB104B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漆料中固体份</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D6F0BF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漆雾占比</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FB18E27">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漆雾量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c>
                <w:tcPr>
                  <w:tcW w:w="577" w:type="pct"/>
                  <w:tcBorders>
                    <w:top w:val="single" w:color="000000" w:sz="4" w:space="0"/>
                    <w:left w:val="single" w:color="000000" w:sz="4" w:space="0"/>
                    <w:bottom w:val="single" w:color="000000" w:sz="4" w:space="0"/>
                    <w:right w:val="single" w:color="000000" w:sz="4" w:space="0"/>
                  </w:tcBorders>
                  <w:noWrap w:val="0"/>
                  <w:vAlign w:val="center"/>
                </w:tcPr>
                <w:p w14:paraId="5F80AFE8">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有组织漆雾产生量t/a</w:t>
                  </w:r>
                </w:p>
              </w:tc>
              <w:tc>
                <w:tcPr>
                  <w:tcW w:w="512" w:type="pct"/>
                  <w:tcBorders>
                    <w:top w:val="single" w:color="000000" w:sz="4" w:space="0"/>
                    <w:left w:val="single" w:color="000000" w:sz="4" w:space="0"/>
                    <w:bottom w:val="single" w:color="000000" w:sz="4" w:space="0"/>
                    <w:right w:val="single" w:color="000000" w:sz="4" w:space="0"/>
                  </w:tcBorders>
                  <w:noWrap w:val="0"/>
                  <w:vAlign w:val="center"/>
                </w:tcPr>
                <w:p w14:paraId="2FC440B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有组织漆雾排放量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49254A9">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漆渣产生量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14:paraId="6AF26A4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无组织漆雾产生量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p>
              </w:tc>
            </w:tr>
            <w:tr w14:paraId="58859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43A0367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底漆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602830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2.539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82C6F3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69.29%</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01567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1.760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6583A2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564E8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0.7038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28A545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0.6334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C5813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0.0063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214906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0.6271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759BB1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0.0070 </w:t>
                  </w:r>
                </w:p>
              </w:tc>
            </w:tr>
            <w:tr w14:paraId="78BF4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3D8007A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面漆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699C8E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3.890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DEAFDD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57.81%</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3A7B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2.249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174773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FF18C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0.8996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122778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0.8097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165530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0.0081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657D12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0.8016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004795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0.0090 </w:t>
                  </w:r>
                </w:p>
              </w:tc>
            </w:tr>
            <w:tr w14:paraId="2982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7C27E60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清漆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ECB9E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3.218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2D09D1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65.61%</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D0C5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2.111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607376C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514E1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0.8446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337484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0.7601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2317C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0.0076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1DEC2A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0.7525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7B4777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0.0084 </w:t>
                  </w:r>
                </w:p>
              </w:tc>
            </w:tr>
            <w:tr w14:paraId="32B2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trPr>
              <w:tc>
                <w:tcPr>
                  <w:tcW w:w="4405" w:type="dxa"/>
                  <w:gridSpan w:val="5"/>
                  <w:tcBorders>
                    <w:top w:val="single" w:color="000000" w:sz="4" w:space="0"/>
                    <w:left w:val="single" w:color="000000" w:sz="4" w:space="0"/>
                    <w:bottom w:val="single" w:color="000000" w:sz="4" w:space="0"/>
                    <w:right w:val="single" w:color="000000" w:sz="4" w:space="0"/>
                  </w:tcBorders>
                  <w:noWrap w:val="0"/>
                  <w:vAlign w:val="center"/>
                </w:tcPr>
                <w:p w14:paraId="47F01DB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497C3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2.448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E5639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2.203 </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3907F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0.022 </w:t>
                  </w:r>
                </w:p>
              </w:tc>
              <w:tc>
                <w:tcPr>
                  <w:tcW w:w="802" w:type="dxa"/>
                  <w:tcBorders>
                    <w:top w:val="single" w:color="000000" w:sz="4" w:space="0"/>
                    <w:left w:val="single" w:color="000000" w:sz="4" w:space="0"/>
                    <w:bottom w:val="single" w:color="000000" w:sz="4" w:space="0"/>
                    <w:right w:val="single" w:color="000000" w:sz="4" w:space="0"/>
                  </w:tcBorders>
                  <w:noWrap w:val="0"/>
                  <w:vAlign w:val="center"/>
                </w:tcPr>
                <w:p w14:paraId="74FFD94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2.181 </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2EBE66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0.024 </w:t>
                  </w:r>
                </w:p>
              </w:tc>
            </w:tr>
          </w:tbl>
          <w:p w14:paraId="2E31079F">
            <w:pPr>
              <w:pStyle w:val="158"/>
              <w:wordWrap w:val="0"/>
              <w:topLinePunct/>
              <w:snapToGrid/>
              <w:ind w:firstLine="480"/>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②</w:t>
            </w:r>
            <w:r>
              <w:rPr>
                <w:rFonts w:hint="eastAsia"/>
                <w:color w:val="000000" w:themeColor="text1"/>
                <w:highlight w:val="none"/>
                <w14:textFill>
                  <w14:solidFill>
                    <w14:schemeClr w14:val="tx1"/>
                  </w14:solidFill>
                </w14:textFill>
              </w:rPr>
              <w:t>有机废气</w:t>
            </w:r>
          </w:p>
          <w:p w14:paraId="444F5D41">
            <w:pPr>
              <w:pStyle w:val="158"/>
              <w:pageBreakBefore w:val="0"/>
              <w:wordWrap w:val="0"/>
              <w:topLinePunct/>
              <w:bidi w:val="0"/>
              <w:snapToGrid/>
              <w:spacing w:beforeAutospacing="0" w:afterAutospacing="0"/>
              <w:ind w:firstLine="480"/>
              <w:rPr>
                <w:rFonts w:hint="eastAsia"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本项目调配</w:t>
            </w:r>
            <w:r>
              <w:rPr>
                <w:rFonts w:hint="eastAsia" w:cs="Times New Roman"/>
                <w:color w:val="000000" w:themeColor="text1"/>
                <w:highlight w:val="none"/>
                <w:lang w:val="en-US" w:eastAsia="zh-CN"/>
                <w14:textFill>
                  <w14:solidFill>
                    <w14:schemeClr w14:val="tx1"/>
                  </w14:solidFill>
                </w14:textFill>
              </w:rPr>
              <w:t>后</w:t>
            </w:r>
            <w:r>
              <w:rPr>
                <w:rFonts w:hint="eastAsia" w:ascii="Times New Roman" w:hAnsi="Times New Roman" w:cs="Times New Roman"/>
                <w:color w:val="000000" w:themeColor="text1"/>
                <w:highlight w:val="none"/>
                <w:lang w:val="en-US" w:eastAsia="zh-CN"/>
                <w14:textFill>
                  <w14:solidFill>
                    <w14:schemeClr w14:val="tx1"/>
                  </w14:solidFill>
                </w14:textFill>
              </w:rPr>
              <w:t>漆</w:t>
            </w:r>
            <w:r>
              <w:rPr>
                <w:rFonts w:hint="eastAsia" w:cs="Times New Roman"/>
                <w:color w:val="000000" w:themeColor="text1"/>
                <w:highlight w:val="none"/>
                <w:lang w:val="en-US" w:eastAsia="zh-CN"/>
                <w14:textFill>
                  <w14:solidFill>
                    <w14:schemeClr w14:val="tx1"/>
                  </w14:solidFill>
                </w14:textFill>
              </w:rPr>
              <w:t>料</w:t>
            </w:r>
            <w:r>
              <w:rPr>
                <w:rFonts w:hint="default" w:ascii="Times New Roman" w:hAnsi="Times New Roman" w:cs="Times New Roman"/>
                <w:color w:val="000000" w:themeColor="text1"/>
                <w:highlight w:val="none"/>
                <w14:textFill>
                  <w14:solidFill>
                    <w14:schemeClr w14:val="tx1"/>
                  </w14:solidFill>
                </w14:textFill>
              </w:rPr>
              <w:t>涂料合计用量为</w:t>
            </w:r>
            <w:r>
              <w:rPr>
                <w:rFonts w:hint="eastAsia" w:cs="Times New Roman"/>
                <w:color w:val="000000" w:themeColor="text1"/>
                <w:highlight w:val="none"/>
                <w:lang w:val="en-US" w:eastAsia="zh-CN"/>
                <w14:textFill>
                  <w14:solidFill>
                    <w14:schemeClr w14:val="tx1"/>
                  </w14:solidFill>
                </w14:textFill>
              </w:rPr>
              <w:t>9.648</w:t>
            </w:r>
            <w:r>
              <w:rPr>
                <w:rFonts w:hint="default" w:ascii="Times New Roman" w:hAnsi="Times New Roman" w:cs="Times New Roman"/>
                <w:color w:val="000000" w:themeColor="text1"/>
                <w:highlight w:val="none"/>
                <w14:textFill>
                  <w14:solidFill>
                    <w14:schemeClr w14:val="tx1"/>
                  </w14:solidFill>
                </w14:textFill>
              </w:rPr>
              <w:t>t/a</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根据前文计算VOCs</w:t>
            </w:r>
            <w:r>
              <w:rPr>
                <w:rFonts w:hint="eastAsia" w:cs="Times New Roman"/>
                <w:color w:val="000000" w:themeColor="text1"/>
                <w:highlight w:val="none"/>
                <w:lang w:val="en-US" w:eastAsia="zh-CN"/>
                <w14:textFill>
                  <w14:solidFill>
                    <w14:schemeClr w14:val="tx1"/>
                  </w14:solidFill>
                </w14:textFill>
              </w:rPr>
              <w:t>总</w:t>
            </w:r>
            <w:r>
              <w:rPr>
                <w:rFonts w:hint="eastAsia" w:ascii="Times New Roman" w:hAnsi="Times New Roman" w:cs="Times New Roman"/>
                <w:color w:val="000000" w:themeColor="text1"/>
                <w:highlight w:val="none"/>
                <w:lang w:val="en-US" w:eastAsia="zh-CN"/>
                <w14:textFill>
                  <w14:solidFill>
                    <w14:schemeClr w14:val="tx1"/>
                  </w14:solidFill>
                </w14:textFill>
              </w:rPr>
              <w:t>产生量为</w:t>
            </w:r>
            <w:r>
              <w:rPr>
                <w:rFonts w:hint="eastAsia" w:cs="Times New Roman"/>
                <w:color w:val="000000" w:themeColor="text1"/>
                <w:highlight w:val="none"/>
                <w:lang w:val="en-US" w:eastAsia="zh-CN"/>
                <w14:textFill>
                  <w14:solidFill>
                    <w14:schemeClr w14:val="tx1"/>
                  </w14:solidFill>
                </w14:textFill>
              </w:rPr>
              <w:t>0.5491+0.9929+0.6871+1.2990+0.0451+0.1317=</w:t>
            </w:r>
            <w:r>
              <w:rPr>
                <w:rFonts w:hint="eastAsia" w:ascii="Times New Roman" w:hAnsi="Times New Roman"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.702</w:t>
            </w:r>
            <w:r>
              <w:rPr>
                <w:rFonts w:hint="eastAsia" w:ascii="Times New Roman" w:hAnsi="Times New Roman" w:cs="Times New Roman"/>
                <w:color w:val="000000" w:themeColor="text1"/>
                <w:highlight w:val="none"/>
                <w:lang w:val="en-US" w:eastAsia="zh-CN"/>
                <w14:textFill>
                  <w14:solidFill>
                    <w14:schemeClr w14:val="tx1"/>
                  </w14:solidFill>
                </w14:textFill>
              </w:rPr>
              <w:t>t/a</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参照《污染源源强核算技术指南 汽车制造》（HJ 1097-2020）中附录E（资料性附录）-溶剂型涂料喷涂-空气喷涂-零部件喷涂-物料中挥发性有机物挥发量占比-喷涂75%、流平15%、烘干10%，本项目油漆喷漆和流平工序的挥发性有机物含量（合计为90%）进入喷漆废气设施处理，油漆中挥发性有机物含量10%进入固化废气处理设施处理。</w:t>
            </w:r>
            <w:r>
              <w:rPr>
                <w:rFonts w:hint="default" w:ascii="Times New Roman" w:hAnsi="Times New Roman" w:cs="Times New Roman"/>
                <w:color w:val="000000" w:themeColor="text1"/>
                <w:highlight w:val="none"/>
                <w14:textFill>
                  <w14:solidFill>
                    <w14:schemeClr w14:val="tx1"/>
                  </w14:solidFill>
                </w14:textFill>
              </w:rPr>
              <w:t>根据</w:t>
            </w:r>
            <w:r>
              <w:rPr>
                <w:rFonts w:hint="eastAsia" w:ascii="Times New Roman" w:hAnsi="Times New Roman" w:cs="Times New Roman"/>
                <w:color w:val="000000" w:themeColor="text1"/>
                <w:highlight w:val="none"/>
                <w:lang w:val="en-US" w:eastAsia="zh-CN"/>
                <w14:textFill>
                  <w14:solidFill>
                    <w14:schemeClr w14:val="tx1"/>
                  </w14:solidFill>
                </w14:textFill>
              </w:rPr>
              <w:t>物料</w:t>
            </w:r>
            <w:r>
              <w:rPr>
                <w:rFonts w:hint="default" w:ascii="Times New Roman" w:hAnsi="Times New Roman" w:cs="Times New Roman"/>
                <w:color w:val="000000" w:themeColor="text1"/>
                <w:highlight w:val="none"/>
                <w14:textFill>
                  <w14:solidFill>
                    <w14:schemeClr w14:val="tx1"/>
                  </w14:solidFill>
                </w14:textFill>
              </w:rPr>
              <w:t>MSDS可知，</w:t>
            </w:r>
            <w:r>
              <w:rPr>
                <w:rFonts w:hint="eastAsia" w:cs="Times New Roman"/>
                <w:color w:val="000000" w:themeColor="text1"/>
                <w:highlight w:val="none"/>
                <w:lang w:val="en-US" w:eastAsia="zh-CN"/>
                <w14:textFill>
                  <w14:solidFill>
                    <w14:schemeClr w14:val="tx1"/>
                  </w14:solidFill>
                </w14:textFill>
              </w:rPr>
              <w:t>稀释剂、</w:t>
            </w:r>
            <w:r>
              <w:rPr>
                <w:rFonts w:hint="eastAsia" w:ascii="Times New Roman" w:hAnsi="Times New Roman" w:cs="Times New Roman"/>
                <w:color w:val="000000" w:themeColor="text1"/>
                <w:highlight w:val="none"/>
                <w:lang w:val="en-US" w:eastAsia="zh-CN"/>
                <w14:textFill>
                  <w14:solidFill>
                    <w14:schemeClr w14:val="tx1"/>
                  </w14:solidFill>
                </w14:textFill>
              </w:rPr>
              <w:t>底漆、面漆和清漆</w:t>
            </w:r>
            <w:r>
              <w:rPr>
                <w:rFonts w:hint="default" w:ascii="Times New Roman" w:hAnsi="Times New Roman" w:cs="Times New Roman"/>
                <w:color w:val="000000" w:themeColor="text1"/>
                <w:highlight w:val="none"/>
                <w14:textFill>
                  <w14:solidFill>
                    <w14:schemeClr w14:val="tx1"/>
                  </w14:solidFill>
                </w14:textFill>
              </w:rPr>
              <w:t>包含二甲苯</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其中</w:t>
            </w:r>
            <w:r>
              <w:rPr>
                <w:rFonts w:hint="default" w:ascii="Times New Roman" w:hAnsi="Times New Roman" w:cs="Times New Roman"/>
                <w:color w:val="000000" w:themeColor="text1"/>
                <w:highlight w:val="none"/>
                <w14:textFill>
                  <w14:solidFill>
                    <w14:schemeClr w14:val="tx1"/>
                  </w14:solidFill>
                </w14:textFill>
              </w:rPr>
              <w:t>二甲苯成分占比</w:t>
            </w:r>
            <w:r>
              <w:rPr>
                <w:rFonts w:hint="eastAsia" w:ascii="Times New Roman" w:hAnsi="Times New Roman" w:cs="Times New Roman"/>
                <w:color w:val="000000" w:themeColor="text1"/>
                <w:highlight w:val="none"/>
                <w:lang w:val="en-US" w:eastAsia="zh-CN"/>
                <w14:textFill>
                  <w14:solidFill>
                    <w14:schemeClr w14:val="tx1"/>
                  </w14:solidFill>
                </w14:textFill>
              </w:rPr>
              <w:t>分别为</w:t>
            </w:r>
            <w:r>
              <w:rPr>
                <w:rFonts w:hint="eastAsia" w:cs="Times New Roman"/>
                <w:color w:val="000000" w:themeColor="text1"/>
                <w:highlight w:val="none"/>
                <w:lang w:val="en-US" w:eastAsia="zh-CN"/>
                <w14:textFill>
                  <w14:solidFill>
                    <w14:schemeClr w14:val="tx1"/>
                  </w14:solidFill>
                </w14:textFill>
              </w:rPr>
              <w:t>70%、10</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11</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8.6</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w:t>
            </w:r>
          </w:p>
          <w:p w14:paraId="1D92E740">
            <w:pPr>
              <w:pStyle w:val="158"/>
              <w:pageBreakBefore w:val="0"/>
              <w:wordWrap w:val="0"/>
              <w:topLinePunct/>
              <w:bidi w:val="0"/>
              <w:snapToGrid/>
              <w:spacing w:beforeAutospacing="0" w:afterAutospacing="0"/>
              <w:ind w:firstLine="48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油漆中VOCs90%在喷漆流平工序挥发，剩余10%在固化工序挥发，且该喷枪清洗剂以50%进入VOCs废气计，另50%进入喷枪废液。则喷漆房VOCs产生量为（0.5491+0.9929+0.6871）×0.9+1.2990+0.0419=3.3471t/a，喷漆房苯系物产生量为(0.2309+0.3566+0.2407)×0.9+0.9093=1.6547t</w:t>
            </w:r>
            <w:r>
              <w:rPr>
                <w:rFonts w:hint="default" w:ascii="Times New Roman" w:hAnsi="Times New Roman" w:cs="Times New Roman"/>
                <w:color w:val="000000" w:themeColor="text1"/>
                <w:highlight w:val="none"/>
                <w14:textFill>
                  <w14:solidFill>
                    <w14:schemeClr w14:val="tx1"/>
                  </w14:solidFill>
                </w14:textFill>
              </w:rPr>
              <w:t>/a</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固化工序：VOCs</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0.5491+0.9929+0.6871）×0.1+0.1317=0.3546t/a</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苯系物(0.2309+0.3566+0.2407)×0.1=0.0828t/a。</w:t>
            </w:r>
          </w:p>
          <w:p w14:paraId="7D9FECE8">
            <w:pPr>
              <w:pStyle w:val="158"/>
              <w:wordWrap w:val="0"/>
              <w:topLinePunct/>
              <w:snapToGrid/>
              <w:spacing w:line="240" w:lineRule="auto"/>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表</w:t>
            </w:r>
            <w:r>
              <w:rPr>
                <w:rFonts w:hint="eastAsia"/>
                <w:b/>
                <w:bCs/>
                <w:color w:val="000000" w:themeColor="text1"/>
                <w:sz w:val="21"/>
                <w:szCs w:val="21"/>
                <w:highlight w:val="none"/>
                <w:lang w:val="en-US" w:eastAsia="zh-CN"/>
                <w14:textFill>
                  <w14:solidFill>
                    <w14:schemeClr w14:val="tx1"/>
                  </w14:solidFill>
                </w14:textFill>
              </w:rPr>
              <w:t xml:space="preserve">4-15  </w:t>
            </w:r>
            <w:r>
              <w:rPr>
                <w:b/>
                <w:bCs/>
                <w:color w:val="000000" w:themeColor="text1"/>
                <w:sz w:val="21"/>
                <w:szCs w:val="21"/>
                <w:highlight w:val="none"/>
                <w14:textFill>
                  <w14:solidFill>
                    <w14:schemeClr w14:val="tx1"/>
                  </w14:solidFill>
                </w14:textFill>
              </w:rPr>
              <w:t xml:space="preserve"> 项目</w:t>
            </w:r>
            <w:r>
              <w:rPr>
                <w:rFonts w:hint="eastAsia"/>
                <w:b/>
                <w:bCs/>
                <w:color w:val="000000" w:themeColor="text1"/>
                <w:sz w:val="21"/>
                <w:szCs w:val="21"/>
                <w:highlight w:val="none"/>
                <w:lang w:val="en-US" w:eastAsia="zh-CN"/>
                <w14:textFill>
                  <w14:solidFill>
                    <w14:schemeClr w14:val="tx1"/>
                  </w14:solidFill>
                </w14:textFill>
              </w:rPr>
              <w:t>VOCs</w:t>
            </w:r>
            <w:r>
              <w:rPr>
                <w:rFonts w:hint="eastAsia"/>
                <w:b/>
                <w:bCs/>
                <w:color w:val="000000" w:themeColor="text1"/>
                <w:sz w:val="21"/>
                <w:szCs w:val="21"/>
                <w:highlight w:val="none"/>
                <w14:textFill>
                  <w14:solidFill>
                    <w14:schemeClr w14:val="tx1"/>
                  </w14:solidFill>
                </w14:textFill>
              </w:rPr>
              <w:t>产</w:t>
            </w:r>
            <w:r>
              <w:rPr>
                <w:rFonts w:hint="eastAsia"/>
                <w:b/>
                <w:bCs/>
                <w:color w:val="000000" w:themeColor="text1"/>
                <w:sz w:val="21"/>
                <w:szCs w:val="21"/>
                <w:highlight w:val="none"/>
                <w:lang w:val="en-US" w:eastAsia="zh-CN"/>
                <w14:textFill>
                  <w14:solidFill>
                    <w14:schemeClr w14:val="tx1"/>
                  </w14:solidFill>
                </w14:textFill>
              </w:rPr>
              <w:t>生情况一览表</w:t>
            </w:r>
          </w:p>
          <w:tbl>
            <w:tblPr>
              <w:tblStyle w:val="44"/>
              <w:tblW w:w="830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3"/>
              <w:gridCol w:w="959"/>
              <w:gridCol w:w="1227"/>
              <w:gridCol w:w="1244"/>
              <w:gridCol w:w="1201"/>
              <w:gridCol w:w="1201"/>
              <w:gridCol w:w="1201"/>
            </w:tblGrid>
            <w:tr w14:paraId="364BC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2C08">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漆种类</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DC0A">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底漆</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567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面漆</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5F0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清漆</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2654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配漆稀释剂</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D126">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喷枪清洗剂</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507A">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粉末涂料</w:t>
                  </w:r>
                </w:p>
              </w:tc>
            </w:tr>
            <w:tr w14:paraId="3891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3A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用量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7C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2.309 </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81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3.242 </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2E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2.798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75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1.299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4D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0.084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B07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109.755 </w:t>
                  </w:r>
                </w:p>
              </w:tc>
            </w:tr>
            <w:tr w14:paraId="509C8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FB7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密度</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g/cm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89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1.173</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D9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1.071</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10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1.173</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2B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0.892</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E4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0.828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06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5E811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28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VOCs</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含量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FC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23.7852%</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59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30.6256%</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D9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24.5524%</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AB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60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A5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1.2kg/t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粉末涂料</w:t>
                  </w:r>
                </w:p>
              </w:tc>
            </w:tr>
            <w:tr w14:paraId="2F73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B0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VOCs</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产生量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8C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0.5491 </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70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0.9929 </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2E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0.6871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151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1.2990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30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0.0419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3DA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0.1317 </w:t>
                  </w:r>
                </w:p>
              </w:tc>
            </w:tr>
            <w:tr w14:paraId="2A0F5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C6E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二甲苯含量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9F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11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31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CD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E132">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E95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1DEBE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471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二甲苯产生量合计</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B0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0.2309 </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5C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0.3566 </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AA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0.2407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DF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0.9093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5666">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C8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812A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AADE">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喷枪清洗剂以</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挥发计，其余</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进入危险废物</w:t>
                  </w:r>
                </w:p>
              </w:tc>
            </w:tr>
          </w:tbl>
          <w:p w14:paraId="77DA27AD">
            <w:pPr>
              <w:pStyle w:val="158"/>
              <w:pageBreakBefore w:val="0"/>
              <w:numPr>
                <w:ilvl w:val="0"/>
                <w:numId w:val="0"/>
              </w:numPr>
              <w:wordWrap w:val="0"/>
              <w:topLinePunct/>
              <w:bidi w:val="0"/>
              <w:snapToGrid/>
              <w:spacing w:beforeAutospacing="0" w:afterAutospacing="0"/>
              <w:rPr>
                <w:rFonts w:hint="default" w:ascii="Times New Roman" w:hAnsi="Times New Roman" w:cs="Times New Roman"/>
                <w:color w:val="000000" w:themeColor="text1"/>
                <w:highlight w:val="none"/>
                <w14:textFill>
                  <w14:solidFill>
                    <w14:schemeClr w14:val="tx1"/>
                  </w14:solidFill>
                </w14:textFill>
              </w:rPr>
            </w:pPr>
          </w:p>
          <w:p w14:paraId="3E0356E2">
            <w:pPr>
              <w:pStyle w:val="158"/>
              <w:pageBreakBefore w:val="0"/>
              <w:numPr>
                <w:ilvl w:val="0"/>
                <w:numId w:val="0"/>
              </w:numPr>
              <w:wordWrap w:val="0"/>
              <w:topLinePunct/>
              <w:bidi w:val="0"/>
              <w:snapToGrid/>
              <w:spacing w:beforeAutospacing="0" w:afterAutospacing="0"/>
              <w:ind w:firstLine="482"/>
              <w:rPr>
                <w:rFonts w:hint="default" w:ascii="Times New Roman" w:hAnsi="Times New Roman" w:cs="Times New Roman"/>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object>
                <v:shape id="_x0000_i1028" o:spt="75" type="#_x0000_t75" style="height:417pt;width:351pt;" o:ole="t" filled="f" o:preferrelative="t" stroked="f" coordsize="21600,21600">
                  <v:path/>
                  <v:fill on="f" focussize="0,0"/>
                  <v:stroke on="f"/>
                  <v:imagedata r:id="rId28" o:title=""/>
                  <o:lock v:ext="edit" aspectratio="f"/>
                  <w10:wrap type="none"/>
                  <w10:anchorlock/>
                </v:shape>
                <o:OLEObject Type="Embed" ProgID="Visio.Drawing.15" ShapeID="_x0000_i1028" DrawAspect="Content" ObjectID="_1468075728" r:id="rId27">
                  <o:LockedField>false</o:LockedField>
                </o:OLEObject>
              </w:object>
            </w:r>
          </w:p>
          <w:p w14:paraId="1B893E8E">
            <w:pPr>
              <w:pStyle w:val="158"/>
              <w:pageBreakBefore w:val="0"/>
              <w:numPr>
                <w:ilvl w:val="0"/>
                <w:numId w:val="0"/>
              </w:numPr>
              <w:wordWrap w:val="0"/>
              <w:topLinePunct/>
              <w:bidi w:val="0"/>
              <w:snapToGrid/>
              <w:spacing w:beforeAutospacing="0" w:afterAutospacing="0"/>
              <w:ind w:firstLine="482"/>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图4-2  VOCs产生排放平衡图</w:t>
            </w:r>
          </w:p>
          <w:p w14:paraId="4CF1BD5C">
            <w:pPr>
              <w:pStyle w:val="158"/>
              <w:pageBreakBefore w:val="0"/>
              <w:numPr>
                <w:ilvl w:val="0"/>
                <w:numId w:val="0"/>
              </w:numPr>
              <w:wordWrap w:val="0"/>
              <w:topLinePunct/>
              <w:bidi w:val="0"/>
              <w:snapToGrid/>
              <w:spacing w:beforeAutospacing="0" w:afterAutospacing="0"/>
              <w:ind w:firstLine="482"/>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根据《广东省工业源挥发性有机物减排量核算方法（2023年修订版）》（粤环函〔2023〕538 号）中“表3.3-2 废气收集集气效率参考值”的说明</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②</w:t>
            </w:r>
            <w:r>
              <w:rPr>
                <w:color w:val="000000" w:themeColor="text1"/>
                <w:highlight w:val="none"/>
                <w14:textFill>
                  <w14:solidFill>
                    <w14:schemeClr w14:val="tx1"/>
                  </w14:solidFill>
                </w14:textFill>
              </w:rPr>
              <w:t>当废气收集类型为“全密封设备/空间”，废气收集方式为“单层密闭负压”，收集情况为“VOCs产生源设置在密闭车间、密闭设备（含反应釜）、密闭管道内，所有开口处，包括人员或物料进出口处呈负压”，此时收集效率可取90%</w:t>
            </w:r>
            <w:r>
              <w:rPr>
                <w:rFonts w:hint="eastAsia"/>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项目喷漆房、流平室、调漆间和危废间均为单层密闭负压空间，收集效率为90%。</w:t>
            </w:r>
          </w:p>
          <w:p w14:paraId="493CF764">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项目喷房尺寸为</w:t>
            </w:r>
            <w:r>
              <w:rPr>
                <w:rFonts w:hint="eastAsia"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16m*5m*3.5m，流平室尺寸为13.5m*5m*3.5m，调漆间、危废间废气一同汇入喷漆废气处理设施处理。</w:t>
            </w:r>
            <w:r>
              <w:rPr>
                <w:rFonts w:hint="eastAsia" w:cs="Times New Roman"/>
                <w:i w:val="0"/>
                <w:iCs w:val="0"/>
                <w:color w:val="000000" w:themeColor="text1"/>
                <w:kern w:val="0"/>
                <w:sz w:val="24"/>
                <w:szCs w:val="24"/>
                <w:u w:val="none"/>
                <w:lang w:val="en-US" w:eastAsia="zh-CN" w:bidi="ar"/>
                <w14:textFill>
                  <w14:solidFill>
                    <w14:schemeClr w14:val="tx1"/>
                  </w14:solidFill>
                </w14:textFill>
              </w:rPr>
              <w:t>参考</w:t>
            </w:r>
            <w:r>
              <w:rPr>
                <w:color w:val="000000" w:themeColor="text1"/>
                <w:kern w:val="0"/>
                <w:highlight w:val="none"/>
                <w14:textFill>
                  <w14:solidFill>
                    <w14:schemeClr w14:val="tx1"/>
                  </w14:solidFill>
                </w14:textFill>
              </w:rPr>
              <w:t>《广东省表面涂装（汽车制造业）挥发性有机废气治理技术指南》，废气捕集率评价方法：按照车间空间体积和60次/小时换气次数计算新风量</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其余生产车间</w:t>
            </w:r>
            <w:r>
              <w:rPr>
                <w:rFonts w:hint="eastAsia"/>
                <w:color w:val="000000" w:themeColor="text1"/>
                <w:highlight w:val="none"/>
                <w:lang w:val="en-US" w:eastAsia="zh-CN"/>
                <w14:textFill>
                  <w14:solidFill>
                    <w14:schemeClr w14:val="tx1"/>
                  </w14:solidFill>
                </w14:textFill>
              </w:rPr>
              <w:t>区域</w:t>
            </w:r>
            <w:r>
              <w:rPr>
                <w:color w:val="000000" w:themeColor="text1"/>
                <w:highlight w:val="none"/>
                <w14:textFill>
                  <w14:solidFill>
                    <w14:schemeClr w14:val="tx1"/>
                  </w14:solidFill>
                </w14:textFill>
              </w:rPr>
              <w:t>按需设置集气罩，</w:t>
            </w:r>
            <w:r>
              <w:rPr>
                <w:rFonts w:hint="eastAsia"/>
                <w:color w:val="000000" w:themeColor="text1"/>
                <w:highlight w:val="none"/>
                <w:lang w:val="en-US" w:eastAsia="zh-CN"/>
                <w14:textFill>
                  <w14:solidFill>
                    <w14:schemeClr w14:val="tx1"/>
                  </w14:solidFill>
                </w14:textFill>
              </w:rPr>
              <w:t>危险废物贮存间参考</w:t>
            </w:r>
            <w:r>
              <w:rPr>
                <w:rFonts w:hint="eastAsia"/>
                <w:color w:val="000000" w:themeColor="text1"/>
                <w:highlight w:val="none"/>
                <w14:textFill>
                  <w14:solidFill>
                    <w14:schemeClr w14:val="tx1"/>
                  </w14:solidFill>
                </w14:textFill>
              </w:rPr>
              <w:t>《工业企业设计卫生标准》（GBZ 1-2010）：事故通风换气次数不宜低于12次/h</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①矩形集气罩风量计算</w:t>
            </w:r>
          </w:p>
          <w:p w14:paraId="00481ADA">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参考《简明通风设计手册》（主编：孙一坚）中矩形排风罩四周无边的排风量计算公式：</w:t>
            </w:r>
          </w:p>
          <w:p w14:paraId="12B0F900">
            <w:pPr>
              <w:pStyle w:val="158"/>
              <w:pageBreakBefore w:val="0"/>
              <w:wordWrap w:val="0"/>
              <w:topLinePunct/>
              <w:bidi w:val="0"/>
              <w:snapToGrid/>
              <w:spacing w:beforeAutospacing="0" w:afterAutospacing="0"/>
              <w:ind w:firstLine="0" w:firstLineChars="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Q=KPHVx</w:t>
            </w:r>
          </w:p>
          <w:p w14:paraId="50C386CF">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式中：Q---集气罩排风量，m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/s；</w:t>
            </w:r>
          </w:p>
          <w:p w14:paraId="14BD8C7D">
            <w:pPr>
              <w:pStyle w:val="158"/>
              <w:pageBreakBefore w:val="0"/>
              <w:wordWrap w:val="0"/>
              <w:topLinePunct/>
              <w:bidi w:val="0"/>
              <w:snapToGrid/>
              <w:spacing w:beforeAutospacing="0" w:afterAutospacing="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P---罩口的周长，m；</w:t>
            </w:r>
          </w:p>
          <w:p w14:paraId="44B6A6BB">
            <w:pPr>
              <w:pStyle w:val="158"/>
              <w:pageBreakBefore w:val="0"/>
              <w:wordWrap w:val="0"/>
              <w:topLinePunct/>
              <w:bidi w:val="0"/>
              <w:snapToGrid/>
              <w:spacing w:beforeAutospacing="0" w:afterAutospacing="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H---控制点至吸气口的距离，取0.5m；</w:t>
            </w:r>
          </w:p>
          <w:p w14:paraId="1F6DAA42">
            <w:pPr>
              <w:pStyle w:val="158"/>
              <w:pageBreakBefore w:val="0"/>
              <w:wordWrap w:val="0"/>
              <w:topLinePunct/>
              <w:bidi w:val="0"/>
              <w:snapToGrid/>
              <w:spacing w:beforeAutospacing="0" w:afterAutospacing="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V</w:t>
            </w:r>
            <w:r>
              <w:rPr>
                <w:color w:val="000000" w:themeColor="text1"/>
                <w:highlight w:val="none"/>
                <w:vertAlign w:val="subscript"/>
                <w14:textFill>
                  <w14:solidFill>
                    <w14:schemeClr w14:val="tx1"/>
                  </w14:solidFill>
                </w14:textFill>
              </w:rPr>
              <w:t>x</w:t>
            </w:r>
            <w:r>
              <w:rPr>
                <w:color w:val="000000" w:themeColor="text1"/>
                <w:highlight w:val="none"/>
                <w14:textFill>
                  <w14:solidFill>
                    <w14:schemeClr w14:val="tx1"/>
                  </w14:solidFill>
                </w14:textFill>
              </w:rPr>
              <w:t>---最小控制风速，m/s（项目污染物放散情况以缓慢的速度放散至平静的空气中，一般取0.25～0.5m/s，为保证收集效率，本项目最小控制风速取0.5m/s）；</w:t>
            </w:r>
          </w:p>
          <w:p w14:paraId="7D0922DB">
            <w:pPr>
              <w:pStyle w:val="158"/>
              <w:pageBreakBefore w:val="0"/>
              <w:wordWrap w:val="0"/>
              <w:topLinePunct/>
              <w:bidi w:val="0"/>
              <w:snapToGrid/>
              <w:spacing w:beforeAutospacing="0" w:afterAutospacing="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K---考虑沿高度分布不均匀的安全系数，通常取K=1.4。</w:t>
            </w:r>
          </w:p>
          <w:p w14:paraId="46B3335C">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②圆形排风管风量计算</w:t>
            </w:r>
          </w:p>
          <w:p w14:paraId="4ACF8624">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参考《环境工程设计手册》中圆形分管的风量计算公式：</w:t>
            </w:r>
          </w:p>
          <w:p w14:paraId="36942420">
            <w:pPr>
              <w:pStyle w:val="158"/>
              <w:pageBreakBefore w:val="0"/>
              <w:wordWrap w:val="0"/>
              <w:topLinePunct/>
              <w:bidi w:val="0"/>
              <w:snapToGrid/>
              <w:spacing w:beforeAutospacing="0" w:afterAutospacing="0"/>
              <w:ind w:firstLine="48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827530" cy="391795"/>
                  <wp:effectExtent l="0" t="0" r="1270" b="8255"/>
                  <wp:docPr id="21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50"/>
                          <pic:cNvPicPr>
                            <a:picLocks noChangeAspect="1"/>
                          </pic:cNvPicPr>
                        </pic:nvPicPr>
                        <pic:blipFill>
                          <a:blip r:embed="rId29"/>
                          <a:stretch>
                            <a:fillRect/>
                          </a:stretch>
                        </pic:blipFill>
                        <pic:spPr>
                          <a:xfrm>
                            <a:off x="0" y="0"/>
                            <a:ext cx="1827530" cy="391795"/>
                          </a:xfrm>
                          <a:prstGeom prst="rect">
                            <a:avLst/>
                          </a:prstGeom>
                          <a:noFill/>
                          <a:ln>
                            <a:noFill/>
                          </a:ln>
                        </pic:spPr>
                      </pic:pic>
                    </a:graphicData>
                  </a:graphic>
                </wp:inline>
              </w:drawing>
            </w:r>
          </w:p>
          <w:p w14:paraId="6879FEBD">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式中：L---集气罩排风量，m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/h；</w:t>
            </w:r>
          </w:p>
          <w:p w14:paraId="62F8E2C0">
            <w:pPr>
              <w:pStyle w:val="158"/>
              <w:pageBreakBefore w:val="0"/>
              <w:wordWrap w:val="0"/>
              <w:topLinePunct/>
              <w:bidi w:val="0"/>
              <w:snapToGrid/>
              <w:spacing w:beforeAutospacing="0" w:afterAutospacing="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D---分管直径，m；</w:t>
            </w:r>
          </w:p>
          <w:p w14:paraId="3917097B">
            <w:pPr>
              <w:pStyle w:val="158"/>
              <w:pageBreakBefore w:val="0"/>
              <w:wordWrap w:val="0"/>
              <w:topLinePunct/>
              <w:bidi w:val="0"/>
              <w:snapToGrid/>
              <w:spacing w:beforeAutospacing="0" w:afterAutospacing="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V---断面平均风速，m/s，本项目断面平均风速取5.34m/s。</w:t>
            </w:r>
          </w:p>
          <w:p w14:paraId="5F22A0D0">
            <w:pPr>
              <w:pStyle w:val="158"/>
              <w:pageBreakBefore w:val="0"/>
              <w:numPr>
                <w:ilvl w:val="0"/>
                <w:numId w:val="0"/>
              </w:numPr>
              <w:wordWrap w:val="0"/>
              <w:topLinePunct/>
              <w:bidi w:val="0"/>
              <w:snapToGrid/>
              <w:spacing w:beforeAutospacing="0" w:afterAutospacing="0"/>
              <w:ind w:firstLine="482"/>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喷漆废气集气设备设计参数见下表。</w:t>
            </w:r>
          </w:p>
          <w:p w14:paraId="38285315">
            <w:pPr>
              <w:pStyle w:val="158"/>
              <w:pageBreakBefore w:val="0"/>
              <w:numPr>
                <w:ilvl w:val="0"/>
                <w:numId w:val="0"/>
              </w:numPr>
              <w:wordWrap w:val="0"/>
              <w:topLinePunct/>
              <w:bidi w:val="0"/>
              <w:snapToGrid/>
              <w:spacing w:beforeAutospacing="0" w:afterAutospacing="0"/>
              <w:ind w:firstLine="482"/>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表4-1</w:t>
            </w:r>
            <w:r>
              <w:rPr>
                <w:rFonts w:hint="eastAsia" w:cs="Times New Roman"/>
                <w:b/>
                <w:bCs/>
                <w:color w:val="000000" w:themeColor="text1"/>
                <w:sz w:val="21"/>
                <w:szCs w:val="21"/>
                <w:highlight w:val="none"/>
                <w:lang w:val="en-US" w:eastAsia="zh-CN"/>
                <w14:textFill>
                  <w14:solidFill>
                    <w14:schemeClr w14:val="tx1"/>
                  </w14:solidFill>
                </w14:textFill>
              </w:rPr>
              <w:t>6</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 xml:space="preserve"> 集气设备设计参数</w:t>
            </w:r>
          </w:p>
          <w:tbl>
            <w:tblPr>
              <w:tblStyle w:val="44"/>
              <w:tblW w:w="83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83"/>
              <w:gridCol w:w="1756"/>
              <w:gridCol w:w="856"/>
              <w:gridCol w:w="1041"/>
              <w:gridCol w:w="1041"/>
              <w:gridCol w:w="1042"/>
              <w:gridCol w:w="1287"/>
            </w:tblGrid>
            <w:tr w14:paraId="1FAE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3B07782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工序</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64A4CB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尺寸</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2FA066C6">
                  <w:pPr>
                    <w:keepNext w:val="0"/>
                    <w:keepLines w:val="0"/>
                    <w:widowControl/>
                    <w:suppressLineNumbers w:val="0"/>
                    <w:jc w:val="center"/>
                    <w:textAlignment w:val="center"/>
                    <w:rPr>
                      <w:rFonts w:hint="eastAsia" w:ascii="宋体" w:hAnsi="宋体" w:eastAsia="宋体" w:cs="宋体"/>
                      <w:b/>
                      <w:bCs/>
                      <w:i w:val="0"/>
                      <w:iCs w:val="0"/>
                      <w:color w:val="000000" w:themeColor="text1"/>
                      <w:kern w:val="2"/>
                      <w:sz w:val="21"/>
                      <w:szCs w:val="21"/>
                      <w:u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体积（</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B86181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换气常数（次</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/h</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B7B9E08">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数量</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7C3B6ED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单个所需风量（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/h</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7BB59724">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整体所需风量（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/h</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r>
            <w:tr w14:paraId="38B5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33E834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底漆喷房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5513E9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8AD6B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DAB9F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42BB8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44266E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153A97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33600</w:t>
                  </w:r>
                </w:p>
              </w:tc>
            </w:tr>
            <w:tr w14:paraId="524F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54337CB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底漆流平室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5AFFB4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BF919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9C6D4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D8635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7BD6BE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B7F37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14175</w:t>
                  </w:r>
                </w:p>
              </w:tc>
            </w:tr>
            <w:tr w14:paraId="1B46C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44158D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面漆喷房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7098B7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80D30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2E9B3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1B54B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380BD9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2EDCD3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33600</w:t>
                  </w:r>
                </w:p>
              </w:tc>
            </w:tr>
            <w:tr w14:paraId="40650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7014E0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面漆流平室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21DE98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4F4E1D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20133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29459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69CAA8A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2402B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14175</w:t>
                  </w:r>
                </w:p>
              </w:tc>
            </w:tr>
            <w:tr w14:paraId="76B8D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BEB72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清漆喷房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10EC8C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3EC85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5F2BBC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6A4F3C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4D9CB7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3FE352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33600</w:t>
                  </w:r>
                </w:p>
              </w:tc>
            </w:tr>
            <w:tr w14:paraId="1C591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2FB5E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清漆流平室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A1268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B74BCF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DEFA2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04A169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3CD500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4D938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14175</w:t>
                  </w:r>
                </w:p>
              </w:tc>
            </w:tr>
            <w:tr w14:paraId="439E9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83" w:type="dxa"/>
                  <w:tcBorders>
                    <w:top w:val="single" w:color="000000" w:sz="4" w:space="0"/>
                    <w:left w:val="single" w:color="000000" w:sz="4" w:space="0"/>
                    <w:bottom w:val="single" w:color="000000" w:sz="4" w:space="0"/>
                    <w:right w:val="single" w:color="000000" w:sz="4" w:space="0"/>
                  </w:tcBorders>
                  <w:noWrap/>
                  <w:vAlign w:val="center"/>
                </w:tcPr>
                <w:p w14:paraId="42994EC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调漆间</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6C718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78715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1840E0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2B58E8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10FA41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2D491A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6300</w:t>
                  </w:r>
                </w:p>
              </w:tc>
            </w:tr>
            <w:tr w14:paraId="5A98E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83" w:type="dxa"/>
                  <w:tcBorders>
                    <w:top w:val="single" w:color="000000" w:sz="4" w:space="0"/>
                    <w:left w:val="single" w:color="000000" w:sz="4" w:space="0"/>
                    <w:bottom w:val="single" w:color="000000" w:sz="4" w:space="0"/>
                    <w:right w:val="single" w:color="000000" w:sz="4" w:space="0"/>
                  </w:tcBorders>
                  <w:noWrap/>
                  <w:vAlign w:val="center"/>
                </w:tcPr>
                <w:p w14:paraId="4C2046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危废间</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84DAE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10m*5m*3.5m</w:t>
                  </w:r>
                </w:p>
              </w:tc>
              <w:tc>
                <w:tcPr>
                  <w:tcW w:w="856" w:type="dxa"/>
                  <w:tcBorders>
                    <w:top w:val="single" w:color="000000" w:sz="4" w:space="0"/>
                    <w:left w:val="single" w:color="000000" w:sz="4" w:space="0"/>
                    <w:bottom w:val="single" w:color="000000" w:sz="4" w:space="0"/>
                    <w:right w:val="single" w:color="000000" w:sz="4" w:space="0"/>
                  </w:tcBorders>
                  <w:noWrap/>
                  <w:vAlign w:val="center"/>
                </w:tcPr>
                <w:p w14:paraId="7886BA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1FC3A6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2B97DB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143D75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22A1FD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10500</w:t>
                  </w:r>
                </w:p>
              </w:tc>
            </w:tr>
            <w:tr w14:paraId="2913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9" w:type="dxa"/>
                  <w:gridSpan w:val="6"/>
                  <w:tcBorders>
                    <w:top w:val="single" w:color="000000" w:sz="4" w:space="0"/>
                    <w:left w:val="single" w:color="000000" w:sz="4" w:space="0"/>
                    <w:bottom w:val="single" w:color="000000" w:sz="4" w:space="0"/>
                    <w:right w:val="single" w:color="000000" w:sz="4" w:space="0"/>
                  </w:tcBorders>
                  <w:noWrap/>
                  <w:vAlign w:val="center"/>
                </w:tcPr>
                <w:p w14:paraId="6D009D4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合计</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D71E1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160125</w:t>
                  </w:r>
                </w:p>
              </w:tc>
            </w:tr>
          </w:tbl>
          <w:p w14:paraId="00EE9283">
            <w:pPr>
              <w:pStyle w:val="158"/>
              <w:pageBreakBefore w:val="0"/>
              <w:numPr>
                <w:ilvl w:val="0"/>
                <w:numId w:val="0"/>
              </w:numPr>
              <w:wordWrap w:val="0"/>
              <w:topLinePunct/>
              <w:bidi w:val="0"/>
              <w:snapToGrid/>
              <w:spacing w:beforeAutospacing="0" w:afterAutospacing="0"/>
              <w:ind w:firstLine="482"/>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计算得整体所需风量为1</w:t>
            </w:r>
            <w:r>
              <w:rPr>
                <w:rFonts w:hint="eastAsia" w:cs="Times New Roman"/>
                <w:color w:val="000000" w:themeColor="text1"/>
                <w:highlight w:val="none"/>
                <w:lang w:val="en-US" w:eastAsia="zh-CN"/>
                <w14:textFill>
                  <w14:solidFill>
                    <w14:schemeClr w14:val="tx1"/>
                  </w14:solidFill>
                </w14:textFill>
              </w:rPr>
              <w:t>60125</w:t>
            </w:r>
            <w:r>
              <w:rPr>
                <w:rFonts w:hint="eastAsia" w:ascii="Times New Roman" w:hAnsi="Times New Roman" w:cs="Times New Roman"/>
                <w:color w:val="000000" w:themeColor="text1"/>
                <w:highlight w:val="none"/>
                <w:lang w:val="en-US" w:eastAsia="zh-CN"/>
                <w14:textFill>
                  <w14:solidFill>
                    <w14:schemeClr w14:val="tx1"/>
                  </w14:solidFill>
                </w14:textFill>
              </w:rPr>
              <w:t>m</w:t>
            </w:r>
            <w:r>
              <w:rPr>
                <w:rFonts w:hint="eastAsia"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vertAlign w:val="baseline"/>
                <w:lang w:val="en-US" w:eastAsia="zh-CN"/>
                <w14:textFill>
                  <w14:solidFill>
                    <w14:schemeClr w14:val="tx1"/>
                  </w14:solidFill>
                </w14:textFill>
              </w:rPr>
              <w:t>/h，项目配套喷漆废气处理设施设计风量1</w:t>
            </w:r>
            <w:r>
              <w:rPr>
                <w:rFonts w:hint="eastAsia" w:cs="Times New Roman"/>
                <w:color w:val="000000" w:themeColor="text1"/>
                <w:highlight w:val="none"/>
                <w:vertAlign w:val="baseline"/>
                <w:lang w:val="en-US" w:eastAsia="zh-CN"/>
                <w14:textFill>
                  <w14:solidFill>
                    <w14:schemeClr w14:val="tx1"/>
                  </w14:solidFill>
                </w14:textFill>
              </w:rPr>
              <w:t>812</w:t>
            </w:r>
            <w:r>
              <w:rPr>
                <w:rFonts w:hint="eastAsia" w:ascii="Times New Roman" w:hAnsi="Times New Roman" w:cs="Times New Roman"/>
                <w:color w:val="000000" w:themeColor="text1"/>
                <w:highlight w:val="none"/>
                <w:vertAlign w:val="baseline"/>
                <w:lang w:val="en-US" w:eastAsia="zh-CN"/>
                <w14:textFill>
                  <w14:solidFill>
                    <w14:schemeClr w14:val="tx1"/>
                  </w14:solidFill>
                </w14:textFill>
              </w:rPr>
              <w:t>00m</w:t>
            </w:r>
            <w:r>
              <w:rPr>
                <w:rFonts w:hint="eastAsia"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vertAlign w:val="baseline"/>
                <w:lang w:val="en-US" w:eastAsia="zh-CN"/>
                <w14:textFill>
                  <w14:solidFill>
                    <w14:schemeClr w14:val="tx1"/>
                  </w14:solidFill>
                </w14:textFill>
              </w:rPr>
              <w:t>/h，大于所需风量，风量设计合理。</w:t>
            </w:r>
          </w:p>
          <w:p w14:paraId="44510D14">
            <w:pPr>
              <w:pStyle w:val="158"/>
              <w:pageBreakBefore w:val="0"/>
              <w:wordWrap w:val="0"/>
              <w:topLinePunct/>
              <w:bidi w:val="0"/>
              <w:snapToGrid/>
              <w:spacing w:beforeAutospacing="0" w:afterAutospacing="0"/>
              <w:ind w:firstLine="480"/>
              <w:rPr>
                <w:rFonts w:hint="default" w:ascii="Times New Roman" w:hAnsi="Times New Roman" w:eastAsia="宋体" w:cs="Times New Roman"/>
                <w:i w:val="0"/>
                <w:iCs w:val="0"/>
                <w:color w:val="000000" w:themeColor="text1"/>
                <w:spacing w:val="0"/>
                <w:kern w:val="0"/>
                <w:sz w:val="24"/>
                <w:szCs w:val="24"/>
                <w:u w:val="none"/>
                <w:lang w:val="en-US" w:eastAsia="zh-CN" w:bidi="ar"/>
                <w14:textFill>
                  <w14:solidFill>
                    <w14:schemeClr w14:val="tx1"/>
                  </w14:solidFill>
                </w14:textFill>
              </w:rPr>
            </w:pPr>
            <w:r>
              <w:rPr>
                <w:rFonts w:hint="eastAsia" w:cs="Times New Roman"/>
                <w:i w:val="0"/>
                <w:iCs w:val="0"/>
                <w:color w:val="000000" w:themeColor="text1"/>
                <w:spacing w:val="0"/>
                <w:kern w:val="0"/>
                <w:sz w:val="24"/>
                <w:szCs w:val="24"/>
                <w:u w:val="none"/>
                <w:lang w:val="en-US" w:eastAsia="zh-CN" w:bidi="ar"/>
                <w14:textFill>
                  <w14:solidFill>
                    <w14:schemeClr w14:val="tx1"/>
                  </w14:solidFill>
                </w14:textFill>
              </w:rPr>
              <w:t>本项目采用</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活性炭吸脱附+催化燃烧</w:t>
            </w:r>
            <w:r>
              <w:rPr>
                <w:rFonts w:hint="eastAsia"/>
                <w:color w:val="000000" w:themeColor="text1"/>
                <w:highlight w:val="none"/>
                <w:lang w:val="en-US" w:eastAsia="zh-CN"/>
                <w14:textFill>
                  <w14:solidFill>
                    <w14:schemeClr w14:val="tx1"/>
                  </w14:solidFill>
                </w14:textFill>
              </w:rPr>
              <w:t>+活性炭吸附</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工艺处理喷漆线废气。</w:t>
            </w:r>
            <w:r>
              <w:rPr>
                <w:rFonts w:hint="default" w:ascii="Times New Roman" w:hAnsi="Times New Roman" w:eastAsia="宋体" w:cs="Times New Roman"/>
                <w:i w:val="0"/>
                <w:iCs w:val="0"/>
                <w:color w:val="000000" w:themeColor="text1"/>
                <w:spacing w:val="0"/>
                <w:kern w:val="0"/>
                <w:sz w:val="24"/>
                <w:szCs w:val="24"/>
                <w:u w:val="none"/>
                <w:lang w:val="en-US" w:eastAsia="zh-CN" w:bidi="ar"/>
                <w14:textFill>
                  <w14:solidFill>
                    <w14:schemeClr w14:val="tx1"/>
                  </w14:solidFill>
                </w14:textFill>
              </w:rPr>
              <w:t>据《广东省生态环境厅关于印发工业源挥发性有机物和氮氧化物减排量核算方法的通知》（粤环函〔2023〕538号）中“表3.3-3 废气治理效率参考值”的说明，</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活性炭吸脱附+催化燃烧</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治理效率为</w:t>
            </w:r>
            <w:r>
              <w:rPr>
                <w:rFonts w:hint="eastAsia"/>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参考《广东省家具行业挥发性有机化合物废气治理技术指南》（粤环</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2013</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79号）中对有机废气治理设施的治理效率可得，吸附法处理效率为50～80%（本报告一级活性炭处理效率取</w:t>
            </w:r>
            <w:r>
              <w:rPr>
                <w:rFonts w:hint="eastAsia" w:cs="Times New Roman"/>
                <w:color w:val="000000" w:themeColor="text1"/>
                <w:sz w:val="24"/>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0%），项目采取两级</w:t>
            </w:r>
            <w:r>
              <w:rPr>
                <w:rFonts w:hint="eastAsia" w:ascii="Times New Roman" w:hAnsi="Times New Roman" w:cs="Times New Roman"/>
                <w:color w:val="000000" w:themeColor="text1"/>
                <w:sz w:val="24"/>
                <w:lang w:val="en-US" w:eastAsia="zh-CN"/>
                <w14:textFill>
                  <w14:solidFill>
                    <w14:schemeClr w14:val="tx1"/>
                  </w14:solidFill>
                </w14:textFill>
              </w:rPr>
              <w:t>废气处理工艺</w:t>
            </w:r>
            <w:r>
              <w:rPr>
                <w:rFonts w:hint="default" w:ascii="Times New Roman" w:hAnsi="Times New Roman" w:cs="Times New Roman"/>
                <w:color w:val="000000" w:themeColor="text1"/>
                <w:sz w:val="24"/>
                <w14:textFill>
                  <w14:solidFill>
                    <w14:schemeClr w14:val="tx1"/>
                  </w14:solidFill>
                </w14:textFill>
              </w:rPr>
              <w:t>串联方式，当存在两种或两种以上治理设施联合治理时，治理效率可按公式η=1-（1-η</w:t>
            </w:r>
            <w:r>
              <w:rPr>
                <w:rFonts w:hint="default" w:ascii="Times New Roman" w:hAnsi="Times New Roman" w:cs="Times New Roman"/>
                <w:color w:val="000000" w:themeColor="text1"/>
                <w:sz w:val="24"/>
                <w:vertAlign w:val="subscript"/>
                <w14:textFill>
                  <w14:solidFill>
                    <w14:schemeClr w14:val="tx1"/>
                  </w14:solidFill>
                </w14:textFill>
              </w:rPr>
              <w:t>1</w:t>
            </w:r>
            <w:r>
              <w:rPr>
                <w:rFonts w:hint="default" w:ascii="Times New Roman" w:hAnsi="Times New Roman" w:cs="Times New Roman"/>
                <w:color w:val="000000" w:themeColor="text1"/>
                <w:sz w:val="24"/>
                <w14:textFill>
                  <w14:solidFill>
                    <w14:schemeClr w14:val="tx1"/>
                  </w14:solidFill>
                </w14:textFill>
              </w:rPr>
              <w:t>）×（1-η</w:t>
            </w:r>
            <w:r>
              <w:rPr>
                <w:rFonts w:hint="default" w:ascii="Times New Roman" w:hAnsi="Times New Roman" w:cs="Times New Roman"/>
                <w:color w:val="000000" w:themeColor="text1"/>
                <w:sz w:val="24"/>
                <w:vertAlign w:val="sub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）...（1-η</w:t>
            </w:r>
            <w:r>
              <w:rPr>
                <w:rFonts w:hint="default" w:ascii="Times New Roman" w:hAnsi="Times New Roman" w:cs="Times New Roman"/>
                <w:color w:val="000000" w:themeColor="text1"/>
                <w:sz w:val="24"/>
                <w:vertAlign w:val="subscript"/>
                <w14:textFill>
                  <w14:solidFill>
                    <w14:schemeClr w14:val="tx1"/>
                  </w14:solidFill>
                </w14:textFill>
              </w:rPr>
              <w:t>n</w:t>
            </w:r>
            <w:r>
              <w:rPr>
                <w:rFonts w:hint="default" w:ascii="Times New Roman" w:hAnsi="Times New Roman" w:cs="Times New Roman"/>
                <w:color w:val="000000" w:themeColor="text1"/>
                <w:sz w:val="24"/>
                <w14:textFill>
                  <w14:solidFill>
                    <w14:schemeClr w14:val="tx1"/>
                  </w14:solidFill>
                </w14:textFill>
              </w:rPr>
              <w:t>）进行计算，则本项目废气处理工艺对有机废气总处理效率合计为1-（1-</w:t>
            </w:r>
            <w:r>
              <w:rPr>
                <w:rFonts w:hint="eastAsia" w:cs="Times New Roman"/>
                <w:color w:val="000000" w:themeColor="text1"/>
                <w:sz w:val="24"/>
                <w:lang w:val="en-US" w:eastAsia="zh-CN"/>
                <w14:textFill>
                  <w14:solidFill>
                    <w14:schemeClr w14:val="tx1"/>
                  </w14:solidFill>
                </w14:textFill>
              </w:rPr>
              <w:t>6</w:t>
            </w:r>
            <w:r>
              <w:rPr>
                <w:rFonts w:hint="default" w:ascii="Times New Roman" w:hAnsi="Times New Roman" w:cs="Times New Roman"/>
                <w:color w:val="000000" w:themeColor="text1"/>
                <w:sz w:val="24"/>
                <w14:textFill>
                  <w14:solidFill>
                    <w14:schemeClr w14:val="tx1"/>
                  </w14:solidFill>
                </w14:textFill>
              </w:rPr>
              <w:t>0%）×（1-50%）=</w:t>
            </w:r>
            <w:r>
              <w:rPr>
                <w:rFonts w:hint="eastAsia" w:cs="Times New Roman"/>
                <w:color w:val="000000" w:themeColor="text1"/>
                <w:sz w:val="24"/>
                <w:lang w:val="en-US" w:eastAsia="zh-CN"/>
                <w14:textFill>
                  <w14:solidFill>
                    <w14:schemeClr w14:val="tx1"/>
                  </w14:solidFill>
                </w14:textFill>
              </w:rPr>
              <w:t>80</w:t>
            </w:r>
            <w:r>
              <w:rPr>
                <w:rFonts w:hint="default" w:ascii="Times New Roman" w:hAnsi="Times New Roman" w:cs="Times New Roman"/>
                <w:color w:val="000000" w:themeColor="text1"/>
                <w:sz w:val="24"/>
                <w14:textFill>
                  <w14:solidFill>
                    <w14:schemeClr w14:val="tx1"/>
                  </w14:solidFill>
                </w14:textFill>
              </w:rPr>
              <w:t>%。</w:t>
            </w:r>
          </w:p>
          <w:p w14:paraId="4594B40D">
            <w:pPr>
              <w:keepNext w:val="0"/>
              <w:keepLines w:val="0"/>
              <w:suppressLineNumbers w:val="0"/>
              <w:spacing w:before="0" w:beforeAutospacing="0" w:after="0" w:afterAutospacing="0" w:line="360" w:lineRule="auto"/>
              <w:ind w:left="0" w:right="0" w:firstLine="470" w:firstLineChars="200"/>
              <w:rPr>
                <w:rFonts w:hint="eastAsia" w:ascii="Times New Roman" w:hAnsi="Times New Roman" w:cs="Times New Roman"/>
                <w:b/>
                <w:bCs/>
                <w:color w:val="000000" w:themeColor="text1"/>
                <w:spacing w:val="-3"/>
                <w:sz w:val="24"/>
                <w:szCs w:val="24"/>
                <w:lang w:val="en-US" w:eastAsia="zh-CN"/>
                <w14:textFill>
                  <w14:solidFill>
                    <w14:schemeClr w14:val="tx1"/>
                  </w14:solidFill>
                </w14:textFill>
              </w:rPr>
            </w:pPr>
            <w:r>
              <w:rPr>
                <w:rFonts w:hint="eastAsia" w:cs="Times New Roman"/>
                <w:b/>
                <w:bCs/>
                <w:color w:val="000000" w:themeColor="text1"/>
                <w:spacing w:val="-3"/>
                <w:sz w:val="24"/>
                <w:szCs w:val="24"/>
                <w:lang w:val="en-US" w:eastAsia="zh-CN"/>
                <w14:textFill>
                  <w14:solidFill>
                    <w14:schemeClr w14:val="tx1"/>
                  </w14:solidFill>
                </w14:textFill>
              </w:rPr>
              <w:t>1</w:t>
            </w:r>
            <w:r>
              <w:rPr>
                <w:rFonts w:hint="default" w:ascii="Times New Roman" w:hAnsi="Times New Roman" w:cs="Times New Roman"/>
                <w:b/>
                <w:bCs/>
                <w:color w:val="000000" w:themeColor="text1"/>
                <w:spacing w:val="-3"/>
                <w:sz w:val="24"/>
                <w:szCs w:val="24"/>
                <w:lang w:val="en-US" w:eastAsia="zh-CN"/>
                <w14:textFill>
                  <w14:solidFill>
                    <w14:schemeClr w14:val="tx1"/>
                  </w14:solidFill>
                </w14:textFill>
              </w:rPr>
              <w:t>.</w:t>
            </w:r>
            <w:r>
              <w:rPr>
                <w:rFonts w:hint="eastAsia" w:cs="Times New Roman"/>
                <w:b/>
                <w:bCs/>
                <w:color w:val="000000" w:themeColor="text1"/>
                <w:spacing w:val="-3"/>
                <w:sz w:val="24"/>
                <w:szCs w:val="24"/>
                <w:lang w:val="en-US" w:eastAsia="zh-CN"/>
                <w14:textFill>
                  <w14:solidFill>
                    <w14:schemeClr w14:val="tx1"/>
                  </w14:solidFill>
                </w14:textFill>
              </w:rPr>
              <w:t>2</w:t>
            </w:r>
            <w:r>
              <w:rPr>
                <w:rFonts w:hint="default" w:ascii="Times New Roman" w:hAnsi="Times New Roman" w:cs="Times New Roman"/>
                <w:b/>
                <w:bCs/>
                <w:color w:val="000000" w:themeColor="text1"/>
                <w:spacing w:val="-3"/>
                <w:sz w:val="24"/>
                <w:szCs w:val="24"/>
                <w:lang w:val="en-US" w:eastAsia="zh-CN"/>
                <w14:textFill>
                  <w14:solidFill>
                    <w14:schemeClr w14:val="tx1"/>
                  </w14:solidFill>
                </w14:textFill>
              </w:rPr>
              <w:t>.</w:t>
            </w:r>
            <w:r>
              <w:rPr>
                <w:rFonts w:hint="eastAsia" w:ascii="Times New Roman" w:hAnsi="Times New Roman" w:cs="Times New Roman"/>
                <w:b/>
                <w:bCs/>
                <w:color w:val="000000" w:themeColor="text1"/>
                <w:spacing w:val="-3"/>
                <w:sz w:val="24"/>
                <w:szCs w:val="24"/>
                <w:lang w:val="en-US" w:eastAsia="zh-CN"/>
                <w14:textFill>
                  <w14:solidFill>
                    <w14:schemeClr w14:val="tx1"/>
                  </w14:solidFill>
                </w14:textFill>
              </w:rPr>
              <w:t>6 固化废气</w:t>
            </w:r>
          </w:p>
          <w:p w14:paraId="47BC6D71">
            <w:pPr>
              <w:keepNext w:val="0"/>
              <w:keepLines w:val="0"/>
              <w:suppressLineNumbers w:val="0"/>
              <w:spacing w:before="0" w:beforeAutospacing="0" w:after="0" w:afterAutospacing="0" w:line="360" w:lineRule="auto"/>
              <w:ind w:left="0" w:right="0" w:firstLine="468" w:firstLineChars="200"/>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固化废气主要包括固化炉天然气燃烧废气及固化时产生的有机废气。固化炉天然气燃烧废气及固化时产生的有机废气一同收集，经</w:t>
            </w:r>
            <w:r>
              <w:rPr>
                <w:rFonts w:hint="eastAsia" w:cs="Times New Roman"/>
                <w:b w:val="0"/>
                <w:bCs w:val="0"/>
                <w:color w:val="000000" w:themeColor="text1"/>
                <w:spacing w:val="-3"/>
                <w:sz w:val="24"/>
                <w:szCs w:val="24"/>
                <w:lang w:val="en-US" w:eastAsia="zh-CN"/>
                <w14:textFill>
                  <w14:solidFill>
                    <w14:schemeClr w14:val="tx1"/>
                  </w14:solidFill>
                </w14:textFill>
              </w:rPr>
              <w:t>喷淋+干式过滤+</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二级活性炭吸附处理后，由一根 15m 高排气筒（</w:t>
            </w:r>
            <w:r>
              <w:rPr>
                <w:rFonts w:hint="eastAsia" w:cs="Times New Roman"/>
                <w:b w:val="0"/>
                <w:bCs w:val="0"/>
                <w:color w:val="000000" w:themeColor="text1"/>
                <w:spacing w:val="-3"/>
                <w:sz w:val="24"/>
                <w:szCs w:val="24"/>
                <w:lang w:val="en-US" w:eastAsia="zh-CN"/>
                <w14:textFill>
                  <w14:solidFill>
                    <w14:schemeClr w14:val="tx1"/>
                  </w14:solidFill>
                </w14:textFill>
              </w:rPr>
              <w:t>DA002</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）排放，配套风机风量为</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40</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 xml:space="preserve">000m³/h，年工作时间为 </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1928</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h。</w:t>
            </w:r>
          </w:p>
          <w:p w14:paraId="18689A0F">
            <w:pPr>
              <w:keepNext w:val="0"/>
              <w:keepLines w:val="0"/>
              <w:suppressLineNumbers w:val="0"/>
              <w:spacing w:before="0" w:beforeAutospacing="0" w:after="0" w:afterAutospacing="0" w:line="360" w:lineRule="auto"/>
              <w:ind w:left="0" w:right="0" w:firstLine="468" w:firstLineChars="200"/>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固化炉采用天然气热风循环供热，</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天然气燃烧废气产生排放情况见表4-1</w:t>
            </w:r>
            <w:r>
              <w:rPr>
                <w:rFonts w:hint="eastAsia" w:cs="Times New Roman"/>
                <w:b w:val="0"/>
                <w:bCs w:val="0"/>
                <w:color w:val="000000" w:themeColor="text1"/>
                <w:spacing w:val="-3"/>
                <w:sz w:val="24"/>
                <w:szCs w:val="24"/>
                <w:lang w:val="en-US" w:eastAsia="zh-CN"/>
                <w14:textFill>
                  <w14:solidFill>
                    <w14:schemeClr w14:val="tx1"/>
                  </w14:solidFill>
                </w14:textFill>
              </w:rPr>
              <w:t>0</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w:t>
            </w:r>
          </w:p>
          <w:p w14:paraId="0CA19E2C">
            <w:pPr>
              <w:keepNext w:val="0"/>
              <w:keepLines w:val="0"/>
              <w:suppressLineNumbers w:val="0"/>
              <w:spacing w:before="0" w:beforeAutospacing="0" w:after="0" w:afterAutospacing="0" w:line="360" w:lineRule="auto"/>
              <w:ind w:left="0" w:right="0" w:firstLine="468" w:firstLineChars="200"/>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固化炉有机废气由</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粉末涂料</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喷涂后固化过程产生，主要为高温下塑粉熔融释放的有机物，以非甲烷总烃计。喷塑后的工件在烘道内通过送回风管道循环风烘干固化，固化温度为 180℃~220℃。根据《工业源产排污核算方法和系数手册 - 机械行业系数手册》，喷塑后烘干过程挥发性有机物产污系数为 1.20kg/t - 原料。项目设</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1</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个喷</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粉</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房，</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粉末涂料</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年总用量为</w:t>
            </w:r>
            <w:r>
              <w:rPr>
                <w:rFonts w:hint="eastAsia" w:cs="Times New Roman"/>
                <w:b w:val="0"/>
                <w:bCs w:val="0"/>
                <w:color w:val="000000" w:themeColor="text1"/>
                <w:spacing w:val="-3"/>
                <w:sz w:val="24"/>
                <w:szCs w:val="24"/>
                <w:lang w:val="en-US" w:eastAsia="zh-CN"/>
                <w14:textFill>
                  <w14:solidFill>
                    <w14:schemeClr w14:val="tx1"/>
                  </w14:solidFill>
                </w14:textFill>
              </w:rPr>
              <w:t>109.755</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t/a</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，则</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 xml:space="preserve">非甲烷总烃产生量为 </w:t>
            </w:r>
            <w:r>
              <w:rPr>
                <w:rFonts w:hint="eastAsia" w:cs="Times New Roman"/>
                <w:b w:val="0"/>
                <w:bCs w:val="0"/>
                <w:color w:val="000000" w:themeColor="text1"/>
                <w:spacing w:val="-3"/>
                <w:sz w:val="24"/>
                <w:szCs w:val="24"/>
                <w:lang w:val="en-US" w:eastAsia="zh-CN"/>
                <w14:textFill>
                  <w14:solidFill>
                    <w14:schemeClr w14:val="tx1"/>
                  </w14:solidFill>
                </w14:textFill>
              </w:rPr>
              <w:t>0.1317</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t/a。</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年工作时间1928h，</w:t>
            </w:r>
            <w:r>
              <w:rPr>
                <w:rFonts w:hint="eastAsia" w:cs="Times New Roman"/>
                <w:b w:val="0"/>
                <w:bCs w:val="0"/>
                <w:color w:val="000000" w:themeColor="text1"/>
                <w:spacing w:val="-3"/>
                <w:sz w:val="24"/>
                <w:szCs w:val="24"/>
                <w:lang w:val="en-US" w:eastAsia="zh-CN"/>
                <w14:textFill>
                  <w14:solidFill>
                    <w14:schemeClr w14:val="tx1"/>
                  </w14:solidFill>
                </w14:textFill>
              </w:rPr>
              <w:t>4</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台固化炉</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固化有机废气经管道密闭收集后</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一并</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进入</w:t>
            </w:r>
            <w:r>
              <w:rPr>
                <w:rFonts w:hint="eastAsia" w:cs="Times New Roman"/>
                <w:b w:val="0"/>
                <w:bCs w:val="0"/>
                <w:color w:val="000000" w:themeColor="text1"/>
                <w:spacing w:val="-3"/>
                <w:sz w:val="24"/>
                <w:szCs w:val="24"/>
                <w:lang w:val="en-US" w:eastAsia="zh-CN"/>
                <w14:textFill>
                  <w14:solidFill>
                    <w14:schemeClr w14:val="tx1"/>
                  </w14:solidFill>
                </w14:textFill>
              </w:rPr>
              <w:t>喷淋+干式过滤+</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二级活性炭吸附装置处理</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w:t>
            </w:r>
          </w:p>
          <w:p w14:paraId="6438D799">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rFonts w:hint="eastAsia" w:cs="Times New Roman"/>
                <w:b w:val="0"/>
                <w:bCs w:val="0"/>
                <w:color w:val="000000" w:themeColor="text1"/>
                <w:spacing w:val="-3"/>
                <w:sz w:val="24"/>
                <w:szCs w:val="24"/>
                <w:lang w:val="en-US" w:eastAsia="zh-CN"/>
                <w14:textFill>
                  <w14:solidFill>
                    <w14:schemeClr w14:val="tx1"/>
                  </w14:solidFill>
                </w14:textFill>
              </w:rPr>
              <w:t>项目共设2个固化通道，一个通道为漆粉共线固化使用，另一个用于喷粉线固化使用。</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固化通道为全密封空间，设备有固定排放管直接与风管连接，通道尾端设置送风风机，</w:t>
            </w:r>
            <w:r>
              <w:rPr>
                <w:color w:val="000000" w:themeColor="text1"/>
                <w:highlight w:val="none"/>
                <w14:textFill>
                  <w14:solidFill>
                    <w14:schemeClr w14:val="tx1"/>
                  </w14:solidFill>
                </w14:textFill>
              </w:rPr>
              <w:t>根据《广东省工业源挥发性有机物减排量核算方法（2023年修订版）》（粤环函〔2023〕538 号）中“表3.3-2 废气收集集气效率参考值”的说明：</w:t>
            </w:r>
          </w:p>
          <w:p w14:paraId="20C39CF2">
            <w:pPr>
              <w:pStyle w:val="158"/>
              <w:pageBreakBefore w:val="0"/>
              <w:wordWrap w:val="0"/>
              <w:topLinePunct/>
              <w:bidi w:val="0"/>
              <w:snapToGrid/>
              <w:spacing w:beforeAutospacing="0" w:afterAutospacing="0"/>
              <w:ind w:firstLine="480"/>
              <w:rPr>
                <w:rFonts w:hint="eastAsia" w:cs="Times New Roman"/>
                <w:b w:val="0"/>
                <w:bCs w:val="0"/>
                <w:color w:val="000000" w:themeColor="text1"/>
                <w:spacing w:val="-3"/>
                <w:sz w:val="24"/>
                <w:szCs w:val="24"/>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③</w:t>
            </w:r>
            <w:r>
              <w:rPr>
                <w:color w:val="000000" w:themeColor="text1"/>
                <w:highlight w:val="none"/>
                <w14:textFill>
                  <w14:solidFill>
                    <w14:schemeClr w14:val="tx1"/>
                  </w14:solidFill>
                </w14:textFill>
              </w:rPr>
              <w:t>当废气收集类型为“全密封设备/空间”，废气收集方式为“设备废气排口直连”，收集情况为“设备有固定排放管（或口）直接与风管连接，设备整体密闭只留产品进出口，且进出口处有废气收集措施，收集系统运行时周边基本无VOCs散发。”，此时收集效率可取95%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因此固化废气</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集气效率取95%；</w:t>
            </w:r>
            <w:r>
              <w:rPr>
                <w:rFonts w:hint="eastAsia" w:cs="Times New Roman"/>
                <w:b w:val="0"/>
                <w:bCs w:val="0"/>
                <w:color w:val="000000" w:themeColor="text1"/>
                <w:spacing w:val="-3"/>
                <w:sz w:val="24"/>
                <w:szCs w:val="24"/>
                <w:lang w:val="en-US" w:eastAsia="zh-CN"/>
                <w14:textFill>
                  <w14:solidFill>
                    <w14:schemeClr w14:val="tx1"/>
                  </w14:solidFill>
                </w14:textFill>
              </w:rPr>
              <w:t>整体</w:t>
            </w:r>
            <w:r>
              <w:rPr>
                <w:rFonts w:hint="eastAsia" w:ascii="Times New Roman" w:hAnsi="Times New Roman" w:cs="Times New Roman"/>
                <w:b w:val="0"/>
                <w:bCs w:val="0"/>
                <w:color w:val="000000" w:themeColor="text1"/>
                <w:spacing w:val="-3"/>
                <w:sz w:val="24"/>
                <w:szCs w:val="24"/>
                <w:lang w:val="en-US" w:eastAsia="zh-CN"/>
                <w14:textFill>
                  <w14:solidFill>
                    <w14:schemeClr w14:val="tx1"/>
                  </w14:solidFill>
                </w14:textFill>
              </w:rPr>
              <w:t>风量为40000</w:t>
            </w:r>
            <w:r>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t>m³/h</w:t>
            </w:r>
            <w:r>
              <w:rPr>
                <w:rFonts w:hint="eastAsia" w:cs="Times New Roman"/>
                <w:b w:val="0"/>
                <w:bCs w:val="0"/>
                <w:color w:val="000000" w:themeColor="text1"/>
                <w:spacing w:val="-3"/>
                <w:sz w:val="24"/>
                <w:szCs w:val="24"/>
                <w:lang w:val="en-US" w:eastAsia="zh-CN"/>
                <w14:textFill>
                  <w14:solidFill>
                    <w14:schemeClr w14:val="tx1"/>
                  </w14:solidFill>
                </w14:textFill>
              </w:rPr>
              <w:t>。</w:t>
            </w:r>
          </w:p>
          <w:p w14:paraId="116E56A7">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2"/>
                <w:sz w:val="21"/>
                <w:szCs w:val="21"/>
                <w:lang w:val="en-US" w:eastAsia="zh-CN" w:bidi="ar-SA"/>
                <w14:textFill>
                  <w14:solidFill>
                    <w14:schemeClr w14:val="tx1"/>
                  </w14:solidFill>
                </w14:textFill>
              </w:rPr>
              <w:t>表4-1</w:t>
            </w:r>
            <w:r>
              <w:rPr>
                <w:rFonts w:hint="eastAsia" w:cs="Times New Roman"/>
                <w:b/>
                <w:bCs/>
                <w:color w:val="000000" w:themeColor="text1"/>
                <w:spacing w:val="0"/>
                <w:kern w:val="2"/>
                <w:sz w:val="21"/>
                <w:szCs w:val="21"/>
                <w:lang w:val="en-US" w:eastAsia="zh-CN" w:bidi="ar-SA"/>
                <w14:textFill>
                  <w14:solidFill>
                    <w14:schemeClr w14:val="tx1"/>
                  </w14:solidFill>
                </w14:textFill>
              </w:rPr>
              <w:t xml:space="preserve">7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有机废气集气设备设计参数</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44"/>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136"/>
              <w:gridCol w:w="632"/>
              <w:gridCol w:w="677"/>
              <w:gridCol w:w="1334"/>
              <w:gridCol w:w="984"/>
              <w:gridCol w:w="1468"/>
              <w:gridCol w:w="1420"/>
            </w:tblGrid>
            <w:tr w14:paraId="2986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665" w:type="dxa"/>
                  <w:vAlign w:val="center"/>
                </w:tcPr>
                <w:p w14:paraId="2CC17473">
                  <w:pPr>
                    <w:pageBreakBefore w:val="0"/>
                    <w:wordWrap w:val="0"/>
                    <w:topLinePunct/>
                    <w:bidi w:val="0"/>
                    <w:adjustRightInd w:val="0"/>
                    <w:spacing w:beforeAutospacing="0" w:afterAutospacing="0"/>
                    <w:jc w:val="center"/>
                    <w:rPr>
                      <w:b/>
                      <w:bCs/>
                      <w:color w:val="000000" w:themeColor="text1"/>
                      <w:kern w:val="2"/>
                      <w:sz w:val="21"/>
                      <w:szCs w:val="21"/>
                      <w:highlight w:val="none"/>
                      <w14:textFill>
                        <w14:solidFill>
                          <w14:schemeClr w14:val="tx1"/>
                        </w14:solidFill>
                      </w14:textFill>
                    </w:rPr>
                  </w:pPr>
                  <w:r>
                    <w:rPr>
                      <w:b/>
                      <w:bCs/>
                      <w:color w:val="000000" w:themeColor="text1"/>
                      <w:kern w:val="2"/>
                      <w:sz w:val="21"/>
                      <w:szCs w:val="21"/>
                      <w:highlight w:val="none"/>
                      <w14:textFill>
                        <w14:solidFill>
                          <w14:schemeClr w14:val="tx1"/>
                        </w14:solidFill>
                      </w14:textFill>
                    </w:rPr>
                    <w:t>收集环节</w:t>
                  </w:r>
                </w:p>
              </w:tc>
              <w:tc>
                <w:tcPr>
                  <w:tcW w:w="1136" w:type="dxa"/>
                  <w:vAlign w:val="center"/>
                </w:tcPr>
                <w:p w14:paraId="26395E5E">
                  <w:pPr>
                    <w:pageBreakBefore w:val="0"/>
                    <w:wordWrap w:val="0"/>
                    <w:topLinePunct/>
                    <w:bidi w:val="0"/>
                    <w:adjustRightInd w:val="0"/>
                    <w:spacing w:beforeAutospacing="0" w:afterAutospacing="0"/>
                    <w:jc w:val="center"/>
                    <w:rPr>
                      <w:b/>
                      <w:bCs/>
                      <w:color w:val="000000" w:themeColor="text1"/>
                      <w:kern w:val="2"/>
                      <w:sz w:val="21"/>
                      <w:szCs w:val="21"/>
                      <w:highlight w:val="none"/>
                      <w14:textFill>
                        <w14:solidFill>
                          <w14:schemeClr w14:val="tx1"/>
                        </w14:solidFill>
                      </w14:textFill>
                    </w:rPr>
                  </w:pPr>
                  <w:r>
                    <w:rPr>
                      <w:b/>
                      <w:bCs/>
                      <w:color w:val="000000" w:themeColor="text1"/>
                      <w:kern w:val="2"/>
                      <w:sz w:val="21"/>
                      <w:szCs w:val="21"/>
                      <w:highlight w:val="none"/>
                      <w14:textFill>
                        <w14:solidFill>
                          <w14:schemeClr w14:val="tx1"/>
                        </w14:solidFill>
                      </w14:textFill>
                    </w:rPr>
                    <w:t>集气罩尺寸</w:t>
                  </w:r>
                </w:p>
              </w:tc>
              <w:tc>
                <w:tcPr>
                  <w:tcW w:w="632" w:type="dxa"/>
                  <w:vAlign w:val="center"/>
                </w:tcPr>
                <w:p w14:paraId="612CA6FC">
                  <w:pPr>
                    <w:pageBreakBefore w:val="0"/>
                    <w:wordWrap w:val="0"/>
                    <w:topLinePunct/>
                    <w:bidi w:val="0"/>
                    <w:adjustRightInd w:val="0"/>
                    <w:spacing w:beforeAutospacing="0" w:afterAutospacing="0"/>
                    <w:jc w:val="center"/>
                    <w:rPr>
                      <w:b/>
                      <w:bCs/>
                      <w:color w:val="000000" w:themeColor="text1"/>
                      <w:kern w:val="2"/>
                      <w:sz w:val="21"/>
                      <w:szCs w:val="21"/>
                      <w:highlight w:val="none"/>
                      <w14:textFill>
                        <w14:solidFill>
                          <w14:schemeClr w14:val="tx1"/>
                        </w14:solidFill>
                      </w14:textFill>
                    </w:rPr>
                  </w:pPr>
                  <w:r>
                    <w:rPr>
                      <w:b/>
                      <w:bCs/>
                      <w:color w:val="000000" w:themeColor="text1"/>
                      <w:kern w:val="2"/>
                      <w:sz w:val="21"/>
                      <w:szCs w:val="21"/>
                      <w:highlight w:val="none"/>
                      <w14:textFill>
                        <w14:solidFill>
                          <w14:schemeClr w14:val="tx1"/>
                        </w14:solidFill>
                      </w14:textFill>
                    </w:rPr>
                    <w:t>形状</w:t>
                  </w:r>
                </w:p>
              </w:tc>
              <w:tc>
                <w:tcPr>
                  <w:tcW w:w="677" w:type="dxa"/>
                  <w:vAlign w:val="center"/>
                </w:tcPr>
                <w:p w14:paraId="50E60774">
                  <w:pPr>
                    <w:pageBreakBefore w:val="0"/>
                    <w:wordWrap w:val="0"/>
                    <w:topLinePunct/>
                    <w:bidi w:val="0"/>
                    <w:adjustRightInd w:val="0"/>
                    <w:spacing w:beforeAutospacing="0" w:afterAutospacing="0"/>
                    <w:jc w:val="center"/>
                    <w:rPr>
                      <w:b/>
                      <w:bCs/>
                      <w:color w:val="000000" w:themeColor="text1"/>
                      <w:kern w:val="2"/>
                      <w:sz w:val="21"/>
                      <w:szCs w:val="21"/>
                      <w:highlight w:val="none"/>
                      <w14:textFill>
                        <w14:solidFill>
                          <w14:schemeClr w14:val="tx1"/>
                        </w14:solidFill>
                      </w14:textFill>
                    </w:rPr>
                  </w:pPr>
                  <w:r>
                    <w:rPr>
                      <w:b/>
                      <w:bCs/>
                      <w:color w:val="000000" w:themeColor="text1"/>
                      <w:kern w:val="2"/>
                      <w:sz w:val="21"/>
                      <w:szCs w:val="21"/>
                      <w:highlight w:val="none"/>
                      <w14:textFill>
                        <w14:solidFill>
                          <w14:schemeClr w14:val="tx1"/>
                        </w14:solidFill>
                      </w14:textFill>
                    </w:rPr>
                    <w:t>数量</w:t>
                  </w:r>
                </w:p>
              </w:tc>
              <w:tc>
                <w:tcPr>
                  <w:tcW w:w="1334" w:type="dxa"/>
                  <w:vAlign w:val="center"/>
                </w:tcPr>
                <w:p w14:paraId="572A5236">
                  <w:pPr>
                    <w:pageBreakBefore w:val="0"/>
                    <w:wordWrap w:val="0"/>
                    <w:topLinePunct/>
                    <w:bidi w:val="0"/>
                    <w:adjustRightInd w:val="0"/>
                    <w:spacing w:beforeAutospacing="0" w:afterAutospacing="0"/>
                    <w:jc w:val="center"/>
                    <w:rPr>
                      <w:b/>
                      <w:bCs/>
                      <w:color w:val="000000" w:themeColor="text1"/>
                      <w:kern w:val="2"/>
                      <w:sz w:val="21"/>
                      <w:szCs w:val="21"/>
                      <w:highlight w:val="none"/>
                      <w14:textFill>
                        <w14:solidFill>
                          <w14:schemeClr w14:val="tx1"/>
                        </w14:solidFill>
                      </w14:textFill>
                    </w:rPr>
                  </w:pPr>
                  <w:r>
                    <w:rPr>
                      <w:b/>
                      <w:bCs/>
                      <w:color w:val="000000" w:themeColor="text1"/>
                      <w:kern w:val="2"/>
                      <w:sz w:val="21"/>
                      <w:szCs w:val="21"/>
                      <w:highlight w:val="none"/>
                      <w14:textFill>
                        <w14:solidFill>
                          <w14:schemeClr w14:val="tx1"/>
                        </w14:solidFill>
                      </w14:textFill>
                    </w:rPr>
                    <w:t>集气罩/管与控制点的距离</w:t>
                  </w:r>
                </w:p>
              </w:tc>
              <w:tc>
                <w:tcPr>
                  <w:tcW w:w="984" w:type="dxa"/>
                  <w:vAlign w:val="center"/>
                </w:tcPr>
                <w:p w14:paraId="1B14C4EA">
                  <w:pPr>
                    <w:pageBreakBefore w:val="0"/>
                    <w:wordWrap w:val="0"/>
                    <w:topLinePunct/>
                    <w:bidi w:val="0"/>
                    <w:adjustRightInd w:val="0"/>
                    <w:spacing w:beforeAutospacing="0" w:afterAutospacing="0"/>
                    <w:jc w:val="center"/>
                    <w:rPr>
                      <w:b/>
                      <w:bCs/>
                      <w:color w:val="000000" w:themeColor="text1"/>
                      <w:kern w:val="2"/>
                      <w:sz w:val="21"/>
                      <w:szCs w:val="21"/>
                      <w:highlight w:val="none"/>
                      <w14:textFill>
                        <w14:solidFill>
                          <w14:schemeClr w14:val="tx1"/>
                        </w14:solidFill>
                      </w14:textFill>
                    </w:rPr>
                  </w:pPr>
                  <w:r>
                    <w:rPr>
                      <w:b/>
                      <w:bCs/>
                      <w:color w:val="000000" w:themeColor="text1"/>
                      <w:kern w:val="2"/>
                      <w:sz w:val="21"/>
                      <w:szCs w:val="21"/>
                      <w:highlight w:val="none"/>
                      <w14:textFill>
                        <w14:solidFill>
                          <w14:schemeClr w14:val="tx1"/>
                        </w14:solidFill>
                      </w14:textFill>
                    </w:rPr>
                    <w:t>控制点的吸入速度</w:t>
                  </w:r>
                </w:p>
              </w:tc>
              <w:tc>
                <w:tcPr>
                  <w:tcW w:w="1468" w:type="dxa"/>
                  <w:vAlign w:val="center"/>
                </w:tcPr>
                <w:p w14:paraId="46472DBE">
                  <w:pPr>
                    <w:pageBreakBefore w:val="0"/>
                    <w:wordWrap w:val="0"/>
                    <w:topLinePunct/>
                    <w:bidi w:val="0"/>
                    <w:adjustRightInd w:val="0"/>
                    <w:spacing w:beforeAutospacing="0" w:afterAutospacing="0"/>
                    <w:jc w:val="center"/>
                    <w:rPr>
                      <w:b/>
                      <w:bCs/>
                      <w:color w:val="000000" w:themeColor="text1"/>
                      <w:kern w:val="2"/>
                      <w:sz w:val="21"/>
                      <w:szCs w:val="21"/>
                      <w:highlight w:val="none"/>
                      <w14:textFill>
                        <w14:solidFill>
                          <w14:schemeClr w14:val="tx1"/>
                        </w14:solidFill>
                      </w14:textFill>
                    </w:rPr>
                  </w:pPr>
                  <w:r>
                    <w:rPr>
                      <w:b/>
                      <w:bCs/>
                      <w:color w:val="000000" w:themeColor="text1"/>
                      <w:kern w:val="2"/>
                      <w:sz w:val="21"/>
                      <w:szCs w:val="21"/>
                      <w:highlight w:val="none"/>
                      <w14:textFill>
                        <w14:solidFill>
                          <w14:schemeClr w14:val="tx1"/>
                        </w14:solidFill>
                      </w14:textFill>
                    </w:rPr>
                    <w:t>单个集气罩/管</w:t>
                  </w:r>
                  <w:r>
                    <w:rPr>
                      <w:rFonts w:hint="eastAsia"/>
                      <w:b/>
                      <w:bCs/>
                      <w:color w:val="000000" w:themeColor="text1"/>
                      <w:kern w:val="2"/>
                      <w:sz w:val="21"/>
                      <w:szCs w:val="21"/>
                      <w:highlight w:val="none"/>
                      <w:lang w:eastAsia="zh-CN"/>
                      <w14:textFill>
                        <w14:solidFill>
                          <w14:schemeClr w14:val="tx1"/>
                        </w14:solidFill>
                      </w14:textFill>
                    </w:rPr>
                    <w:t>、</w:t>
                  </w:r>
                  <w:r>
                    <w:rPr>
                      <w:rFonts w:hint="eastAsia"/>
                      <w:b/>
                      <w:bCs/>
                      <w:color w:val="000000" w:themeColor="text1"/>
                      <w:kern w:val="2"/>
                      <w:sz w:val="21"/>
                      <w:szCs w:val="21"/>
                      <w:highlight w:val="none"/>
                      <w:lang w:val="en-US" w:eastAsia="zh-CN"/>
                      <w14:textFill>
                        <w14:solidFill>
                          <w14:schemeClr w14:val="tx1"/>
                        </w14:solidFill>
                      </w14:textFill>
                    </w:rPr>
                    <w:t>风机</w:t>
                  </w:r>
                  <w:r>
                    <w:rPr>
                      <w:b/>
                      <w:bCs/>
                      <w:color w:val="000000" w:themeColor="text1"/>
                      <w:kern w:val="2"/>
                      <w:sz w:val="21"/>
                      <w:szCs w:val="21"/>
                      <w:highlight w:val="none"/>
                      <w14:textFill>
                        <w14:solidFill>
                          <w14:schemeClr w14:val="tx1"/>
                        </w14:solidFill>
                      </w14:textFill>
                    </w:rPr>
                    <w:t>风量m</w:t>
                  </w:r>
                  <w:r>
                    <w:rPr>
                      <w:b/>
                      <w:bCs/>
                      <w:color w:val="000000" w:themeColor="text1"/>
                      <w:kern w:val="2"/>
                      <w:sz w:val="21"/>
                      <w:szCs w:val="21"/>
                      <w:highlight w:val="none"/>
                      <w:vertAlign w:val="superscript"/>
                      <w14:textFill>
                        <w14:solidFill>
                          <w14:schemeClr w14:val="tx1"/>
                        </w14:solidFill>
                      </w14:textFill>
                    </w:rPr>
                    <w:t>3</w:t>
                  </w:r>
                  <w:r>
                    <w:rPr>
                      <w:b/>
                      <w:bCs/>
                      <w:color w:val="000000" w:themeColor="text1"/>
                      <w:kern w:val="2"/>
                      <w:sz w:val="21"/>
                      <w:szCs w:val="21"/>
                      <w:highlight w:val="none"/>
                      <w14:textFill>
                        <w14:solidFill>
                          <w14:schemeClr w14:val="tx1"/>
                        </w14:solidFill>
                      </w14:textFill>
                    </w:rPr>
                    <w:t>/h</w:t>
                  </w:r>
                </w:p>
              </w:tc>
              <w:tc>
                <w:tcPr>
                  <w:tcW w:w="1420" w:type="dxa"/>
                  <w:vAlign w:val="center"/>
                </w:tcPr>
                <w:p w14:paraId="461A5C83">
                  <w:pPr>
                    <w:pageBreakBefore w:val="0"/>
                    <w:wordWrap w:val="0"/>
                    <w:topLinePunct/>
                    <w:bidi w:val="0"/>
                    <w:adjustRightInd w:val="0"/>
                    <w:spacing w:beforeAutospacing="0" w:afterAutospacing="0"/>
                    <w:jc w:val="center"/>
                    <w:rPr>
                      <w:b/>
                      <w:bCs/>
                      <w:color w:val="000000" w:themeColor="text1"/>
                      <w:kern w:val="2"/>
                      <w:sz w:val="21"/>
                      <w:szCs w:val="21"/>
                      <w:highlight w:val="none"/>
                      <w14:textFill>
                        <w14:solidFill>
                          <w14:schemeClr w14:val="tx1"/>
                        </w14:solidFill>
                      </w14:textFill>
                    </w:rPr>
                  </w:pPr>
                  <w:r>
                    <w:rPr>
                      <w:rFonts w:hint="eastAsia"/>
                      <w:b/>
                      <w:bCs/>
                      <w:color w:val="000000" w:themeColor="text1"/>
                      <w:kern w:val="2"/>
                      <w:sz w:val="21"/>
                      <w:szCs w:val="21"/>
                      <w:highlight w:val="none"/>
                      <w:lang w:val="en-US" w:eastAsia="zh-CN"/>
                      <w14:textFill>
                        <w14:solidFill>
                          <w14:schemeClr w14:val="tx1"/>
                        </w14:solidFill>
                      </w14:textFill>
                    </w:rPr>
                    <w:t>总</w:t>
                  </w:r>
                  <w:r>
                    <w:rPr>
                      <w:b/>
                      <w:bCs/>
                      <w:color w:val="000000" w:themeColor="text1"/>
                      <w:kern w:val="2"/>
                      <w:sz w:val="21"/>
                      <w:szCs w:val="21"/>
                      <w:highlight w:val="none"/>
                      <w14:textFill>
                        <w14:solidFill>
                          <w14:schemeClr w14:val="tx1"/>
                        </w14:solidFill>
                      </w14:textFill>
                    </w:rPr>
                    <w:t>集气罩/管</w:t>
                  </w:r>
                  <w:r>
                    <w:rPr>
                      <w:rFonts w:hint="eastAsia"/>
                      <w:b/>
                      <w:bCs/>
                      <w:color w:val="000000" w:themeColor="text1"/>
                      <w:kern w:val="2"/>
                      <w:sz w:val="21"/>
                      <w:szCs w:val="21"/>
                      <w:highlight w:val="none"/>
                      <w:lang w:eastAsia="zh-CN"/>
                      <w14:textFill>
                        <w14:solidFill>
                          <w14:schemeClr w14:val="tx1"/>
                        </w14:solidFill>
                      </w14:textFill>
                    </w:rPr>
                    <w:t>、</w:t>
                  </w:r>
                  <w:r>
                    <w:rPr>
                      <w:rFonts w:hint="eastAsia"/>
                      <w:b/>
                      <w:bCs/>
                      <w:color w:val="000000" w:themeColor="text1"/>
                      <w:kern w:val="2"/>
                      <w:sz w:val="21"/>
                      <w:szCs w:val="21"/>
                      <w:highlight w:val="none"/>
                      <w:lang w:val="en-US" w:eastAsia="zh-CN"/>
                      <w14:textFill>
                        <w14:solidFill>
                          <w14:schemeClr w14:val="tx1"/>
                        </w14:solidFill>
                      </w14:textFill>
                    </w:rPr>
                    <w:t>风机</w:t>
                  </w:r>
                  <w:r>
                    <w:rPr>
                      <w:b/>
                      <w:bCs/>
                      <w:color w:val="000000" w:themeColor="text1"/>
                      <w:kern w:val="2"/>
                      <w:sz w:val="21"/>
                      <w:szCs w:val="21"/>
                      <w:highlight w:val="none"/>
                      <w14:textFill>
                        <w14:solidFill>
                          <w14:schemeClr w14:val="tx1"/>
                        </w14:solidFill>
                      </w14:textFill>
                    </w:rPr>
                    <w:t>风量m</w:t>
                  </w:r>
                  <w:r>
                    <w:rPr>
                      <w:b/>
                      <w:bCs/>
                      <w:color w:val="000000" w:themeColor="text1"/>
                      <w:kern w:val="2"/>
                      <w:sz w:val="21"/>
                      <w:szCs w:val="21"/>
                      <w:highlight w:val="none"/>
                      <w:vertAlign w:val="superscript"/>
                      <w14:textFill>
                        <w14:solidFill>
                          <w14:schemeClr w14:val="tx1"/>
                        </w14:solidFill>
                      </w14:textFill>
                    </w:rPr>
                    <w:t>3</w:t>
                  </w:r>
                  <w:r>
                    <w:rPr>
                      <w:b/>
                      <w:bCs/>
                      <w:color w:val="000000" w:themeColor="text1"/>
                      <w:kern w:val="2"/>
                      <w:sz w:val="21"/>
                      <w:szCs w:val="21"/>
                      <w:highlight w:val="none"/>
                      <w14:textFill>
                        <w14:solidFill>
                          <w14:schemeClr w14:val="tx1"/>
                        </w14:solidFill>
                      </w14:textFill>
                    </w:rPr>
                    <w:t>/h</w:t>
                  </w:r>
                </w:p>
              </w:tc>
            </w:tr>
            <w:tr w14:paraId="52D3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316" w:type="dxa"/>
                  <w:gridSpan w:val="8"/>
                  <w:vAlign w:val="center"/>
                </w:tcPr>
                <w:p w14:paraId="6EF59BE5">
                  <w:pPr>
                    <w:pageBreakBefore w:val="0"/>
                    <w:wordWrap w:val="0"/>
                    <w:topLinePunct/>
                    <w:bidi w:val="0"/>
                    <w:adjustRightInd w:val="0"/>
                    <w:spacing w:beforeAutospacing="0" w:afterAutospacing="0"/>
                    <w:jc w:val="center"/>
                    <w:rPr>
                      <w:color w:val="000000" w:themeColor="text1"/>
                      <w:kern w:val="2"/>
                      <w:sz w:val="21"/>
                      <w:szCs w:val="21"/>
                      <w:highlight w:val="none"/>
                      <w14:textFill>
                        <w14:solidFill>
                          <w14:schemeClr w14:val="tx1"/>
                        </w14:solidFill>
                      </w14:textFill>
                    </w:rPr>
                  </w:pPr>
                  <w:r>
                    <w:rPr>
                      <w:b/>
                      <w:bCs/>
                      <w:color w:val="000000" w:themeColor="text1"/>
                      <w:sz w:val="21"/>
                      <w:szCs w:val="21"/>
                      <w:highlight w:val="none"/>
                      <w:lang w:val="pt-PT"/>
                      <w14:textFill>
                        <w14:solidFill>
                          <w14:schemeClr w14:val="tx1"/>
                        </w14:solidFill>
                      </w14:textFill>
                    </w:rPr>
                    <w:t>漆粉涂装线</w:t>
                  </w:r>
                </w:p>
              </w:tc>
            </w:tr>
            <w:tr w14:paraId="1F14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5" w:type="dxa"/>
                  <w:vAlign w:val="center"/>
                </w:tcPr>
                <w:p w14:paraId="4B58EEF6">
                  <w:pPr>
                    <w:pageBreakBefore w:val="0"/>
                    <w:wordWrap w:val="0"/>
                    <w:topLinePunct/>
                    <w:bidi w:val="0"/>
                    <w:adjustRightInd w:val="0"/>
                    <w:spacing w:beforeAutospacing="0" w:afterAutospacing="0"/>
                    <w:jc w:val="center"/>
                    <w:rPr>
                      <w:rFonts w:hint="eastAsia" w:eastAsia="宋体"/>
                      <w:color w:val="000000" w:themeColor="text1"/>
                      <w:kern w:val="2"/>
                      <w:sz w:val="21"/>
                      <w:szCs w:val="21"/>
                      <w:highlight w:val="none"/>
                      <w:lang w:eastAsia="zh-CN"/>
                      <w14:textFill>
                        <w14:solidFill>
                          <w14:schemeClr w14:val="tx1"/>
                        </w14:solidFill>
                      </w14:textFill>
                    </w:rPr>
                  </w:pPr>
                  <w:r>
                    <w:rPr>
                      <w:rFonts w:hint="eastAsia"/>
                      <w:color w:val="000000" w:themeColor="text1"/>
                      <w:kern w:val="2"/>
                      <w:sz w:val="21"/>
                      <w:szCs w:val="21"/>
                      <w:highlight w:val="none"/>
                      <w:lang w:val="en-US" w:eastAsia="zh-CN"/>
                      <w14:textFill>
                        <w14:solidFill>
                          <w14:schemeClr w14:val="tx1"/>
                        </w14:solidFill>
                      </w14:textFill>
                    </w:rPr>
                    <w:t>固化炉排风机</w:t>
                  </w:r>
                </w:p>
              </w:tc>
              <w:tc>
                <w:tcPr>
                  <w:tcW w:w="1136" w:type="dxa"/>
                  <w:vAlign w:val="center"/>
                </w:tcPr>
                <w:p w14:paraId="4570CAFF">
                  <w:pPr>
                    <w:pageBreakBefore w:val="0"/>
                    <w:wordWrap w:val="0"/>
                    <w:topLinePunct/>
                    <w:bidi w:val="0"/>
                    <w:adjustRightInd w:val="0"/>
                    <w:spacing w:beforeAutospacing="0" w:afterAutospacing="0"/>
                    <w:jc w:val="center"/>
                    <w:rPr>
                      <w:rFonts w:hint="default"/>
                      <w:color w:val="000000" w:themeColor="text1"/>
                      <w:kern w:val="2"/>
                      <w:sz w:val="21"/>
                      <w:szCs w:val="21"/>
                      <w:highlight w:val="none"/>
                      <w:lang w:val="en-US"/>
                      <w14:textFill>
                        <w14:solidFill>
                          <w14:schemeClr w14:val="tx1"/>
                        </w14:solidFill>
                      </w14:textFill>
                    </w:rPr>
                  </w:pPr>
                  <w:r>
                    <w:rPr>
                      <w:rFonts w:hint="eastAsia"/>
                      <w:color w:val="000000" w:themeColor="text1"/>
                      <w:kern w:val="2"/>
                      <w:sz w:val="21"/>
                      <w:szCs w:val="21"/>
                      <w:highlight w:val="none"/>
                      <w:lang w:val="en-US" w:eastAsia="zh-CN"/>
                      <w14:textFill>
                        <w14:solidFill>
                          <w14:schemeClr w14:val="tx1"/>
                        </w14:solidFill>
                      </w14:textFill>
                    </w:rPr>
                    <w:t>直连风管+排风风机</w:t>
                  </w:r>
                </w:p>
              </w:tc>
              <w:tc>
                <w:tcPr>
                  <w:tcW w:w="632" w:type="dxa"/>
                  <w:vAlign w:val="center"/>
                </w:tcPr>
                <w:p w14:paraId="3D02FBFB">
                  <w:pPr>
                    <w:pageBreakBefore w:val="0"/>
                    <w:wordWrap w:val="0"/>
                    <w:topLinePunct/>
                    <w:bidi w:val="0"/>
                    <w:adjustRightInd w:val="0"/>
                    <w:spacing w:beforeAutospacing="0" w:afterAutospacing="0"/>
                    <w:jc w:val="center"/>
                    <w:rPr>
                      <w:rFonts w:hint="eastAsia" w:eastAsia="宋体"/>
                      <w:color w:val="000000" w:themeColor="text1"/>
                      <w:kern w:val="2"/>
                      <w:sz w:val="21"/>
                      <w:szCs w:val="21"/>
                      <w:highlight w:val="none"/>
                      <w:lang w:eastAsia="zh-CN"/>
                      <w14:textFill>
                        <w14:solidFill>
                          <w14:schemeClr w14:val="tx1"/>
                        </w14:solidFill>
                      </w14:textFill>
                    </w:rPr>
                  </w:pPr>
                  <w:r>
                    <w:rPr>
                      <w:rFonts w:hint="eastAsia"/>
                      <w:color w:val="000000" w:themeColor="text1"/>
                      <w:kern w:val="2"/>
                      <w:sz w:val="21"/>
                      <w:szCs w:val="21"/>
                      <w:highlight w:val="none"/>
                      <w:lang w:val="en-US" w:eastAsia="zh-CN"/>
                      <w14:textFill>
                        <w14:solidFill>
                          <w14:schemeClr w14:val="tx1"/>
                        </w14:solidFill>
                      </w14:textFill>
                    </w:rPr>
                    <w:t>/</w:t>
                  </w:r>
                </w:p>
              </w:tc>
              <w:tc>
                <w:tcPr>
                  <w:tcW w:w="677" w:type="dxa"/>
                  <w:vAlign w:val="center"/>
                </w:tcPr>
                <w:p w14:paraId="4D907147">
                  <w:pPr>
                    <w:pageBreakBefore w:val="0"/>
                    <w:wordWrap w:val="0"/>
                    <w:topLinePunct/>
                    <w:bidi w:val="0"/>
                    <w:adjustRightInd w:val="0"/>
                    <w:spacing w:beforeAutospacing="0" w:afterAutospacing="0"/>
                    <w:jc w:val="center"/>
                    <w:rPr>
                      <w:color w:val="000000" w:themeColor="text1"/>
                      <w:kern w:val="2"/>
                      <w:sz w:val="21"/>
                      <w:szCs w:val="21"/>
                      <w:highlight w:val="none"/>
                      <w14:textFill>
                        <w14:solidFill>
                          <w14:schemeClr w14:val="tx1"/>
                        </w14:solidFill>
                      </w14:textFill>
                    </w:rPr>
                  </w:pPr>
                  <w:r>
                    <w:rPr>
                      <w:rFonts w:hint="eastAsia"/>
                      <w:color w:val="000000" w:themeColor="text1"/>
                      <w:kern w:val="2"/>
                      <w:sz w:val="21"/>
                      <w:szCs w:val="21"/>
                      <w:highlight w:val="none"/>
                      <w:lang w:val="en-US" w:eastAsia="zh-CN"/>
                      <w14:textFill>
                        <w14:solidFill>
                          <w14:schemeClr w14:val="tx1"/>
                        </w14:solidFill>
                      </w14:textFill>
                    </w:rPr>
                    <w:t>1</w:t>
                  </w:r>
                  <w:r>
                    <w:rPr>
                      <w:color w:val="000000" w:themeColor="text1"/>
                      <w:kern w:val="2"/>
                      <w:sz w:val="21"/>
                      <w:szCs w:val="21"/>
                      <w:highlight w:val="none"/>
                      <w14:textFill>
                        <w14:solidFill>
                          <w14:schemeClr w14:val="tx1"/>
                        </w14:solidFill>
                      </w14:textFill>
                    </w:rPr>
                    <w:t>个</w:t>
                  </w:r>
                </w:p>
              </w:tc>
              <w:tc>
                <w:tcPr>
                  <w:tcW w:w="1334" w:type="dxa"/>
                  <w:vAlign w:val="center"/>
                </w:tcPr>
                <w:p w14:paraId="28A7015C">
                  <w:pPr>
                    <w:pageBreakBefore w:val="0"/>
                    <w:wordWrap w:val="0"/>
                    <w:topLinePunct/>
                    <w:bidi w:val="0"/>
                    <w:adjustRightInd w:val="0"/>
                    <w:spacing w:beforeAutospacing="0" w:afterAutospacing="0"/>
                    <w:jc w:val="center"/>
                    <w:rPr>
                      <w:color w:val="000000" w:themeColor="text1"/>
                      <w:kern w:val="2"/>
                      <w:sz w:val="21"/>
                      <w:szCs w:val="21"/>
                      <w:highlight w:val="none"/>
                      <w14:textFill>
                        <w14:solidFill>
                          <w14:schemeClr w14:val="tx1"/>
                        </w14:solidFill>
                      </w14:textFill>
                    </w:rPr>
                  </w:pPr>
                  <w:r>
                    <w:rPr>
                      <w:color w:val="000000" w:themeColor="text1"/>
                      <w:kern w:val="2"/>
                      <w:sz w:val="21"/>
                      <w:szCs w:val="21"/>
                      <w:highlight w:val="none"/>
                      <w14:textFill>
                        <w14:solidFill>
                          <w14:schemeClr w14:val="tx1"/>
                        </w14:solidFill>
                      </w14:textFill>
                    </w:rPr>
                    <w:t>/</w:t>
                  </w:r>
                </w:p>
              </w:tc>
              <w:tc>
                <w:tcPr>
                  <w:tcW w:w="984" w:type="dxa"/>
                  <w:vAlign w:val="center"/>
                </w:tcPr>
                <w:p w14:paraId="58C979F0">
                  <w:pPr>
                    <w:pageBreakBefore w:val="0"/>
                    <w:wordWrap w:val="0"/>
                    <w:topLinePunct/>
                    <w:bidi w:val="0"/>
                    <w:adjustRightInd w:val="0"/>
                    <w:spacing w:beforeAutospacing="0" w:afterAutospacing="0"/>
                    <w:jc w:val="center"/>
                    <w:rPr>
                      <w:color w:val="000000" w:themeColor="text1"/>
                      <w:kern w:val="2"/>
                      <w:sz w:val="21"/>
                      <w:szCs w:val="21"/>
                      <w:highlight w:val="none"/>
                      <w14:textFill>
                        <w14:solidFill>
                          <w14:schemeClr w14:val="tx1"/>
                        </w14:solidFill>
                      </w14:textFill>
                    </w:rPr>
                  </w:pPr>
                  <w:r>
                    <w:rPr>
                      <w:rFonts w:hint="eastAsia"/>
                      <w:color w:val="000000" w:themeColor="text1"/>
                      <w:kern w:val="2"/>
                      <w:sz w:val="21"/>
                      <w:szCs w:val="21"/>
                      <w:highlight w:val="none"/>
                      <w:lang w:val="en-US" w:eastAsia="zh-CN"/>
                      <w14:textFill>
                        <w14:solidFill>
                          <w14:schemeClr w14:val="tx1"/>
                        </w14:solidFill>
                      </w14:textFill>
                    </w:rPr>
                    <w:t>/</w:t>
                  </w:r>
                </w:p>
              </w:tc>
              <w:tc>
                <w:tcPr>
                  <w:tcW w:w="1468" w:type="dxa"/>
                  <w:vAlign w:val="center"/>
                </w:tcPr>
                <w:p w14:paraId="2C7BB943">
                  <w:pPr>
                    <w:pageBreakBefore w:val="0"/>
                    <w:wordWrap w:val="0"/>
                    <w:topLinePunct/>
                    <w:bidi w:val="0"/>
                    <w:adjustRightInd w:val="0"/>
                    <w:spacing w:beforeAutospacing="0" w:afterAutospacing="0"/>
                    <w:jc w:val="center"/>
                    <w:rPr>
                      <w:rFonts w:hint="default" w:eastAsia="宋体"/>
                      <w:color w:val="000000" w:themeColor="text1"/>
                      <w:kern w:val="2"/>
                      <w:sz w:val="21"/>
                      <w:szCs w:val="21"/>
                      <w:highlight w:val="none"/>
                      <w:lang w:val="en-US" w:eastAsia="zh-CN"/>
                      <w14:textFill>
                        <w14:solidFill>
                          <w14:schemeClr w14:val="tx1"/>
                        </w14:solidFill>
                      </w14:textFill>
                    </w:rPr>
                  </w:pPr>
                  <w:r>
                    <w:rPr>
                      <w:rFonts w:hint="eastAsia"/>
                      <w:color w:val="000000" w:themeColor="text1"/>
                      <w:kern w:val="2"/>
                      <w:sz w:val="21"/>
                      <w:szCs w:val="21"/>
                      <w:highlight w:val="none"/>
                      <w:lang w:val="en-US" w:eastAsia="zh-CN"/>
                      <w14:textFill>
                        <w14:solidFill>
                          <w14:schemeClr w14:val="tx1"/>
                        </w14:solidFill>
                      </w14:textFill>
                    </w:rPr>
                    <w:t>40000</w:t>
                  </w:r>
                </w:p>
              </w:tc>
              <w:tc>
                <w:tcPr>
                  <w:tcW w:w="1420" w:type="dxa"/>
                  <w:vAlign w:val="center"/>
                </w:tcPr>
                <w:p w14:paraId="0D9AF9A6">
                  <w:pPr>
                    <w:pageBreakBefore w:val="0"/>
                    <w:wordWrap w:val="0"/>
                    <w:topLinePunct/>
                    <w:bidi w:val="0"/>
                    <w:adjustRightInd w:val="0"/>
                    <w:spacing w:beforeAutospacing="0" w:afterAutospacing="0"/>
                    <w:jc w:val="center"/>
                    <w:rPr>
                      <w:rFonts w:hint="default" w:eastAsia="宋体"/>
                      <w:color w:val="000000" w:themeColor="text1"/>
                      <w:kern w:val="2"/>
                      <w:sz w:val="21"/>
                      <w:szCs w:val="21"/>
                      <w:highlight w:val="none"/>
                      <w:lang w:val="en-US" w:eastAsia="zh-CN"/>
                      <w14:textFill>
                        <w14:solidFill>
                          <w14:schemeClr w14:val="tx1"/>
                        </w14:solidFill>
                      </w14:textFill>
                    </w:rPr>
                  </w:pPr>
                  <w:r>
                    <w:rPr>
                      <w:rFonts w:hint="eastAsia"/>
                      <w:color w:val="000000" w:themeColor="text1"/>
                      <w:kern w:val="2"/>
                      <w:sz w:val="21"/>
                      <w:szCs w:val="21"/>
                      <w:highlight w:val="none"/>
                      <w:lang w:val="en-US" w:eastAsia="zh-CN"/>
                      <w14:textFill>
                        <w14:solidFill>
                          <w14:schemeClr w14:val="tx1"/>
                        </w14:solidFill>
                      </w14:textFill>
                    </w:rPr>
                    <w:t>40000</w:t>
                  </w:r>
                </w:p>
              </w:tc>
            </w:tr>
            <w:tr w14:paraId="54C3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96" w:type="dxa"/>
                  <w:gridSpan w:val="7"/>
                  <w:vAlign w:val="center"/>
                </w:tcPr>
                <w:p w14:paraId="4CE2CD2F">
                  <w:pPr>
                    <w:pageBreakBefore w:val="0"/>
                    <w:wordWrap w:val="0"/>
                    <w:topLinePunct/>
                    <w:bidi w:val="0"/>
                    <w:adjustRightInd w:val="0"/>
                    <w:spacing w:beforeAutospacing="0" w:afterAutospacing="0"/>
                    <w:jc w:val="center"/>
                    <w:rPr>
                      <w:color w:val="000000" w:themeColor="text1"/>
                      <w:kern w:val="2"/>
                      <w:sz w:val="21"/>
                      <w:szCs w:val="21"/>
                      <w:highlight w:val="none"/>
                      <w14:textFill>
                        <w14:solidFill>
                          <w14:schemeClr w14:val="tx1"/>
                        </w14:solidFill>
                      </w14:textFill>
                    </w:rPr>
                  </w:pPr>
                  <w:r>
                    <w:rPr>
                      <w:color w:val="000000" w:themeColor="text1"/>
                      <w:kern w:val="2"/>
                      <w:sz w:val="21"/>
                      <w:szCs w:val="21"/>
                      <w:highlight w:val="none"/>
                      <w14:textFill>
                        <w14:solidFill>
                          <w14:schemeClr w14:val="tx1"/>
                        </w14:solidFill>
                      </w14:textFill>
                    </w:rPr>
                    <w:t>合计</w:t>
                  </w:r>
                </w:p>
              </w:tc>
              <w:tc>
                <w:tcPr>
                  <w:tcW w:w="1420" w:type="dxa"/>
                  <w:vAlign w:val="center"/>
                </w:tcPr>
                <w:p w14:paraId="1D852521">
                  <w:pPr>
                    <w:pageBreakBefore w:val="0"/>
                    <w:wordWrap w:val="0"/>
                    <w:topLinePunct/>
                    <w:bidi w:val="0"/>
                    <w:adjustRightInd w:val="0"/>
                    <w:spacing w:beforeAutospacing="0" w:afterAutospacing="0"/>
                    <w:jc w:val="center"/>
                    <w:rPr>
                      <w:rFonts w:hint="default" w:eastAsia="宋体"/>
                      <w:color w:val="000000" w:themeColor="text1"/>
                      <w:kern w:val="2"/>
                      <w:sz w:val="21"/>
                      <w:szCs w:val="21"/>
                      <w:highlight w:val="none"/>
                      <w:lang w:val="en-US" w:eastAsia="zh-CN"/>
                      <w14:textFill>
                        <w14:solidFill>
                          <w14:schemeClr w14:val="tx1"/>
                        </w14:solidFill>
                      </w14:textFill>
                    </w:rPr>
                  </w:pPr>
                  <w:r>
                    <w:rPr>
                      <w:rFonts w:hint="eastAsia"/>
                      <w:color w:val="000000" w:themeColor="text1"/>
                      <w:kern w:val="2"/>
                      <w:sz w:val="21"/>
                      <w:szCs w:val="21"/>
                      <w:highlight w:val="none"/>
                      <w:lang w:val="en-US" w:eastAsia="zh-CN"/>
                      <w14:textFill>
                        <w14:solidFill>
                          <w14:schemeClr w14:val="tx1"/>
                        </w14:solidFill>
                      </w14:textFill>
                    </w:rPr>
                    <w:t>40000</w:t>
                  </w:r>
                </w:p>
              </w:tc>
            </w:tr>
          </w:tbl>
          <w:p w14:paraId="52F12E62">
            <w:pPr>
              <w:pStyle w:val="158"/>
              <w:pageBreakBefore w:val="0"/>
              <w:wordWrap w:val="0"/>
              <w:topLinePunct/>
              <w:bidi w:val="0"/>
              <w:snapToGrid/>
              <w:spacing w:beforeAutospacing="0" w:afterAutospacing="0"/>
              <w:ind w:firstLine="480"/>
              <w:rPr>
                <w:rFonts w:hint="default" w:ascii="Times New Roman" w:hAnsi="Times New Roman" w:cs="Times New Roman"/>
                <w:b w:val="0"/>
                <w:bCs w:val="0"/>
                <w:color w:val="000000" w:themeColor="text1"/>
                <w:spacing w:val="-3"/>
                <w:sz w:val="24"/>
                <w:szCs w:val="24"/>
                <w:lang w:val="en-US" w:eastAsia="zh-CN"/>
                <w14:textFill>
                  <w14:solidFill>
                    <w14:schemeClr w14:val="tx1"/>
                  </w14:solidFill>
                </w14:textFill>
              </w:rPr>
            </w:pPr>
            <w:r>
              <w:rPr>
                <w:rFonts w:hint="eastAsia"/>
                <w:color w:val="000000" w:themeColor="text1"/>
                <w:highlight w:val="none"/>
                <w14:textFill>
                  <w14:solidFill>
                    <w14:schemeClr w14:val="tx1"/>
                  </w14:solidFill>
                </w14:textFill>
              </w:rPr>
              <w:t>固化工序产生的有机废气治理效率</w:t>
            </w:r>
            <w:r>
              <w:rPr>
                <w:rFonts w:hint="default" w:ascii="Times New Roman" w:hAnsi="Times New Roman" w:cs="Times New Roman"/>
                <w:color w:val="000000" w:themeColor="text1"/>
                <w:sz w:val="24"/>
                <w14:textFill>
                  <w14:solidFill>
                    <w14:schemeClr w14:val="tx1"/>
                  </w14:solidFill>
                </w14:textFill>
              </w:rPr>
              <w:t>参考《广东省家具行业挥发性有机化合物废气治理技术指南》（粤环</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2013</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79号）中对有机废气治理设施的治理效率可得，吸附法处理效率为50～80%（本报告一级活性炭处理效率取</w:t>
            </w:r>
            <w:r>
              <w:rPr>
                <w:rFonts w:hint="eastAsia" w:cs="Times New Roman"/>
                <w:color w:val="000000" w:themeColor="text1"/>
                <w:sz w:val="24"/>
                <w:lang w:val="en-US" w:eastAsia="zh-CN"/>
                <w14:textFill>
                  <w14:solidFill>
                    <w14:schemeClr w14:val="tx1"/>
                  </w14:solidFill>
                </w14:textFill>
              </w:rPr>
              <w:t>6</w:t>
            </w:r>
            <w:r>
              <w:rPr>
                <w:rFonts w:hint="default" w:ascii="Times New Roman" w:hAnsi="Times New Roman" w:cs="Times New Roman"/>
                <w:color w:val="000000" w:themeColor="text1"/>
                <w:sz w:val="24"/>
                <w14:textFill>
                  <w14:solidFill>
                    <w14:schemeClr w14:val="tx1"/>
                  </w14:solidFill>
                </w14:textFill>
              </w:rPr>
              <w:t>0%，二级活性炭处理效率取50%），项目采取两级活性炭串联方式，当存在两种或两种以上治理设施联合治理时，治理效率可按公式η=1-（1-η</w:t>
            </w:r>
            <w:r>
              <w:rPr>
                <w:rFonts w:hint="default" w:ascii="Times New Roman" w:hAnsi="Times New Roman" w:cs="Times New Roman"/>
                <w:color w:val="000000" w:themeColor="text1"/>
                <w:sz w:val="24"/>
                <w:vertAlign w:val="subscript"/>
                <w14:textFill>
                  <w14:solidFill>
                    <w14:schemeClr w14:val="tx1"/>
                  </w14:solidFill>
                </w14:textFill>
              </w:rPr>
              <w:t>1</w:t>
            </w:r>
            <w:r>
              <w:rPr>
                <w:rFonts w:hint="default" w:ascii="Times New Roman" w:hAnsi="Times New Roman" w:cs="Times New Roman"/>
                <w:color w:val="000000" w:themeColor="text1"/>
                <w:sz w:val="24"/>
                <w14:textFill>
                  <w14:solidFill>
                    <w14:schemeClr w14:val="tx1"/>
                  </w14:solidFill>
                </w14:textFill>
              </w:rPr>
              <w:t>）×（1-η</w:t>
            </w:r>
            <w:r>
              <w:rPr>
                <w:rFonts w:hint="default" w:ascii="Times New Roman" w:hAnsi="Times New Roman" w:cs="Times New Roman"/>
                <w:color w:val="000000" w:themeColor="text1"/>
                <w:sz w:val="24"/>
                <w:vertAlign w:val="sub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）...（1-η</w:t>
            </w:r>
            <w:r>
              <w:rPr>
                <w:rFonts w:hint="default" w:ascii="Times New Roman" w:hAnsi="Times New Roman" w:cs="Times New Roman"/>
                <w:color w:val="000000" w:themeColor="text1"/>
                <w:sz w:val="24"/>
                <w:vertAlign w:val="subscript"/>
                <w14:textFill>
                  <w14:solidFill>
                    <w14:schemeClr w14:val="tx1"/>
                  </w14:solidFill>
                </w14:textFill>
              </w:rPr>
              <w:t>n</w:t>
            </w:r>
            <w:r>
              <w:rPr>
                <w:rFonts w:hint="default" w:ascii="Times New Roman" w:hAnsi="Times New Roman" w:cs="Times New Roman"/>
                <w:color w:val="000000" w:themeColor="text1"/>
                <w:sz w:val="24"/>
                <w14:textFill>
                  <w14:solidFill>
                    <w14:schemeClr w14:val="tx1"/>
                  </w14:solidFill>
                </w14:textFill>
              </w:rPr>
              <w:t>）进行计算，则本项目废气处理工艺对有机废气总处理效率合计为1-（1-</w:t>
            </w:r>
            <w:r>
              <w:rPr>
                <w:rFonts w:hint="eastAsia" w:cs="Times New Roman"/>
                <w:color w:val="000000" w:themeColor="text1"/>
                <w:sz w:val="24"/>
                <w:lang w:val="en-US" w:eastAsia="zh-CN"/>
                <w14:textFill>
                  <w14:solidFill>
                    <w14:schemeClr w14:val="tx1"/>
                  </w14:solidFill>
                </w14:textFill>
              </w:rPr>
              <w:t>6</w:t>
            </w:r>
            <w:r>
              <w:rPr>
                <w:rFonts w:hint="default" w:ascii="Times New Roman" w:hAnsi="Times New Roman" w:cs="Times New Roman"/>
                <w:color w:val="000000" w:themeColor="text1"/>
                <w:sz w:val="24"/>
                <w14:textFill>
                  <w14:solidFill>
                    <w14:schemeClr w14:val="tx1"/>
                  </w14:solidFill>
                </w14:textFill>
              </w:rPr>
              <w:t>0%）×（1-50%）=</w:t>
            </w:r>
            <w:r>
              <w:rPr>
                <w:rFonts w:hint="eastAsia" w:cs="Times New Roman"/>
                <w:color w:val="000000" w:themeColor="text1"/>
                <w:sz w:val="24"/>
                <w:lang w:val="en-US" w:eastAsia="zh-CN"/>
                <w14:textFill>
                  <w14:solidFill>
                    <w14:schemeClr w14:val="tx1"/>
                  </w14:solidFill>
                </w14:textFill>
              </w:rPr>
              <w:t>80</w:t>
            </w:r>
            <w:r>
              <w:rPr>
                <w:rFonts w:hint="default" w:ascii="Times New Roman" w:hAnsi="Times New Roman" w:cs="Times New Roman"/>
                <w:color w:val="000000" w:themeColor="text1"/>
                <w:sz w:val="24"/>
                <w14:textFill>
                  <w14:solidFill>
                    <w14:schemeClr w14:val="tx1"/>
                  </w14:solidFill>
                </w14:textFill>
              </w:rPr>
              <w:t>%。</w:t>
            </w:r>
          </w:p>
          <w:p w14:paraId="589F1D12">
            <w:pPr>
              <w:widowControl w:val="0"/>
              <w:wordWrap w:val="0"/>
              <w:topLinePunct/>
              <w:adjustRightInd w:val="0"/>
              <w:snapToGrid/>
              <w:spacing w:line="360" w:lineRule="auto"/>
              <w:ind w:firstLine="482" w:firstLineChars="200"/>
              <w:jc w:val="both"/>
              <w:rPr>
                <w:rFonts w:ascii="Times New Roman" w:hAnsi="Times New Roman" w:eastAsia="宋体" w:cs="Times New Roman"/>
                <w:b/>
                <w:bCs/>
                <w:color w:val="000000" w:themeColor="text1"/>
                <w:spacing w:val="0"/>
                <w:kern w:val="2"/>
                <w:sz w:val="24"/>
                <w:szCs w:val="24"/>
                <w:highlight w:val="none"/>
                <w:lang w:val="en-US" w:eastAsia="zh-CN" w:bidi="ar-SA"/>
                <w14:textFill>
                  <w14:solidFill>
                    <w14:schemeClr w14:val="tx1"/>
                  </w14:solidFill>
                </w14:textFill>
              </w:rPr>
            </w:pPr>
            <w:bookmarkStart w:id="25" w:name="_Toc14680"/>
            <w:r>
              <w:rPr>
                <w:rFonts w:hint="eastAsia" w:cs="Times New Roman"/>
                <w:b/>
                <w:bCs/>
                <w:color w:val="000000" w:themeColor="text1"/>
                <w:spacing w:val="0"/>
                <w:kern w:val="2"/>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b/>
                <w:bCs/>
                <w:color w:val="000000" w:themeColor="text1"/>
                <w:spacing w:val="0"/>
                <w:kern w:val="2"/>
                <w:sz w:val="24"/>
                <w:szCs w:val="24"/>
                <w:highlight w:val="none"/>
                <w:lang w:val="en-US" w:eastAsia="zh-CN" w:bidi="ar-SA"/>
                <w14:textFill>
                  <w14:solidFill>
                    <w14:schemeClr w14:val="tx1"/>
                  </w14:solidFill>
                </w14:textFill>
              </w:rPr>
              <w:t>.</w:t>
            </w:r>
            <w:r>
              <w:rPr>
                <w:rFonts w:hint="eastAsia" w:cs="Times New Roman"/>
                <w:b/>
                <w:bCs/>
                <w:color w:val="000000" w:themeColor="text1"/>
                <w:spacing w:val="0"/>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b/>
                <w:bCs/>
                <w:color w:val="000000" w:themeColor="text1"/>
                <w:spacing w:val="0"/>
                <w:kern w:val="2"/>
                <w:sz w:val="24"/>
                <w:szCs w:val="24"/>
                <w:highlight w:val="none"/>
                <w:lang w:val="en-US" w:eastAsia="zh-CN" w:bidi="ar-SA"/>
                <w14:textFill>
                  <w14:solidFill>
                    <w14:schemeClr w14:val="tx1"/>
                  </w14:solidFill>
                </w14:textFill>
              </w:rPr>
              <w:t>.7</w:t>
            </w:r>
            <w:r>
              <w:rPr>
                <w:rFonts w:ascii="Times New Roman" w:hAnsi="Times New Roman" w:eastAsia="宋体" w:cs="Times New Roman"/>
                <w:b/>
                <w:bCs/>
                <w:color w:val="000000" w:themeColor="text1"/>
                <w:spacing w:val="0"/>
                <w:kern w:val="2"/>
                <w:sz w:val="24"/>
                <w:szCs w:val="24"/>
                <w:highlight w:val="none"/>
                <w:lang w:val="en-US" w:eastAsia="zh-CN" w:bidi="ar-SA"/>
                <w14:textFill>
                  <w14:solidFill>
                    <w14:schemeClr w14:val="tx1"/>
                  </w14:solidFill>
                </w14:textFill>
              </w:rPr>
              <w:t>喷枪清洗有机废气</w:t>
            </w:r>
            <w:bookmarkEnd w:id="25"/>
          </w:p>
          <w:p w14:paraId="754D3DAE">
            <w:pPr>
              <w:pStyle w:val="158"/>
              <w:pageBreakBefore w:val="0"/>
              <w:wordWrap w:val="0"/>
              <w:topLinePunct/>
              <w:bidi w:val="0"/>
              <w:snapToGrid/>
              <w:spacing w:beforeAutospacing="0" w:afterAutospacing="0"/>
              <w:ind w:firstLine="480"/>
              <w:rPr>
                <w:color w:val="000000" w:themeColor="text1"/>
                <w:highlight w:val="none"/>
                <w14:textFill>
                  <w14:solidFill>
                    <w14:schemeClr w14:val="tx1"/>
                  </w14:solidFill>
                </w14:textFill>
              </w:rPr>
            </w:pPr>
            <w:r>
              <w:rPr>
                <w:rFonts w:ascii="Times New Roman" w:hAnsi="Times New Roman" w:eastAsia="宋体" w:cs="Times New Roman"/>
                <w:color w:val="000000" w:themeColor="text1"/>
                <w:spacing w:val="0"/>
                <w:kern w:val="2"/>
                <w:sz w:val="24"/>
                <w:szCs w:val="24"/>
                <w:highlight w:val="none"/>
                <w:lang w:val="en-US" w:eastAsia="zh-CN" w:bidi="ar-SA"/>
                <w14:textFill>
                  <w14:solidFill>
                    <w14:schemeClr w14:val="tx1"/>
                  </w14:solidFill>
                </w14:textFill>
              </w:rPr>
              <w:t>本项目喷枪需要定期清洗，在流平室进行，拆卸喷枪后放入</w:t>
            </w:r>
            <w:r>
              <w:rPr>
                <w:rFonts w:hint="eastAsia" w:cs="Times New Roman"/>
                <w:color w:val="000000" w:themeColor="text1"/>
                <w:spacing w:val="0"/>
                <w:kern w:val="2"/>
                <w:sz w:val="24"/>
                <w:szCs w:val="24"/>
                <w:highlight w:val="none"/>
                <w:lang w:val="en-US" w:eastAsia="zh-CN" w:bidi="ar-SA"/>
                <w14:textFill>
                  <w14:solidFill>
                    <w14:schemeClr w14:val="tx1"/>
                  </w14:solidFill>
                </w14:textFill>
              </w:rPr>
              <w:t>清洗剂</w:t>
            </w:r>
            <w:r>
              <w:rPr>
                <w:rFonts w:ascii="Times New Roman" w:hAnsi="Times New Roman" w:eastAsia="宋体" w:cs="Times New Roman"/>
                <w:color w:val="000000" w:themeColor="text1"/>
                <w:spacing w:val="0"/>
                <w:kern w:val="2"/>
                <w:sz w:val="24"/>
                <w:szCs w:val="24"/>
                <w:highlight w:val="none"/>
                <w:lang w:val="en-US" w:eastAsia="zh-CN" w:bidi="ar-SA"/>
                <w14:textFill>
                  <w14:solidFill>
                    <w14:schemeClr w14:val="tx1"/>
                  </w14:solidFill>
                </w14:textFill>
              </w:rPr>
              <w:t>原料桶内，加盖浸泡一段时间后取出，完成清洗。该过程会无组织排放少量有机废气，由于产生量较小，因此喷枪清洗有机废气仅考虑定性分析，使用后的</w:t>
            </w:r>
            <w:r>
              <w:rPr>
                <w:rFonts w:hint="eastAsia" w:cs="Times New Roman"/>
                <w:color w:val="000000" w:themeColor="text1"/>
                <w:spacing w:val="0"/>
                <w:kern w:val="2"/>
                <w:sz w:val="24"/>
                <w:szCs w:val="24"/>
                <w:highlight w:val="none"/>
                <w:lang w:val="en-US" w:eastAsia="zh-CN" w:bidi="ar-SA"/>
                <w14:textFill>
                  <w14:solidFill>
                    <w14:schemeClr w14:val="tx1"/>
                  </w14:solidFill>
                </w14:textFill>
              </w:rPr>
              <w:t>清洗</w:t>
            </w:r>
            <w:r>
              <w:rPr>
                <w:rFonts w:ascii="Times New Roman" w:hAnsi="Times New Roman" w:eastAsia="宋体" w:cs="Times New Roman"/>
                <w:color w:val="000000" w:themeColor="text1"/>
                <w:spacing w:val="0"/>
                <w:kern w:val="2"/>
                <w:sz w:val="24"/>
                <w:szCs w:val="24"/>
                <w:highlight w:val="none"/>
                <w:lang w:val="en-US" w:eastAsia="zh-CN" w:bidi="ar-SA"/>
                <w14:textFill>
                  <w14:solidFill>
                    <w14:schemeClr w14:val="tx1"/>
                  </w14:solidFill>
                </w14:textFill>
              </w:rPr>
              <w:t>剂及原料桶作为危废处理。</w:t>
            </w:r>
          </w:p>
          <w:p w14:paraId="4C70C59B">
            <w:pPr>
              <w:pStyle w:val="158"/>
              <w:pageBreakBefore w:val="0"/>
              <w:wordWrap w:val="0"/>
              <w:topLinePunct/>
              <w:bidi w:val="0"/>
              <w:snapToGrid/>
              <w:spacing w:beforeAutospacing="0" w:afterAutospacing="0"/>
              <w:ind w:firstLine="480"/>
              <w:rPr>
                <w:rFonts w:hint="default" w:eastAsia="宋体"/>
                <w:color w:val="000000" w:themeColor="text1"/>
                <w:highlight w:val="none"/>
                <w:lang w:val="en-US" w:eastAsia="zh-CN"/>
                <w14:textFill>
                  <w14:solidFill>
                    <w14:schemeClr w14:val="tx1"/>
                  </w14:solidFill>
                </w14:textFill>
              </w:rPr>
            </w:pPr>
            <w:r>
              <w:rPr>
                <w:color w:val="000000" w:themeColor="text1"/>
                <w14:textFill>
                  <w14:solidFill>
                    <w14:schemeClr w14:val="tx1"/>
                  </w14:solidFill>
                </w14:textFill>
              </w:rPr>
              <w:t>综上，</w:t>
            </w:r>
            <w:r>
              <w:rPr>
                <w:rFonts w:hint="eastAsia"/>
                <w:color w:val="000000" w:themeColor="text1"/>
                <w:lang w:val="en-US" w:eastAsia="zh-CN"/>
                <w14:textFill>
                  <w14:solidFill>
                    <w14:schemeClr w14:val="tx1"/>
                  </w14:solidFill>
                </w14:textFill>
              </w:rPr>
              <w:t>项目喷粉废气经过</w:t>
            </w:r>
            <w:r>
              <w:rPr>
                <w:color w:val="000000" w:themeColor="text1"/>
                <w14:textFill>
                  <w14:solidFill>
                    <w14:schemeClr w14:val="tx1"/>
                  </w14:solidFill>
                </w14:textFill>
              </w:rPr>
              <w:t>“大旋风+滤芯式二级回收系统”</w:t>
            </w:r>
            <w:r>
              <w:rPr>
                <w:rFonts w:hint="eastAsia"/>
                <w:color w:val="000000" w:themeColor="text1"/>
                <w:lang w:val="en-US" w:eastAsia="zh-CN"/>
                <w14:textFill>
                  <w14:solidFill>
                    <w14:schemeClr w14:val="tx1"/>
                  </w14:solidFill>
                </w14:textFill>
              </w:rPr>
              <w:t>处理后无组织排放，</w:t>
            </w:r>
            <w:r>
              <w:rPr>
                <w:color w:val="000000" w:themeColor="text1"/>
                <w14:textFill>
                  <w14:solidFill>
                    <w14:schemeClr w14:val="tx1"/>
                  </w14:solidFill>
                </w14:textFill>
              </w:rPr>
              <w:t>喷漆工序产生的漆雾</w:t>
            </w:r>
            <w:r>
              <w:rPr>
                <w:rFonts w:hint="eastAsia"/>
                <w:color w:val="000000" w:themeColor="text1"/>
                <w:lang w:eastAsia="zh-CN"/>
                <w14:textFill>
                  <w14:solidFill>
                    <w14:schemeClr w14:val="tx1"/>
                  </w14:solidFill>
                </w14:textFill>
              </w:rPr>
              <w:t>经水帘</w:t>
            </w:r>
            <w:r>
              <w:rPr>
                <w:rFonts w:hint="eastAsia"/>
                <w:color w:val="000000" w:themeColor="text1"/>
                <w:lang w:val="en-US" w:eastAsia="zh-CN"/>
                <w14:textFill>
                  <w14:solidFill>
                    <w14:schemeClr w14:val="tx1"/>
                  </w14:solidFill>
                </w14:textFill>
              </w:rPr>
              <w:t>柜</w:t>
            </w:r>
            <w:r>
              <w:rPr>
                <w:rFonts w:hint="eastAsia"/>
                <w:color w:val="000000" w:themeColor="text1"/>
                <w:lang w:eastAsia="zh-CN"/>
                <w14:textFill>
                  <w14:solidFill>
                    <w14:schemeClr w14:val="tx1"/>
                  </w14:solidFill>
                </w14:textFill>
              </w:rPr>
              <w:t>预处理后</w:t>
            </w:r>
            <w:r>
              <w:rPr>
                <w:color w:val="000000" w:themeColor="text1"/>
                <w14:textFill>
                  <w14:solidFill>
                    <w14:schemeClr w14:val="tx1"/>
                  </w14:solidFill>
                </w14:textFill>
              </w:rPr>
              <w:t>进入“</w:t>
            </w:r>
            <w:r>
              <w:rPr>
                <w:rFonts w:hint="eastAsia"/>
                <w:color w:val="000000" w:themeColor="text1"/>
                <w:lang w:eastAsia="zh-CN"/>
                <w14:textFill>
                  <w14:solidFill>
                    <w14:schemeClr w14:val="tx1"/>
                  </w14:solidFill>
                </w14:textFill>
              </w:rPr>
              <w:t>喷淋塔+干式过滤器+活性炭吸脱附催化燃烧</w:t>
            </w:r>
            <w:r>
              <w:rPr>
                <w:rFonts w:hint="eastAsia"/>
                <w:color w:val="000000" w:themeColor="text1"/>
                <w:lang w:val="en-US" w:eastAsia="zh-CN"/>
                <w14:textFill>
                  <w14:solidFill>
                    <w14:schemeClr w14:val="tx1"/>
                  </w14:solidFill>
                </w14:textFill>
              </w:rPr>
              <w:t>+活性炭吸附</w:t>
            </w:r>
            <w:r>
              <w:rPr>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装置</w:t>
            </w:r>
            <w:r>
              <w:rPr>
                <w:color w:val="000000" w:themeColor="text1"/>
                <w:highlight w:val="none"/>
                <w14:textFill>
                  <w14:solidFill>
                    <w14:schemeClr w14:val="tx1"/>
                  </w14:solidFill>
                </w14:textFill>
              </w:rPr>
              <w:t>处理</w:t>
            </w:r>
            <w:r>
              <w:rPr>
                <w:rFonts w:hint="eastAsia"/>
                <w:color w:val="000000" w:themeColor="text1"/>
                <w:highlight w:val="none"/>
                <w:lang w:eastAsia="zh-CN"/>
                <w14:textFill>
                  <w14:solidFill>
                    <w14:schemeClr w14:val="tx1"/>
                  </w14:solidFill>
                </w14:textFill>
              </w:rPr>
              <w:t>，经</w:t>
            </w:r>
            <w:r>
              <w:rPr>
                <w:rFonts w:hint="eastAsia"/>
                <w:color w:val="000000" w:themeColor="text1"/>
                <w:highlight w:val="none"/>
                <w:lang w:val="en-US" w:eastAsia="zh-CN"/>
                <w14:textFill>
                  <w14:solidFill>
                    <w14:schemeClr w14:val="tx1"/>
                  </w14:solidFill>
                </w14:textFill>
              </w:rPr>
              <w:t>DA001排气筒排放</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固化废气经</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喷淋塔+干式过滤器+</w:t>
            </w:r>
            <w:r>
              <w:rPr>
                <w:rFonts w:hint="eastAsia"/>
                <w:color w:val="000000" w:themeColor="text1"/>
                <w:lang w:val="en-US" w:eastAsia="zh-CN"/>
                <w14:textFill>
                  <w14:solidFill>
                    <w14:schemeClr w14:val="tx1"/>
                  </w14:solidFill>
                </w14:textFill>
              </w:rPr>
              <w:t>二级活性炭吸附</w:t>
            </w:r>
            <w:r>
              <w:rPr>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装置</w:t>
            </w:r>
            <w:r>
              <w:rPr>
                <w:color w:val="000000" w:themeColor="text1"/>
                <w:highlight w:val="none"/>
                <w14:textFill>
                  <w14:solidFill>
                    <w14:schemeClr w14:val="tx1"/>
                  </w14:solidFill>
                </w14:textFill>
              </w:rPr>
              <w:t>处理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与天然气燃烧废气一同</w:t>
            </w:r>
            <w:r>
              <w:rPr>
                <w:rFonts w:hint="eastAsia"/>
                <w:color w:val="000000" w:themeColor="text1"/>
                <w:highlight w:val="none"/>
                <w:lang w:eastAsia="zh-CN"/>
                <w14:textFill>
                  <w14:solidFill>
                    <w14:schemeClr w14:val="tx1"/>
                  </w14:solidFill>
                </w14:textFill>
              </w:rPr>
              <w:t>经</w:t>
            </w:r>
            <w:r>
              <w:rPr>
                <w:rFonts w:hint="eastAsia"/>
                <w:color w:val="000000" w:themeColor="text1"/>
                <w:highlight w:val="none"/>
                <w:lang w:val="en-US" w:eastAsia="zh-CN"/>
                <w14:textFill>
                  <w14:solidFill>
                    <w14:schemeClr w14:val="tx1"/>
                  </w14:solidFill>
                </w14:textFill>
              </w:rPr>
              <w:t>DA002排气筒排放。</w:t>
            </w:r>
          </w:p>
          <w:p w14:paraId="5B8CC7E9">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2"/>
                <w:sz w:val="21"/>
                <w:szCs w:val="21"/>
                <w:lang w:val="en-US" w:eastAsia="zh-CN" w:bidi="ar-SA"/>
                <w14:textFill>
                  <w14:solidFill>
                    <w14:schemeClr w14:val="tx1"/>
                  </w14:solidFill>
                </w14:textFill>
              </w:rPr>
              <w:t>表4-1</w:t>
            </w:r>
            <w:r>
              <w:rPr>
                <w:rFonts w:hint="eastAsia" w:cs="Times New Roman"/>
                <w:b/>
                <w:bCs/>
                <w:color w:val="000000" w:themeColor="text1"/>
                <w:spacing w:val="0"/>
                <w:kern w:val="2"/>
                <w:sz w:val="21"/>
                <w:szCs w:val="21"/>
                <w:lang w:val="en-US" w:eastAsia="zh-CN" w:bidi="ar-SA"/>
                <w14:textFill>
                  <w14:solidFill>
                    <w14:schemeClr w14:val="tx1"/>
                  </w14:solidFill>
                </w14:textFill>
              </w:rPr>
              <w:t>8</w:t>
            </w:r>
            <w:r>
              <w:rPr>
                <w:b/>
                <w:bCs/>
                <w:color w:val="000000" w:themeColor="text1"/>
                <w:sz w:val="21"/>
                <w:szCs w:val="21"/>
                <w14:textFill>
                  <w14:solidFill>
                    <w14:schemeClr w14:val="tx1"/>
                  </w14:solidFill>
                </w14:textFill>
              </w:rPr>
              <w:t>项目各污染物收集、治理、排放方式一览表</w:t>
            </w:r>
          </w:p>
          <w:tbl>
            <w:tblPr>
              <w:tblStyle w:val="45"/>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719"/>
              <w:gridCol w:w="668"/>
              <w:gridCol w:w="1044"/>
              <w:gridCol w:w="1220"/>
              <w:gridCol w:w="904"/>
              <w:gridCol w:w="1133"/>
              <w:gridCol w:w="621"/>
              <w:gridCol w:w="575"/>
              <w:gridCol w:w="738"/>
            </w:tblGrid>
            <w:tr w14:paraId="7816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6B195445">
                  <w:pPr>
                    <w:pageBreakBefore w:val="0"/>
                    <w:wordWrap w:val="0"/>
                    <w:topLinePunct/>
                    <w:bidi w:val="0"/>
                    <w:spacing w:beforeAutospacing="0" w:afterAutospacing="0"/>
                    <w:jc w:val="center"/>
                    <w:rPr>
                      <w:rFonts w:eastAsiaTheme="minorEastAsia"/>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所在车间</w:t>
                  </w:r>
                </w:p>
              </w:tc>
              <w:tc>
                <w:tcPr>
                  <w:tcW w:w="428" w:type="pct"/>
                  <w:vAlign w:val="center"/>
                </w:tcPr>
                <w:p w14:paraId="45F51A06">
                  <w:pPr>
                    <w:pageBreakBefore w:val="0"/>
                    <w:wordWrap w:val="0"/>
                    <w:topLinePunct/>
                    <w:bidi w:val="0"/>
                    <w:spacing w:beforeAutospacing="0" w:afterAutospacing="0"/>
                    <w:jc w:val="center"/>
                    <w:rPr>
                      <w:rFonts w:eastAsiaTheme="minorEastAsia"/>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生产线</w:t>
                  </w:r>
                </w:p>
              </w:tc>
              <w:tc>
                <w:tcPr>
                  <w:tcW w:w="398" w:type="pct"/>
                  <w:vAlign w:val="center"/>
                </w:tcPr>
                <w:p w14:paraId="76B8DE75">
                  <w:pPr>
                    <w:pageBreakBefore w:val="0"/>
                    <w:wordWrap w:val="0"/>
                    <w:topLinePunct/>
                    <w:bidi w:val="0"/>
                    <w:spacing w:beforeAutospacing="0" w:afterAutospacing="0"/>
                    <w:jc w:val="center"/>
                    <w:rPr>
                      <w:rFonts w:eastAsiaTheme="minorEastAsia"/>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工序</w:t>
                  </w:r>
                </w:p>
              </w:tc>
              <w:tc>
                <w:tcPr>
                  <w:tcW w:w="622" w:type="pct"/>
                  <w:vAlign w:val="center"/>
                </w:tcPr>
                <w:p w14:paraId="0FD0F5D2">
                  <w:pPr>
                    <w:pageBreakBefore w:val="0"/>
                    <w:wordWrap w:val="0"/>
                    <w:topLinePunct/>
                    <w:bidi w:val="0"/>
                    <w:spacing w:beforeAutospacing="0" w:afterAutospacing="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污染物</w:t>
                  </w:r>
                </w:p>
              </w:tc>
              <w:tc>
                <w:tcPr>
                  <w:tcW w:w="727" w:type="pct"/>
                  <w:vAlign w:val="center"/>
                </w:tcPr>
                <w:p w14:paraId="6C041185">
                  <w:pPr>
                    <w:pageBreakBefore w:val="0"/>
                    <w:wordWrap w:val="0"/>
                    <w:topLinePunct/>
                    <w:bidi w:val="0"/>
                    <w:spacing w:beforeAutospacing="0" w:afterAutospacing="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收集方式</w:t>
                  </w:r>
                </w:p>
              </w:tc>
              <w:tc>
                <w:tcPr>
                  <w:tcW w:w="539" w:type="pct"/>
                  <w:vAlign w:val="center"/>
                </w:tcPr>
                <w:p w14:paraId="72219C25">
                  <w:pPr>
                    <w:pageBreakBefore w:val="0"/>
                    <w:wordWrap w:val="0"/>
                    <w:topLinePunct/>
                    <w:bidi w:val="0"/>
                    <w:spacing w:beforeAutospacing="0" w:afterAutospacing="0"/>
                    <w:jc w:val="center"/>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集气效率%</w:t>
                  </w:r>
                </w:p>
              </w:tc>
              <w:tc>
                <w:tcPr>
                  <w:tcW w:w="675" w:type="pct"/>
                  <w:vAlign w:val="center"/>
                </w:tcPr>
                <w:p w14:paraId="132B4B79">
                  <w:pPr>
                    <w:pageBreakBefore w:val="0"/>
                    <w:wordWrap w:val="0"/>
                    <w:topLinePunct/>
                    <w:bidi w:val="0"/>
                    <w:spacing w:beforeAutospacing="0" w:afterAutospacing="0"/>
                    <w:jc w:val="center"/>
                    <w:rPr>
                      <w:rFonts w:eastAsiaTheme="minorEastAsia"/>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治理措施</w:t>
                  </w:r>
                </w:p>
              </w:tc>
              <w:tc>
                <w:tcPr>
                  <w:tcW w:w="370" w:type="pct"/>
                  <w:vAlign w:val="center"/>
                </w:tcPr>
                <w:p w14:paraId="320843C6">
                  <w:pPr>
                    <w:pageBreakBefore w:val="0"/>
                    <w:wordWrap w:val="0"/>
                    <w:topLinePunct/>
                    <w:bidi w:val="0"/>
                    <w:spacing w:beforeAutospacing="0" w:afterAutospacing="0"/>
                    <w:jc w:val="center"/>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处理效率%</w:t>
                  </w:r>
                </w:p>
              </w:tc>
              <w:tc>
                <w:tcPr>
                  <w:tcW w:w="342" w:type="pct"/>
                  <w:vAlign w:val="center"/>
                </w:tcPr>
                <w:p w14:paraId="524E2D89">
                  <w:pPr>
                    <w:pageBreakBefore w:val="0"/>
                    <w:wordWrap w:val="0"/>
                    <w:topLinePunct/>
                    <w:bidi w:val="0"/>
                    <w:spacing w:beforeAutospacing="0" w:afterAutospacing="0"/>
                    <w:jc w:val="center"/>
                    <w:rPr>
                      <w:rFonts w:eastAsiaTheme="minorEastAsia"/>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排放形式</w:t>
                  </w:r>
                </w:p>
              </w:tc>
              <w:tc>
                <w:tcPr>
                  <w:tcW w:w="440" w:type="pct"/>
                  <w:vAlign w:val="center"/>
                </w:tcPr>
                <w:p w14:paraId="2D71E12E">
                  <w:pPr>
                    <w:pageBreakBefore w:val="0"/>
                    <w:wordWrap w:val="0"/>
                    <w:topLinePunct/>
                    <w:bidi w:val="0"/>
                    <w:spacing w:beforeAutospacing="0" w:afterAutospacing="0"/>
                    <w:jc w:val="center"/>
                    <w:rPr>
                      <w:rFonts w:eastAsiaTheme="minorEastAsia"/>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排气筒编号</w:t>
                  </w:r>
                </w:p>
              </w:tc>
            </w:tr>
            <w:tr w14:paraId="65FC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1E2A3983">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1#车间</w:t>
                  </w:r>
                </w:p>
              </w:tc>
              <w:tc>
                <w:tcPr>
                  <w:tcW w:w="428" w:type="pct"/>
                  <w:vAlign w:val="center"/>
                </w:tcPr>
                <w:p w14:paraId="4291859C">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切割粉尘</w:t>
                  </w:r>
                </w:p>
              </w:tc>
              <w:tc>
                <w:tcPr>
                  <w:tcW w:w="398" w:type="pct"/>
                  <w:vAlign w:val="center"/>
                </w:tcPr>
                <w:p w14:paraId="15C303AB">
                  <w:pPr>
                    <w:pageBreakBefore w:val="0"/>
                    <w:wordWrap w:val="0"/>
                    <w:topLinePunct/>
                    <w:bidi w:val="0"/>
                    <w:spacing w:beforeAutospacing="0" w:afterAutospacing="0"/>
                    <w:jc w:val="center"/>
                    <w:rPr>
                      <w:rFonts w:hint="eastAsia"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切割</w:t>
                  </w:r>
                </w:p>
              </w:tc>
              <w:tc>
                <w:tcPr>
                  <w:tcW w:w="622" w:type="pct"/>
                  <w:vAlign w:val="center"/>
                </w:tcPr>
                <w:p w14:paraId="6D88CE97">
                  <w:pPr>
                    <w:pageBreakBefore w:val="0"/>
                    <w:wordWrap w:val="0"/>
                    <w:topLinePunct/>
                    <w:bidi w:val="0"/>
                    <w:spacing w:beforeAutospacing="0" w:afterAutospacing="0"/>
                    <w:jc w:val="center"/>
                    <w:rPr>
                      <w:rFonts w:hint="eastAsia"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颗粒物</w:t>
                  </w:r>
                </w:p>
              </w:tc>
              <w:tc>
                <w:tcPr>
                  <w:tcW w:w="727" w:type="pct"/>
                  <w:vAlign w:val="center"/>
                </w:tcPr>
                <w:p w14:paraId="0F0F33D2">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集气罩</w:t>
                  </w:r>
                </w:p>
              </w:tc>
              <w:tc>
                <w:tcPr>
                  <w:tcW w:w="539" w:type="pct"/>
                  <w:vAlign w:val="center"/>
                </w:tcPr>
                <w:p w14:paraId="76F0E2FB">
                  <w:pPr>
                    <w:pageBreakBefore w:val="0"/>
                    <w:wordWrap w:val="0"/>
                    <w:topLinePunct/>
                    <w:bidi w:val="0"/>
                    <w:spacing w:beforeAutospacing="0" w:afterAutospacing="0"/>
                    <w:jc w:val="center"/>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675" w:type="pct"/>
                  <w:vAlign w:val="center"/>
                </w:tcPr>
                <w:p w14:paraId="05C13A49">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自然沉降</w:t>
                  </w:r>
                </w:p>
              </w:tc>
              <w:tc>
                <w:tcPr>
                  <w:tcW w:w="370" w:type="pct"/>
                  <w:vAlign w:val="center"/>
                </w:tcPr>
                <w:p w14:paraId="34DADFB0">
                  <w:pPr>
                    <w:pageBreakBefore w:val="0"/>
                    <w:wordWrap w:val="0"/>
                    <w:topLinePunct/>
                    <w:bidi w:val="0"/>
                    <w:spacing w:beforeAutospacing="0" w:afterAutospacing="0"/>
                    <w:jc w:val="center"/>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342" w:type="pct"/>
                  <w:vAlign w:val="center"/>
                </w:tcPr>
                <w:p w14:paraId="5B862AEA">
                  <w:pPr>
                    <w:pageBreakBefore w:val="0"/>
                    <w:wordWrap w:val="0"/>
                    <w:topLinePunct/>
                    <w:bidi w:val="0"/>
                    <w:spacing w:beforeAutospacing="0" w:afterAutospacing="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无组织</w:t>
                  </w:r>
                </w:p>
              </w:tc>
              <w:tc>
                <w:tcPr>
                  <w:tcW w:w="440" w:type="pct"/>
                  <w:vAlign w:val="center"/>
                </w:tcPr>
                <w:p w14:paraId="60C778DA">
                  <w:pPr>
                    <w:pageBreakBefore w:val="0"/>
                    <w:wordWrap w:val="0"/>
                    <w:topLinePunct/>
                    <w:bidi w:val="0"/>
                    <w:spacing w:beforeAutospacing="0" w:afterAutospacing="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w:t>
                  </w:r>
                </w:p>
              </w:tc>
            </w:tr>
            <w:tr w14:paraId="28EE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6F1108B8">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3#车间</w:t>
                  </w:r>
                </w:p>
              </w:tc>
              <w:tc>
                <w:tcPr>
                  <w:tcW w:w="428" w:type="pct"/>
                  <w:vAlign w:val="center"/>
                </w:tcPr>
                <w:p w14:paraId="228FEDC8">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焊接烟尘</w:t>
                  </w:r>
                </w:p>
              </w:tc>
              <w:tc>
                <w:tcPr>
                  <w:tcW w:w="398" w:type="pct"/>
                  <w:vAlign w:val="center"/>
                </w:tcPr>
                <w:p w14:paraId="1F7CE71D">
                  <w:pPr>
                    <w:pageBreakBefore w:val="0"/>
                    <w:wordWrap w:val="0"/>
                    <w:topLinePunct/>
                    <w:bidi w:val="0"/>
                    <w:spacing w:beforeAutospacing="0" w:afterAutospacing="0"/>
                    <w:jc w:val="center"/>
                    <w:rPr>
                      <w:rFonts w:hint="eastAsia"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焊接</w:t>
                  </w:r>
                </w:p>
              </w:tc>
              <w:tc>
                <w:tcPr>
                  <w:tcW w:w="622" w:type="pct"/>
                  <w:vAlign w:val="center"/>
                </w:tcPr>
                <w:p w14:paraId="623EA365">
                  <w:pPr>
                    <w:pageBreakBefore w:val="0"/>
                    <w:wordWrap w:val="0"/>
                    <w:topLinePunct/>
                    <w:bidi w:val="0"/>
                    <w:spacing w:beforeAutospacing="0" w:afterAutospacing="0"/>
                    <w:jc w:val="center"/>
                    <w:rPr>
                      <w:b w:val="0"/>
                      <w:bCs w:val="0"/>
                      <w:color w:val="000000" w:themeColor="text1"/>
                      <w:sz w:val="21"/>
                      <w:szCs w:val="21"/>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颗粒物</w:t>
                  </w:r>
                </w:p>
              </w:tc>
              <w:tc>
                <w:tcPr>
                  <w:tcW w:w="727" w:type="pct"/>
                  <w:vAlign w:val="center"/>
                </w:tcPr>
                <w:p w14:paraId="6E04AD27">
                  <w:pPr>
                    <w:pageBreakBefore w:val="0"/>
                    <w:wordWrap w:val="0"/>
                    <w:topLinePunct/>
                    <w:bidi w:val="0"/>
                    <w:spacing w:beforeAutospacing="0" w:afterAutospacing="0"/>
                    <w:jc w:val="center"/>
                    <w:rPr>
                      <w:rFonts w:hint="eastAsia"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集气罩</w:t>
                  </w:r>
                </w:p>
              </w:tc>
              <w:tc>
                <w:tcPr>
                  <w:tcW w:w="539" w:type="pct"/>
                  <w:vAlign w:val="center"/>
                </w:tcPr>
                <w:p w14:paraId="1D50DAD0">
                  <w:pPr>
                    <w:pageBreakBefore w:val="0"/>
                    <w:wordWrap w:val="0"/>
                    <w:topLinePunct/>
                    <w:bidi w:val="0"/>
                    <w:spacing w:beforeAutospacing="0" w:afterAutospacing="0"/>
                    <w:jc w:val="center"/>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30%</w:t>
                  </w:r>
                </w:p>
              </w:tc>
              <w:tc>
                <w:tcPr>
                  <w:tcW w:w="675" w:type="pct"/>
                  <w:vAlign w:val="center"/>
                </w:tcPr>
                <w:p w14:paraId="2792F5F8">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移动式焊烟净化器</w:t>
                  </w:r>
                </w:p>
              </w:tc>
              <w:tc>
                <w:tcPr>
                  <w:tcW w:w="370" w:type="pct"/>
                  <w:vAlign w:val="center"/>
                </w:tcPr>
                <w:p w14:paraId="79A1E2CE">
                  <w:pPr>
                    <w:pageBreakBefore w:val="0"/>
                    <w:wordWrap w:val="0"/>
                    <w:topLinePunct/>
                    <w:bidi w:val="0"/>
                    <w:spacing w:beforeAutospacing="0" w:afterAutospacing="0"/>
                    <w:jc w:val="center"/>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90%</w:t>
                  </w:r>
                </w:p>
              </w:tc>
              <w:tc>
                <w:tcPr>
                  <w:tcW w:w="342" w:type="pct"/>
                  <w:vAlign w:val="center"/>
                </w:tcPr>
                <w:p w14:paraId="24DE7318">
                  <w:pPr>
                    <w:pageBreakBefore w:val="0"/>
                    <w:wordWrap w:val="0"/>
                    <w:topLinePunct/>
                    <w:bidi w:val="0"/>
                    <w:spacing w:beforeAutospacing="0" w:afterAutospacing="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无组织</w:t>
                  </w:r>
                </w:p>
              </w:tc>
              <w:tc>
                <w:tcPr>
                  <w:tcW w:w="440" w:type="pct"/>
                  <w:vAlign w:val="center"/>
                </w:tcPr>
                <w:p w14:paraId="2D4736A4">
                  <w:pPr>
                    <w:pageBreakBefore w:val="0"/>
                    <w:wordWrap w:val="0"/>
                    <w:topLinePunct/>
                    <w:bidi w:val="0"/>
                    <w:spacing w:beforeAutospacing="0" w:afterAutospacing="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w:t>
                  </w:r>
                </w:p>
              </w:tc>
            </w:tr>
            <w:tr w14:paraId="24EA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31A2639C">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3#车间</w:t>
                  </w:r>
                </w:p>
              </w:tc>
              <w:tc>
                <w:tcPr>
                  <w:tcW w:w="428" w:type="pct"/>
                  <w:vAlign w:val="center"/>
                </w:tcPr>
                <w:p w14:paraId="4D0C25D4">
                  <w:pPr>
                    <w:pageBreakBefore w:val="0"/>
                    <w:wordWrap w:val="0"/>
                    <w:topLinePunct/>
                    <w:bidi w:val="0"/>
                    <w:spacing w:beforeAutospacing="0" w:afterAutospacing="0"/>
                    <w:jc w:val="center"/>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打磨粉尘</w:t>
                  </w:r>
                </w:p>
              </w:tc>
              <w:tc>
                <w:tcPr>
                  <w:tcW w:w="398" w:type="pct"/>
                  <w:vAlign w:val="center"/>
                </w:tcPr>
                <w:p w14:paraId="392BD65D">
                  <w:pPr>
                    <w:pageBreakBefore w:val="0"/>
                    <w:wordWrap w:val="0"/>
                    <w:topLinePunct/>
                    <w:bidi w:val="0"/>
                    <w:spacing w:beforeAutospacing="0" w:afterAutospacing="0"/>
                    <w:jc w:val="center"/>
                    <w:rPr>
                      <w:rFonts w:hint="eastAsia"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打磨抛光</w:t>
                  </w:r>
                </w:p>
              </w:tc>
              <w:tc>
                <w:tcPr>
                  <w:tcW w:w="622" w:type="pct"/>
                  <w:vAlign w:val="center"/>
                </w:tcPr>
                <w:p w14:paraId="2FC82CF5">
                  <w:pPr>
                    <w:pageBreakBefore w:val="0"/>
                    <w:wordWrap w:val="0"/>
                    <w:topLinePunct/>
                    <w:bidi w:val="0"/>
                    <w:spacing w:beforeAutospacing="0" w:afterAutospacing="0"/>
                    <w:jc w:val="center"/>
                    <w:rPr>
                      <w:b w:val="0"/>
                      <w:bCs w:val="0"/>
                      <w:color w:val="000000" w:themeColor="text1"/>
                      <w:sz w:val="21"/>
                      <w:szCs w:val="21"/>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颗粒物</w:t>
                  </w:r>
                </w:p>
              </w:tc>
              <w:tc>
                <w:tcPr>
                  <w:tcW w:w="727" w:type="pct"/>
                  <w:vAlign w:val="center"/>
                </w:tcPr>
                <w:p w14:paraId="143DB07E">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密闭收集</w:t>
                  </w:r>
                </w:p>
              </w:tc>
              <w:tc>
                <w:tcPr>
                  <w:tcW w:w="539" w:type="pct"/>
                  <w:vAlign w:val="center"/>
                </w:tcPr>
                <w:p w14:paraId="4782E5F6">
                  <w:pPr>
                    <w:pageBreakBefore w:val="0"/>
                    <w:wordWrap w:val="0"/>
                    <w:topLinePunct/>
                    <w:bidi w:val="0"/>
                    <w:spacing w:beforeAutospacing="0" w:afterAutospacing="0"/>
                    <w:jc w:val="center"/>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675" w:type="pct"/>
                  <w:vAlign w:val="center"/>
                </w:tcPr>
                <w:p w14:paraId="2CB9F691">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自然沉降</w:t>
                  </w:r>
                </w:p>
              </w:tc>
              <w:tc>
                <w:tcPr>
                  <w:tcW w:w="370" w:type="pct"/>
                  <w:vAlign w:val="center"/>
                </w:tcPr>
                <w:p w14:paraId="2C07AC2F">
                  <w:pPr>
                    <w:pageBreakBefore w:val="0"/>
                    <w:wordWrap w:val="0"/>
                    <w:topLinePunct/>
                    <w:bidi w:val="0"/>
                    <w:spacing w:beforeAutospacing="0" w:afterAutospacing="0"/>
                    <w:jc w:val="center"/>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342" w:type="pct"/>
                  <w:vAlign w:val="center"/>
                </w:tcPr>
                <w:p w14:paraId="732AE67E">
                  <w:pPr>
                    <w:pageBreakBefore w:val="0"/>
                    <w:wordWrap w:val="0"/>
                    <w:topLinePunct/>
                    <w:bidi w:val="0"/>
                    <w:spacing w:beforeAutospacing="0" w:afterAutospacing="0"/>
                    <w:jc w:val="center"/>
                    <w:rPr>
                      <w:rFonts w:hint="eastAsia"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无组织</w:t>
                  </w:r>
                </w:p>
              </w:tc>
              <w:tc>
                <w:tcPr>
                  <w:tcW w:w="440" w:type="pct"/>
                  <w:vAlign w:val="center"/>
                </w:tcPr>
                <w:p w14:paraId="6BCA221E">
                  <w:pPr>
                    <w:pageBreakBefore w:val="0"/>
                    <w:wordWrap w:val="0"/>
                    <w:topLinePunct/>
                    <w:bidi w:val="0"/>
                    <w:spacing w:beforeAutospacing="0" w:afterAutospacing="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r>
            <w:tr w14:paraId="4CBA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restart"/>
                  <w:vAlign w:val="center"/>
                </w:tcPr>
                <w:p w14:paraId="490B3030">
                  <w:pPr>
                    <w:pageBreakBefore w:val="0"/>
                    <w:wordWrap w:val="0"/>
                    <w:topLinePunct/>
                    <w:bidi w:val="0"/>
                    <w:spacing w:beforeAutospacing="0" w:afterAutospacing="0"/>
                    <w:jc w:val="center"/>
                    <w:rPr>
                      <w:rFonts w:hint="default" w:eastAsiaTheme="minorEastAsia"/>
                      <w:color w:val="000000" w:themeColor="text1"/>
                      <w:sz w:val="21"/>
                      <w:szCs w:val="21"/>
                      <w:lang w:val="en-US" w:eastAsia="zh-CN"/>
                      <w14:textFill>
                        <w14:solidFill>
                          <w14:schemeClr w14:val="tx1"/>
                        </w14:solidFill>
                      </w14:textFill>
                    </w:rPr>
                  </w:pPr>
                  <w:r>
                    <w:rPr>
                      <w:rFonts w:hint="eastAsia" w:eastAsiaTheme="minorEastAsia"/>
                      <w:color w:val="000000" w:themeColor="text1"/>
                      <w:sz w:val="21"/>
                      <w:szCs w:val="21"/>
                      <w:lang w:val="en-US" w:eastAsia="zh-CN"/>
                      <w14:textFill>
                        <w14:solidFill>
                          <w14:schemeClr w14:val="tx1"/>
                        </w14:solidFill>
                      </w14:textFill>
                    </w:rPr>
                    <w:t>4#车间</w:t>
                  </w:r>
                </w:p>
              </w:tc>
              <w:tc>
                <w:tcPr>
                  <w:tcW w:w="428" w:type="pct"/>
                  <w:vMerge w:val="restart"/>
                  <w:vAlign w:val="center"/>
                </w:tcPr>
                <w:p w14:paraId="3E156347">
                  <w:pPr>
                    <w:pageBreakBefore w:val="0"/>
                    <w:wordWrap w:val="0"/>
                    <w:topLinePunct/>
                    <w:bidi w:val="0"/>
                    <w:spacing w:beforeAutospacing="0" w:afterAutospacing="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喷粉喷漆漆工序</w:t>
                  </w:r>
                </w:p>
              </w:tc>
              <w:tc>
                <w:tcPr>
                  <w:tcW w:w="398" w:type="pct"/>
                  <w:vAlign w:val="center"/>
                </w:tcPr>
                <w:p w14:paraId="00B5E9F4">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静电喷粉</w:t>
                  </w:r>
                </w:p>
              </w:tc>
              <w:tc>
                <w:tcPr>
                  <w:tcW w:w="622" w:type="pct"/>
                  <w:vAlign w:val="center"/>
                </w:tcPr>
                <w:p w14:paraId="2CD63691">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颗粒物</w:t>
                  </w:r>
                </w:p>
              </w:tc>
              <w:tc>
                <w:tcPr>
                  <w:tcW w:w="727" w:type="pct"/>
                  <w:vAlign w:val="center"/>
                </w:tcPr>
                <w:p w14:paraId="6BFA553D">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密闭收集</w:t>
                  </w:r>
                </w:p>
              </w:tc>
              <w:tc>
                <w:tcPr>
                  <w:tcW w:w="539" w:type="pct"/>
                  <w:vAlign w:val="center"/>
                </w:tcPr>
                <w:p w14:paraId="3D494476">
                  <w:pPr>
                    <w:pageBreakBefore w:val="0"/>
                    <w:wordWrap w:val="0"/>
                    <w:topLinePunct/>
                    <w:bidi w:val="0"/>
                    <w:spacing w:beforeAutospacing="0" w:afterAutospacing="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90%</w:t>
                  </w:r>
                </w:p>
              </w:tc>
              <w:tc>
                <w:tcPr>
                  <w:tcW w:w="675" w:type="pct"/>
                  <w:vAlign w:val="center"/>
                </w:tcPr>
                <w:p w14:paraId="61BF3B89">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大旋风+滤芯式二级回收系统</w:t>
                  </w:r>
                </w:p>
              </w:tc>
              <w:tc>
                <w:tcPr>
                  <w:tcW w:w="370" w:type="pct"/>
                  <w:vAlign w:val="center"/>
                </w:tcPr>
                <w:p w14:paraId="2E5EA6E5">
                  <w:pPr>
                    <w:pageBreakBefore w:val="0"/>
                    <w:wordWrap w:val="0"/>
                    <w:topLinePunct/>
                    <w:bidi w:val="0"/>
                    <w:spacing w:beforeAutospacing="0" w:afterAutospacing="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99%</w:t>
                  </w:r>
                </w:p>
              </w:tc>
              <w:tc>
                <w:tcPr>
                  <w:tcW w:w="342" w:type="pct"/>
                  <w:vAlign w:val="center"/>
                </w:tcPr>
                <w:p w14:paraId="7BEB28F1">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无组织</w:t>
                  </w:r>
                </w:p>
              </w:tc>
              <w:tc>
                <w:tcPr>
                  <w:tcW w:w="440" w:type="pct"/>
                  <w:vAlign w:val="center"/>
                </w:tcPr>
                <w:p w14:paraId="6BEAAC5E">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r w14:paraId="1893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E5D112A">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428" w:type="pct"/>
                  <w:vMerge w:val="continue"/>
                  <w:vAlign w:val="center"/>
                </w:tcPr>
                <w:p w14:paraId="43B093B6">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98" w:type="pct"/>
                  <w:vAlign w:val="center"/>
                </w:tcPr>
                <w:p w14:paraId="63CDB46B">
                  <w:pPr>
                    <w:pageBreakBefore w:val="0"/>
                    <w:wordWrap w:val="0"/>
                    <w:topLinePunct/>
                    <w:bidi w:val="0"/>
                    <w:spacing w:beforeAutospacing="0" w:afterAutospacing="0"/>
                    <w:jc w:val="center"/>
                    <w:rPr>
                      <w:rFonts w:hint="eastAsia" w:eastAsia="宋体"/>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静电</w:t>
                  </w:r>
                  <w:r>
                    <w:rPr>
                      <w:rFonts w:hint="eastAsia"/>
                      <w:color w:val="000000" w:themeColor="text1"/>
                      <w:sz w:val="21"/>
                      <w:szCs w:val="21"/>
                      <w:lang w:eastAsia="zh-CN"/>
                      <w14:textFill>
                        <w14:solidFill>
                          <w14:schemeClr w14:val="tx1"/>
                        </w14:solidFill>
                      </w14:textFill>
                    </w:rPr>
                    <w:t>喷粉</w:t>
                  </w:r>
                </w:p>
              </w:tc>
              <w:tc>
                <w:tcPr>
                  <w:tcW w:w="622" w:type="pct"/>
                  <w:vAlign w:val="center"/>
                </w:tcPr>
                <w:p w14:paraId="2E2D3562">
                  <w:pPr>
                    <w:pageBreakBefore w:val="0"/>
                    <w:wordWrap w:val="0"/>
                    <w:topLinePunct/>
                    <w:bidi w:val="0"/>
                    <w:spacing w:beforeAutospacing="0" w:afterAutospacing="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固化有机废气</w:t>
                  </w:r>
                </w:p>
              </w:tc>
              <w:tc>
                <w:tcPr>
                  <w:tcW w:w="727" w:type="pct"/>
                  <w:vAlign w:val="center"/>
                </w:tcPr>
                <w:p w14:paraId="7315095B">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集气罩、</w:t>
                  </w:r>
                  <w:r>
                    <w:rPr>
                      <w:color w:val="000000" w:themeColor="text1"/>
                      <w:kern w:val="2"/>
                      <w:sz w:val="21"/>
                      <w:szCs w:val="21"/>
                      <w14:textFill>
                        <w14:solidFill>
                          <w14:schemeClr w14:val="tx1"/>
                        </w14:solidFill>
                      </w14:textFill>
                    </w:rPr>
                    <w:t>直连排风管</w:t>
                  </w:r>
                </w:p>
              </w:tc>
              <w:tc>
                <w:tcPr>
                  <w:tcW w:w="539" w:type="pct"/>
                  <w:vAlign w:val="center"/>
                </w:tcPr>
                <w:p w14:paraId="5254A2F6">
                  <w:pPr>
                    <w:pageBreakBefore w:val="0"/>
                    <w:wordWrap w:val="0"/>
                    <w:topLinePunct/>
                    <w:bidi w:val="0"/>
                    <w:spacing w:beforeAutospacing="0" w:afterAutospacing="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90%</w:t>
                  </w:r>
                </w:p>
              </w:tc>
              <w:tc>
                <w:tcPr>
                  <w:tcW w:w="675" w:type="pct"/>
                  <w:vMerge w:val="restart"/>
                  <w:vAlign w:val="center"/>
                </w:tcPr>
                <w:p w14:paraId="363BF520">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水帘柜</w:t>
                  </w:r>
                  <w:r>
                    <w:rPr>
                      <w:rFonts w:hint="eastAsia"/>
                      <w:color w:val="000000" w:themeColor="text1"/>
                      <w:sz w:val="21"/>
                      <w:szCs w:val="21"/>
                      <w:lang w:val="en-US" w:eastAsia="zh-CN"/>
                      <w14:textFill>
                        <w14:solidFill>
                          <w14:schemeClr w14:val="tx1"/>
                        </w14:solidFill>
                      </w14:textFill>
                    </w:rPr>
                    <w:t>喷淋</w:t>
                  </w:r>
                  <w:r>
                    <w:rPr>
                      <w:color w:val="000000" w:themeColor="text1"/>
                      <w:sz w:val="21"/>
                      <w:szCs w:val="21"/>
                      <w14:textFill>
                        <w14:solidFill>
                          <w14:schemeClr w14:val="tx1"/>
                        </w14:solidFill>
                      </w14:textFill>
                    </w:rPr>
                    <w:t>+干式过滤器+</w:t>
                  </w:r>
                  <w:r>
                    <w:rPr>
                      <w:rFonts w:hint="eastAsia"/>
                      <w:color w:val="000000" w:themeColor="text1"/>
                      <w:sz w:val="21"/>
                      <w:szCs w:val="21"/>
                      <w:lang w:eastAsia="zh-CN"/>
                      <w14:textFill>
                        <w14:solidFill>
                          <w14:schemeClr w14:val="tx1"/>
                        </w14:solidFill>
                      </w14:textFill>
                    </w:rPr>
                    <w:t>活性炭吸脱附催化燃烧</w:t>
                  </w:r>
                </w:p>
              </w:tc>
              <w:tc>
                <w:tcPr>
                  <w:tcW w:w="370" w:type="pct"/>
                  <w:vAlign w:val="center"/>
                </w:tcPr>
                <w:p w14:paraId="527663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342" w:type="pct"/>
                  <w:vMerge w:val="restart"/>
                  <w:vAlign w:val="center"/>
                </w:tcPr>
                <w:p w14:paraId="043FB628">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有组织</w:t>
                  </w:r>
                </w:p>
              </w:tc>
              <w:tc>
                <w:tcPr>
                  <w:tcW w:w="440" w:type="pct"/>
                  <w:vMerge w:val="restart"/>
                  <w:vAlign w:val="center"/>
                </w:tcPr>
                <w:p w14:paraId="048B853C">
                  <w:pPr>
                    <w:pageBreakBefore w:val="0"/>
                    <w:wordWrap w:val="0"/>
                    <w:topLinePunct/>
                    <w:bidi w:val="0"/>
                    <w:spacing w:beforeAutospacing="0" w:afterAutospacing="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DA00</w:t>
                  </w:r>
                  <w:r>
                    <w:rPr>
                      <w:rFonts w:hint="eastAsia"/>
                      <w:color w:val="000000" w:themeColor="text1"/>
                      <w:sz w:val="21"/>
                      <w:szCs w:val="21"/>
                      <w:lang w:val="en-US" w:eastAsia="zh-CN"/>
                      <w14:textFill>
                        <w14:solidFill>
                          <w14:schemeClr w14:val="tx1"/>
                        </w14:solidFill>
                      </w14:textFill>
                    </w:rPr>
                    <w:t>1</w:t>
                  </w:r>
                </w:p>
              </w:tc>
            </w:tr>
            <w:tr w14:paraId="0070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82EB19F">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428" w:type="pct"/>
                  <w:vMerge w:val="continue"/>
                  <w:vAlign w:val="center"/>
                </w:tcPr>
                <w:p w14:paraId="2E01E527">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98" w:type="pct"/>
                  <w:vAlign w:val="center"/>
                </w:tcPr>
                <w:p w14:paraId="4F4C03D8">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喷漆</w:t>
                  </w:r>
                </w:p>
              </w:tc>
              <w:tc>
                <w:tcPr>
                  <w:tcW w:w="622" w:type="pct"/>
                  <w:vAlign w:val="center"/>
                </w:tcPr>
                <w:p w14:paraId="36848117">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有机废气（VOCs、</w:t>
                  </w:r>
                  <w:r>
                    <w:rPr>
                      <w:rFonts w:hint="eastAsia"/>
                      <w:color w:val="000000" w:themeColor="text1"/>
                      <w:sz w:val="21"/>
                      <w:szCs w:val="21"/>
                      <w:lang w:val="en-US" w:eastAsia="zh-CN"/>
                      <w14:textFill>
                        <w14:solidFill>
                          <w14:schemeClr w14:val="tx1"/>
                        </w14:solidFill>
                      </w14:textFill>
                    </w:rPr>
                    <w:t>苯系物、臭气浓度</w:t>
                  </w:r>
                  <w:r>
                    <w:rPr>
                      <w:color w:val="000000" w:themeColor="text1"/>
                      <w:sz w:val="21"/>
                      <w:szCs w:val="21"/>
                      <w14:textFill>
                        <w14:solidFill>
                          <w14:schemeClr w14:val="tx1"/>
                        </w14:solidFill>
                      </w14:textFill>
                    </w:rPr>
                    <w:t>）</w:t>
                  </w:r>
                </w:p>
              </w:tc>
              <w:tc>
                <w:tcPr>
                  <w:tcW w:w="727" w:type="pct"/>
                  <w:vAlign w:val="center"/>
                </w:tcPr>
                <w:p w14:paraId="27582827">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密闭收集</w:t>
                  </w:r>
                </w:p>
              </w:tc>
              <w:tc>
                <w:tcPr>
                  <w:tcW w:w="539" w:type="pct"/>
                  <w:vAlign w:val="center"/>
                </w:tcPr>
                <w:p w14:paraId="3514FCF5">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90%</w:t>
                  </w:r>
                </w:p>
              </w:tc>
              <w:tc>
                <w:tcPr>
                  <w:tcW w:w="675" w:type="pct"/>
                  <w:vMerge w:val="continue"/>
                  <w:vAlign w:val="center"/>
                </w:tcPr>
                <w:p w14:paraId="1621E2CB">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70" w:type="pct"/>
                  <w:vAlign w:val="center"/>
                </w:tcPr>
                <w:p w14:paraId="2C4CAC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342" w:type="pct"/>
                  <w:vMerge w:val="continue"/>
                  <w:vAlign w:val="center"/>
                </w:tcPr>
                <w:p w14:paraId="2B739A78">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p>
              </w:tc>
              <w:tc>
                <w:tcPr>
                  <w:tcW w:w="440" w:type="pct"/>
                  <w:vMerge w:val="continue"/>
                  <w:vAlign w:val="center"/>
                </w:tcPr>
                <w:p w14:paraId="26255E83">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r>
            <w:tr w14:paraId="6C97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48DAAF98">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428" w:type="pct"/>
                  <w:vMerge w:val="continue"/>
                  <w:vAlign w:val="center"/>
                </w:tcPr>
                <w:p w14:paraId="3D1B846D">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98" w:type="pct"/>
                  <w:vAlign w:val="center"/>
                </w:tcPr>
                <w:p w14:paraId="7369E5D0">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喷漆</w:t>
                  </w:r>
                </w:p>
              </w:tc>
              <w:tc>
                <w:tcPr>
                  <w:tcW w:w="622" w:type="pct"/>
                  <w:vAlign w:val="center"/>
                </w:tcPr>
                <w:p w14:paraId="7014E5F3">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漆雾（颗粒物）</w:t>
                  </w:r>
                </w:p>
              </w:tc>
              <w:tc>
                <w:tcPr>
                  <w:tcW w:w="727" w:type="pct"/>
                  <w:vAlign w:val="center"/>
                </w:tcPr>
                <w:p w14:paraId="1FA55E89">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密闭收集</w:t>
                  </w:r>
                </w:p>
              </w:tc>
              <w:tc>
                <w:tcPr>
                  <w:tcW w:w="539" w:type="pct"/>
                  <w:vAlign w:val="center"/>
                </w:tcPr>
                <w:p w14:paraId="43740B91">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90%</w:t>
                  </w:r>
                </w:p>
              </w:tc>
              <w:tc>
                <w:tcPr>
                  <w:tcW w:w="675" w:type="pct"/>
                  <w:vMerge w:val="continue"/>
                  <w:vAlign w:val="center"/>
                </w:tcPr>
                <w:p w14:paraId="679E7CB5">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70" w:type="pct"/>
                  <w:vAlign w:val="center"/>
                </w:tcPr>
                <w:p w14:paraId="3BF4B8AE">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99%</w:t>
                  </w:r>
                </w:p>
              </w:tc>
              <w:tc>
                <w:tcPr>
                  <w:tcW w:w="342" w:type="pct"/>
                  <w:vMerge w:val="continue"/>
                  <w:vAlign w:val="center"/>
                </w:tcPr>
                <w:p w14:paraId="3EF0013D">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440" w:type="pct"/>
                  <w:vMerge w:val="continue"/>
                  <w:vAlign w:val="center"/>
                </w:tcPr>
                <w:p w14:paraId="6B5D281E">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r>
            <w:tr w14:paraId="1D1D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07CEF7FB">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428" w:type="pct"/>
                  <w:vMerge w:val="continue"/>
                  <w:vAlign w:val="center"/>
                </w:tcPr>
                <w:p w14:paraId="456EF9A9">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98" w:type="pct"/>
                  <w:vAlign w:val="center"/>
                </w:tcPr>
                <w:p w14:paraId="37DD5FB9">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喷枪清洗</w:t>
                  </w:r>
                </w:p>
              </w:tc>
              <w:tc>
                <w:tcPr>
                  <w:tcW w:w="622" w:type="pct"/>
                  <w:vAlign w:val="center"/>
                </w:tcPr>
                <w:p w14:paraId="6CD62CA3">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有机废气</w:t>
                  </w:r>
                </w:p>
              </w:tc>
              <w:tc>
                <w:tcPr>
                  <w:tcW w:w="727" w:type="pct"/>
                  <w:vAlign w:val="center"/>
                </w:tcPr>
                <w:p w14:paraId="325D86F8">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密闭收集</w:t>
                  </w:r>
                </w:p>
              </w:tc>
              <w:tc>
                <w:tcPr>
                  <w:tcW w:w="539" w:type="pct"/>
                  <w:vAlign w:val="center"/>
                </w:tcPr>
                <w:p w14:paraId="2F680674">
                  <w:pPr>
                    <w:pageBreakBefore w:val="0"/>
                    <w:wordWrap w:val="0"/>
                    <w:topLinePunct/>
                    <w:bidi w:val="0"/>
                    <w:spacing w:beforeAutospacing="0" w:afterAutospacing="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675" w:type="pct"/>
                  <w:vMerge w:val="continue"/>
                  <w:vAlign w:val="center"/>
                </w:tcPr>
                <w:p w14:paraId="694CBBD9">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70" w:type="pct"/>
                  <w:vAlign w:val="center"/>
                </w:tcPr>
                <w:p w14:paraId="661F0B58">
                  <w:pPr>
                    <w:pageBreakBefore w:val="0"/>
                    <w:wordWrap w:val="0"/>
                    <w:topLinePunct/>
                    <w:bidi w:val="0"/>
                    <w:spacing w:beforeAutospacing="0" w:afterAutospacing="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342" w:type="pct"/>
                  <w:vMerge w:val="continue"/>
                  <w:vAlign w:val="center"/>
                </w:tcPr>
                <w:p w14:paraId="784456CA">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440" w:type="pct"/>
                  <w:vMerge w:val="continue"/>
                  <w:vAlign w:val="center"/>
                </w:tcPr>
                <w:p w14:paraId="52ED12C4">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r>
            <w:tr w14:paraId="1B9D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restart"/>
                  <w:vAlign w:val="center"/>
                </w:tcPr>
                <w:p w14:paraId="2DDBC08B">
                  <w:pPr>
                    <w:pageBreakBefore w:val="0"/>
                    <w:wordWrap w:val="0"/>
                    <w:topLinePunct/>
                    <w:bidi w:val="0"/>
                    <w:spacing w:beforeAutospacing="0" w:afterAutospacing="0"/>
                    <w:jc w:val="center"/>
                    <w:rPr>
                      <w:rFonts w:hint="default" w:eastAsiaTheme="minorEastAsia"/>
                      <w:color w:val="000000" w:themeColor="text1"/>
                      <w:sz w:val="21"/>
                      <w:szCs w:val="21"/>
                      <w:lang w:val="en-US" w:eastAsia="zh-CN"/>
                      <w14:textFill>
                        <w14:solidFill>
                          <w14:schemeClr w14:val="tx1"/>
                        </w14:solidFill>
                      </w14:textFill>
                    </w:rPr>
                  </w:pPr>
                  <w:r>
                    <w:rPr>
                      <w:rFonts w:hint="eastAsia" w:eastAsiaTheme="minorEastAsia"/>
                      <w:color w:val="000000" w:themeColor="text1"/>
                      <w:sz w:val="21"/>
                      <w:szCs w:val="21"/>
                      <w:lang w:val="en-US" w:eastAsia="zh-CN"/>
                      <w14:textFill>
                        <w14:solidFill>
                          <w14:schemeClr w14:val="tx1"/>
                        </w14:solidFill>
                      </w14:textFill>
                    </w:rPr>
                    <w:t>四号车间</w:t>
                  </w:r>
                </w:p>
              </w:tc>
              <w:tc>
                <w:tcPr>
                  <w:tcW w:w="428" w:type="pct"/>
                  <w:vMerge w:val="restart"/>
                  <w:vAlign w:val="center"/>
                </w:tcPr>
                <w:p w14:paraId="5B2266C5">
                  <w:pPr>
                    <w:pageBreakBefore w:val="0"/>
                    <w:wordWrap w:val="0"/>
                    <w:topLinePunct/>
                    <w:bidi w:val="0"/>
                    <w:spacing w:beforeAutospacing="0" w:afterAutospacing="0"/>
                    <w:jc w:val="center"/>
                    <w:rPr>
                      <w:rFonts w:hint="default" w:eastAsiaTheme="minorEastAsia"/>
                      <w:color w:val="000000" w:themeColor="text1"/>
                      <w:sz w:val="21"/>
                      <w:szCs w:val="21"/>
                      <w:lang w:val="en-US" w:eastAsia="zh-CN"/>
                      <w14:textFill>
                        <w14:solidFill>
                          <w14:schemeClr w14:val="tx1"/>
                        </w14:solidFill>
                      </w14:textFill>
                    </w:rPr>
                  </w:pPr>
                  <w:r>
                    <w:rPr>
                      <w:rFonts w:hint="eastAsia" w:eastAsiaTheme="minorEastAsia"/>
                      <w:color w:val="000000" w:themeColor="text1"/>
                      <w:sz w:val="21"/>
                      <w:szCs w:val="21"/>
                      <w:lang w:val="en-US" w:eastAsia="zh-CN"/>
                      <w14:textFill>
                        <w14:solidFill>
                          <w14:schemeClr w14:val="tx1"/>
                        </w14:solidFill>
                      </w14:textFill>
                    </w:rPr>
                    <w:t>固化工序</w:t>
                  </w:r>
                </w:p>
              </w:tc>
              <w:tc>
                <w:tcPr>
                  <w:tcW w:w="398" w:type="pct"/>
                  <w:vAlign w:val="center"/>
                </w:tcPr>
                <w:p w14:paraId="62F73B3B">
                  <w:pPr>
                    <w:pageBreakBefore w:val="0"/>
                    <w:wordWrap w:val="0"/>
                    <w:topLinePunct/>
                    <w:bidi w:val="0"/>
                    <w:spacing w:beforeAutospacing="0" w:afterAutospacing="0"/>
                    <w:jc w:val="center"/>
                    <w:rPr>
                      <w:rFonts w:hint="eastAsia" w:eastAsiaTheme="minorEastAsia"/>
                      <w:color w:val="000000" w:themeColor="text1"/>
                      <w:sz w:val="21"/>
                      <w:szCs w:val="21"/>
                      <w:lang w:eastAsia="zh-CN"/>
                      <w14:textFill>
                        <w14:solidFill>
                          <w14:schemeClr w14:val="tx1"/>
                        </w14:solidFill>
                      </w14:textFill>
                    </w:rPr>
                  </w:pPr>
                  <w:r>
                    <w:rPr>
                      <w:rFonts w:hint="eastAsia" w:eastAsiaTheme="minorEastAsia"/>
                      <w:color w:val="000000" w:themeColor="text1"/>
                      <w:sz w:val="21"/>
                      <w:szCs w:val="21"/>
                      <w:lang w:val="en-US" w:eastAsia="zh-CN"/>
                      <w14:textFill>
                        <w14:solidFill>
                          <w14:schemeClr w14:val="tx1"/>
                        </w14:solidFill>
                      </w14:textFill>
                    </w:rPr>
                    <w:t>固化</w:t>
                  </w:r>
                </w:p>
              </w:tc>
              <w:tc>
                <w:tcPr>
                  <w:tcW w:w="622" w:type="pct"/>
                  <w:vAlign w:val="center"/>
                </w:tcPr>
                <w:p w14:paraId="60478C4B">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有机废气（VOCs、</w:t>
                  </w:r>
                  <w:r>
                    <w:rPr>
                      <w:rFonts w:hint="eastAsia"/>
                      <w:color w:val="000000" w:themeColor="text1"/>
                      <w:sz w:val="21"/>
                      <w:szCs w:val="21"/>
                      <w:lang w:val="en-US" w:eastAsia="zh-CN"/>
                      <w14:textFill>
                        <w14:solidFill>
                          <w14:schemeClr w14:val="tx1"/>
                        </w14:solidFill>
                      </w14:textFill>
                    </w:rPr>
                    <w:t>苯系物</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臭气浓度</w:t>
                  </w:r>
                  <w:r>
                    <w:rPr>
                      <w:color w:val="000000" w:themeColor="text1"/>
                      <w:sz w:val="21"/>
                      <w:szCs w:val="21"/>
                      <w14:textFill>
                        <w14:solidFill>
                          <w14:schemeClr w14:val="tx1"/>
                        </w14:solidFill>
                      </w14:textFill>
                    </w:rPr>
                    <w:t>）</w:t>
                  </w:r>
                </w:p>
              </w:tc>
              <w:tc>
                <w:tcPr>
                  <w:tcW w:w="727" w:type="pct"/>
                  <w:vAlign w:val="center"/>
                </w:tcPr>
                <w:p w14:paraId="51DA0C33">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密闭负压收集</w:t>
                  </w:r>
                </w:p>
              </w:tc>
              <w:tc>
                <w:tcPr>
                  <w:tcW w:w="539" w:type="pct"/>
                  <w:vAlign w:val="center"/>
                </w:tcPr>
                <w:p w14:paraId="16D595B7">
                  <w:pPr>
                    <w:pageBreakBefore w:val="0"/>
                    <w:wordWrap w:val="0"/>
                    <w:topLinePunct/>
                    <w:bidi w:val="0"/>
                    <w:spacing w:beforeAutospacing="0" w:afterAutospacing="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95%</w:t>
                  </w:r>
                </w:p>
              </w:tc>
              <w:tc>
                <w:tcPr>
                  <w:tcW w:w="675" w:type="pct"/>
                  <w:vMerge w:val="restart"/>
                  <w:vAlign w:val="center"/>
                </w:tcPr>
                <w:p w14:paraId="05FD7E8E">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喷淋塔+干式过滤器+</w:t>
                  </w:r>
                  <w:r>
                    <w:rPr>
                      <w:rFonts w:hint="eastAsia"/>
                      <w:color w:val="000000" w:themeColor="text1"/>
                      <w:lang w:val="en-US" w:eastAsia="zh-CN"/>
                      <w14:textFill>
                        <w14:solidFill>
                          <w14:schemeClr w14:val="tx1"/>
                        </w14:solidFill>
                      </w14:textFill>
                    </w:rPr>
                    <w:t>二级活性炭吸附</w:t>
                  </w:r>
                </w:p>
              </w:tc>
              <w:tc>
                <w:tcPr>
                  <w:tcW w:w="370" w:type="pct"/>
                  <w:vAlign w:val="center"/>
                </w:tcPr>
                <w:p w14:paraId="6B30C190">
                  <w:pPr>
                    <w:pageBreakBefore w:val="0"/>
                    <w:wordWrap w:val="0"/>
                    <w:topLinePunct/>
                    <w:bidi w:val="0"/>
                    <w:spacing w:beforeAutospacing="0" w:afterAutospacing="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80%</w:t>
                  </w:r>
                </w:p>
              </w:tc>
              <w:tc>
                <w:tcPr>
                  <w:tcW w:w="342" w:type="pct"/>
                  <w:vMerge w:val="restart"/>
                  <w:vAlign w:val="center"/>
                </w:tcPr>
                <w:p w14:paraId="34E9013D">
                  <w:pPr>
                    <w:pageBreakBefore w:val="0"/>
                    <w:wordWrap w:val="0"/>
                    <w:topLinePunct/>
                    <w:bidi w:val="0"/>
                    <w:spacing w:beforeAutospacing="0" w:afterAutospacing="0"/>
                    <w:jc w:val="center"/>
                    <w:rPr>
                      <w:rFonts w:eastAsiaTheme="minor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有组织</w:t>
                  </w:r>
                </w:p>
              </w:tc>
              <w:tc>
                <w:tcPr>
                  <w:tcW w:w="440" w:type="pct"/>
                  <w:vMerge w:val="restart"/>
                  <w:vAlign w:val="center"/>
                </w:tcPr>
                <w:p w14:paraId="00B65598">
                  <w:pPr>
                    <w:pageBreakBefore w:val="0"/>
                    <w:wordWrap w:val="0"/>
                    <w:topLinePunct/>
                    <w:bidi w:val="0"/>
                    <w:spacing w:beforeAutospacing="0" w:afterAutospacing="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DA00</w:t>
                  </w:r>
                  <w:r>
                    <w:rPr>
                      <w:rFonts w:hint="eastAsia"/>
                      <w:color w:val="000000" w:themeColor="text1"/>
                      <w:sz w:val="21"/>
                      <w:szCs w:val="21"/>
                      <w:lang w:val="en-US" w:eastAsia="zh-CN"/>
                      <w14:textFill>
                        <w14:solidFill>
                          <w14:schemeClr w14:val="tx1"/>
                        </w14:solidFill>
                      </w14:textFill>
                    </w:rPr>
                    <w:t>2</w:t>
                  </w:r>
                </w:p>
              </w:tc>
            </w:tr>
            <w:tr w14:paraId="5248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EE69F3E">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428" w:type="pct"/>
                  <w:vMerge w:val="continue"/>
                  <w:vAlign w:val="center"/>
                </w:tcPr>
                <w:p w14:paraId="1B80390B">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98" w:type="pct"/>
                  <w:vAlign w:val="center"/>
                </w:tcPr>
                <w:p w14:paraId="056DFB0E">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天然气燃烧</w:t>
                  </w:r>
                </w:p>
              </w:tc>
              <w:tc>
                <w:tcPr>
                  <w:tcW w:w="622" w:type="pct"/>
                  <w:vAlign w:val="center"/>
                </w:tcPr>
                <w:p w14:paraId="2BCC69E2">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二氧化硫、氮氧化物、烟尘</w:t>
                  </w:r>
                </w:p>
              </w:tc>
              <w:tc>
                <w:tcPr>
                  <w:tcW w:w="727" w:type="pct"/>
                  <w:vAlign w:val="center"/>
                </w:tcPr>
                <w:p w14:paraId="7DABC373">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r>
                    <w:rPr>
                      <w:color w:val="000000" w:themeColor="text1"/>
                      <w:kern w:val="2"/>
                      <w:sz w:val="21"/>
                      <w:szCs w:val="21"/>
                      <w14:textFill>
                        <w14:solidFill>
                          <w14:schemeClr w14:val="tx1"/>
                        </w14:solidFill>
                      </w14:textFill>
                    </w:rPr>
                    <w:t>直连排风管</w:t>
                  </w:r>
                </w:p>
              </w:tc>
              <w:tc>
                <w:tcPr>
                  <w:tcW w:w="539" w:type="pct"/>
                  <w:vAlign w:val="center"/>
                </w:tcPr>
                <w:p w14:paraId="3EE086E2">
                  <w:pPr>
                    <w:pageBreakBefore w:val="0"/>
                    <w:wordWrap w:val="0"/>
                    <w:topLinePunct/>
                    <w:bidi w:val="0"/>
                    <w:spacing w:beforeAutospacing="0" w:afterAutospacing="0"/>
                    <w:jc w:val="center"/>
                    <w:rPr>
                      <w:rFonts w:hint="default" w:eastAsia="宋体"/>
                      <w:color w:val="000000" w:themeColor="text1"/>
                      <w:kern w:val="2"/>
                      <w:sz w:val="21"/>
                      <w:szCs w:val="21"/>
                      <w:lang w:val="en-US" w:eastAsia="zh-CN"/>
                      <w14:textFill>
                        <w14:solidFill>
                          <w14:schemeClr w14:val="tx1"/>
                        </w14:solidFill>
                      </w14:textFill>
                    </w:rPr>
                  </w:pPr>
                  <w:r>
                    <w:rPr>
                      <w:rFonts w:hint="eastAsia"/>
                      <w:color w:val="000000" w:themeColor="text1"/>
                      <w:kern w:val="2"/>
                      <w:sz w:val="21"/>
                      <w:szCs w:val="21"/>
                      <w:lang w:val="en-US" w:eastAsia="zh-CN"/>
                      <w14:textFill>
                        <w14:solidFill>
                          <w14:schemeClr w14:val="tx1"/>
                        </w14:solidFill>
                      </w14:textFill>
                    </w:rPr>
                    <w:t>100%</w:t>
                  </w:r>
                </w:p>
              </w:tc>
              <w:tc>
                <w:tcPr>
                  <w:tcW w:w="675" w:type="pct"/>
                  <w:vMerge w:val="continue"/>
                  <w:vAlign w:val="center"/>
                </w:tcPr>
                <w:p w14:paraId="070C1528">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370" w:type="pct"/>
                  <w:vAlign w:val="center"/>
                </w:tcPr>
                <w:p w14:paraId="52A1EB99">
                  <w:pPr>
                    <w:pageBreakBefore w:val="0"/>
                    <w:wordWrap w:val="0"/>
                    <w:topLinePunct/>
                    <w:bidi w:val="0"/>
                    <w:spacing w:beforeAutospacing="0" w:afterAutospacing="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342" w:type="pct"/>
                  <w:vMerge w:val="continue"/>
                  <w:vAlign w:val="center"/>
                </w:tcPr>
                <w:p w14:paraId="48D5406D">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c>
                <w:tcPr>
                  <w:tcW w:w="440" w:type="pct"/>
                  <w:vMerge w:val="continue"/>
                  <w:vAlign w:val="center"/>
                </w:tcPr>
                <w:p w14:paraId="3AC277BC">
                  <w:pPr>
                    <w:pageBreakBefore w:val="0"/>
                    <w:wordWrap w:val="0"/>
                    <w:topLinePunct/>
                    <w:bidi w:val="0"/>
                    <w:spacing w:beforeAutospacing="0" w:afterAutospacing="0"/>
                    <w:jc w:val="center"/>
                    <w:rPr>
                      <w:color w:val="000000" w:themeColor="text1"/>
                      <w:sz w:val="21"/>
                      <w:szCs w:val="21"/>
                      <w14:textFill>
                        <w14:solidFill>
                          <w14:schemeClr w14:val="tx1"/>
                        </w14:solidFill>
                      </w14:textFill>
                    </w:rPr>
                  </w:pPr>
                </w:p>
              </w:tc>
            </w:tr>
          </w:tbl>
          <w:p w14:paraId="3A9AB25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w:t>
            </w:r>
            <w:r>
              <w:rPr>
                <w:rFonts w:hint="eastAsia" w:cs="Times New Roman"/>
                <w:b/>
                <w:bCs/>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 xml:space="preserve">.8 </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污水处理站恶臭</w:t>
            </w:r>
          </w:p>
          <w:p w14:paraId="62E28C9B">
            <w:pPr>
              <w:pStyle w:val="158"/>
              <w:keepNext w:val="0"/>
              <w:keepLines w:val="0"/>
              <w:suppressLineNumbers w:val="0"/>
              <w:snapToGrid/>
              <w:spacing w:before="0" w:beforeAutospacing="0" w:after="0" w:afterAutospacing="0" w:line="360" w:lineRule="auto"/>
              <w:ind w:left="0" w:right="0" w:firstLine="480"/>
              <w:outlineLvl w:val="9"/>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污水处理站废水处理产生的废气主要为硫化氢、氨、臭气浓度</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酸雾</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其中酸雾来源于pH调整剂（70%硫酸）的使用，由于其储存于密闭的容器中，非取用状态时加盖、封口，保持密闭，项目仅为调节废水pH，不存在酸洗等过程</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pH调整剂（70%硫酸）在常温及稀释状态下几乎不挥发，且储存容器密闭，因此不考虑其酸雾挥发对周围环境的影响，本项目忽略不计</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不作定量分析，污水处理站采取加盖密闭、加强通风措施后无组织排放，经处理后预计能够满足《恶臭污染物排放标准》（GB14554-1993）表1恶臭污染物新扩改建厂界标准值二级标准，生产异味对周边环境的影响不大。</w:t>
            </w:r>
          </w:p>
          <w:p w14:paraId="7661A0DD">
            <w:pPr>
              <w:widowControl w:val="0"/>
              <w:kinsoku/>
              <w:autoSpaceDE/>
              <w:autoSpaceDN/>
              <w:adjustRightInd/>
              <w:snapToGrid/>
              <w:spacing w:line="360" w:lineRule="auto"/>
              <w:ind w:firstLine="470" w:firstLineChars="20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cs="Times New Roman"/>
                <w:b/>
                <w:bCs/>
                <w:color w:val="000000" w:themeColor="text1"/>
                <w:spacing w:val="-3"/>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spacing w:val="-3"/>
                <w:sz w:val="24"/>
                <w:szCs w:val="24"/>
                <w:highlight w:val="none"/>
                <w:lang w:val="en-US" w:eastAsia="zh-CN"/>
                <w14:textFill>
                  <w14:solidFill>
                    <w14:schemeClr w14:val="tx1"/>
                  </w14:solidFill>
                </w14:textFill>
              </w:rPr>
              <w:t>.</w:t>
            </w:r>
            <w:r>
              <w:rPr>
                <w:rFonts w:hint="eastAsia" w:cs="Times New Roman"/>
                <w:b/>
                <w:bCs/>
                <w:color w:val="000000" w:themeColor="text1"/>
                <w:spacing w:val="-3"/>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pacing w:val="-3"/>
                <w:sz w:val="24"/>
                <w:szCs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pacing w:val="-3"/>
                <w:sz w:val="24"/>
                <w:szCs w:val="24"/>
                <w:highlight w:val="none"/>
                <w:lang w:val="en-US" w:eastAsia="zh-CN"/>
                <w14:textFill>
                  <w14:solidFill>
                    <w14:schemeClr w14:val="tx1"/>
                  </w14:solidFill>
                </w14:textFill>
              </w:rPr>
              <w:t>9</w:t>
            </w:r>
            <w:r>
              <w:rPr>
                <w:rFonts w:hint="default" w:ascii="Times New Roman" w:hAnsi="Times New Roman" w:cs="Times New Roman"/>
                <w:b/>
                <w:bCs/>
                <w:color w:val="000000" w:themeColor="text1"/>
                <w:spacing w:val="-3"/>
                <w:sz w:val="24"/>
                <w:szCs w:val="24"/>
                <w:highlight w:val="none"/>
                <w14:textFill>
                  <w14:solidFill>
                    <w14:schemeClr w14:val="tx1"/>
                  </w14:solidFill>
                </w14:textFill>
              </w:rPr>
              <w:t>厨房油烟废气</w:t>
            </w:r>
          </w:p>
          <w:p w14:paraId="1E72099A">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本项目拟设厨房灶炉</w:t>
            </w:r>
            <w:r>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3</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个，属于</w:t>
            </w:r>
            <w:r>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中</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型规模，以液化石油气为能源，是清洁能源，燃烧过程中产生的大气污染物较少，对环境影响不大。</w:t>
            </w:r>
            <w:r>
              <w:rPr>
                <w:rFonts w:hint="default" w:ascii="Times New Roman" w:hAnsi="Times New Roman" w:eastAsia="宋体" w:cs="Times New Roman"/>
                <w:color w:val="000000" w:themeColor="text1"/>
                <w:sz w:val="24"/>
                <w:szCs w:val="24"/>
                <w:highlight w:val="none"/>
                <w14:textFill>
                  <w14:solidFill>
                    <w14:schemeClr w14:val="tx1"/>
                  </w14:solidFill>
                </w14:textFill>
              </w:rPr>
              <w:t>本项目拟雇佣员工1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14:textFill>
                  <w14:solidFill>
                    <w14:schemeClr w14:val="tx1"/>
                  </w14:solidFill>
                </w14:textFill>
              </w:rPr>
              <w:t>0人，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其中140人</w:t>
            </w:r>
            <w:r>
              <w:rPr>
                <w:rFonts w:hint="default" w:ascii="Times New Roman" w:hAnsi="Times New Roman" w:eastAsia="宋体" w:cs="Times New Roman"/>
                <w:color w:val="000000" w:themeColor="text1"/>
                <w:sz w:val="24"/>
                <w:szCs w:val="24"/>
                <w:highlight w:val="none"/>
                <w14:textFill>
                  <w14:solidFill>
                    <w14:schemeClr w14:val="tx1"/>
                  </w14:solidFill>
                </w14:textFill>
              </w:rPr>
              <w:t>在厂区内就餐。</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参考《中国居民膳食指南（2016版）》中提出“中国居民每天食用油摄入量不宜超过25g或30g”，本项目食用油消耗系数按30g/人·d计算，即食用油消耗量为</w:t>
            </w:r>
            <w:r>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1.012</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t/a。炒菜时油烟挥发量占总耗油量2%～4%之间，本评价取4%，则油烟产生量为0.0</w:t>
            </w:r>
            <w:r>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40</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t/a，</w:t>
            </w:r>
            <w:r>
              <w:rPr>
                <w:rFonts w:hint="default" w:ascii="Times New Roman" w:hAnsi="Times New Roman" w:eastAsia="宋体" w:cs="Times New Roman"/>
                <w:color w:val="000000" w:themeColor="text1"/>
                <w:sz w:val="24"/>
                <w:szCs w:val="24"/>
                <w:highlight w:val="none"/>
                <w14:textFill>
                  <w14:solidFill>
                    <w14:schemeClr w14:val="tx1"/>
                  </w14:solidFill>
                </w14:textFill>
              </w:rPr>
              <w:t>开炉时间按4h/d计，</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每个基准炉头的风量为2000m</w:t>
            </w:r>
            <w:r>
              <w:rPr>
                <w:rFonts w:hint="default" w:ascii="Times New Roman" w:hAnsi="Times New Roman" w:eastAsia="宋体" w:cs="Times New Roman"/>
                <w:snapToGrid/>
                <w:color w:val="000000" w:themeColor="text1"/>
                <w:kern w:val="0"/>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/h。</w:t>
            </w:r>
          </w:p>
          <w:p w14:paraId="03C71147">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厨房油烟废气经收集后引至高效静电油烟净化器处理，处理达标后尾气引至</w:t>
            </w:r>
            <w:r>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宿舍楼一楼</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楼顶高空达标排放（</w:t>
            </w:r>
            <w:r>
              <w:rPr>
                <w:rFonts w:hint="eastAsia" w:cs="Times New Roman"/>
                <w:snapToGrid/>
                <w:color w:val="000000" w:themeColor="text1"/>
                <w:kern w:val="0"/>
                <w:sz w:val="24"/>
                <w:szCs w:val="24"/>
                <w:highlight w:val="none"/>
                <w:lang w:eastAsia="zh-CN"/>
                <w14:textFill>
                  <w14:solidFill>
                    <w14:schemeClr w14:val="tx1"/>
                  </w14:solidFill>
                </w14:textFill>
              </w:rPr>
              <w:t>DA00</w:t>
            </w:r>
            <w:r>
              <w:rPr>
                <w:rFonts w:hint="eastAsia" w:cs="Times New Roman"/>
                <w:snapToGrid/>
                <w:color w:val="000000" w:themeColor="text1"/>
                <w:kern w:val="0"/>
                <w:sz w:val="24"/>
                <w:szCs w:val="24"/>
                <w:highlight w:val="none"/>
                <w:lang w:val="en-US" w:eastAsia="zh-CN"/>
                <w14:textFill>
                  <w14:solidFill>
                    <w14:schemeClr w14:val="tx1"/>
                  </w14:solidFill>
                </w14:textFill>
              </w:rPr>
              <w:t>3</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）。参考《新型静电油烟净化设备的特点及应用》（黄付平、覃理嘉等），在额定风量下静电油烟净化器对油烟的净化效率达93.9%，本评价保守估算为</w:t>
            </w:r>
            <w:r>
              <w:rPr>
                <w:rFonts w:hint="default" w:ascii="Times New Roman" w:hAnsi="Times New Roman" w:eastAsia="宋体" w:cs="Times New Roman"/>
                <w:snapToGrid/>
                <w:color w:val="000000" w:themeColor="text1"/>
                <w:kern w:val="0"/>
                <w:sz w:val="24"/>
                <w:szCs w:val="24"/>
                <w:highlight w:val="none"/>
                <w:lang w:val="en-US" w:eastAsia="zh-CN"/>
                <w14:textFill>
                  <w14:solidFill>
                    <w14:schemeClr w14:val="tx1"/>
                  </w14:solidFill>
                </w14:textFill>
              </w:rPr>
              <w:t>75</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%的净化效率，具体产排情况如上表4-</w:t>
            </w:r>
            <w:r>
              <w:rPr>
                <w:rFonts w:hint="eastAsia" w:cs="Times New Roman"/>
                <w:snapToGrid/>
                <w:color w:val="000000" w:themeColor="text1"/>
                <w:kern w:val="0"/>
                <w:sz w:val="24"/>
                <w:szCs w:val="24"/>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t>。</w:t>
            </w:r>
          </w:p>
          <w:p w14:paraId="2013CB3C">
            <w:pPr>
              <w:keepNext/>
              <w:keepLines/>
              <w:suppressLineNumbers w:val="0"/>
              <w:tabs>
                <w:tab w:val="left" w:pos="0"/>
              </w:tabs>
              <w:spacing w:before="0" w:beforeAutospacing="0" w:after="0" w:afterAutospacing="0" w:line="360" w:lineRule="auto"/>
              <w:ind w:left="0" w:right="0" w:firstLine="466" w:firstLineChars="200"/>
              <w:outlineLvl w:val="3"/>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pPr>
            <w:r>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t>1.2.10脱脂废气</w:t>
            </w:r>
          </w:p>
          <w:p w14:paraId="04E0C7C4">
            <w:pPr>
              <w:keepNext/>
              <w:keepLines/>
              <w:suppressLineNumbers w:val="0"/>
              <w:tabs>
                <w:tab w:val="left" w:pos="0"/>
              </w:tabs>
              <w:spacing w:before="0" w:beforeAutospacing="0" w:after="0" w:afterAutospacing="0" w:line="360" w:lineRule="auto"/>
              <w:ind w:left="0" w:right="0" w:firstLine="464" w:firstLineChars="200"/>
              <w:outlineLvl w:val="3"/>
              <w:rPr>
                <w:rFonts w:hint="default" w:ascii="Times New Roman" w:hAnsi="Times New Roman" w:eastAsia="宋体" w:cs="Times New Roman"/>
                <w:b/>
                <w:bCs/>
                <w:snapToGrid/>
                <w:color w:val="000000" w:themeColor="text1"/>
                <w:spacing w:val="-4"/>
                <w:kern w:val="2"/>
                <w:sz w:val="24"/>
                <w:szCs w:val="24"/>
                <w:highlight w:val="none"/>
                <w:lang w:val="en-US" w:eastAsia="zh-CN"/>
                <w14:textFill>
                  <w14:solidFill>
                    <w14:schemeClr w14:val="tx1"/>
                  </w14:solidFill>
                </w14:textFill>
              </w:rPr>
            </w:pPr>
            <w:r>
              <w:rPr>
                <w:rFonts w:hint="eastAsia" w:cs="Times New Roman"/>
                <w:b w:val="0"/>
                <w:bCs w:val="0"/>
                <w:snapToGrid/>
                <w:color w:val="000000" w:themeColor="text1"/>
                <w:spacing w:val="-4"/>
                <w:kern w:val="2"/>
                <w:sz w:val="24"/>
                <w:szCs w:val="24"/>
                <w:highlight w:val="none"/>
                <w:lang w:val="en-US" w:eastAsia="zh-CN"/>
                <w14:textFill>
                  <w14:solidFill>
                    <w14:schemeClr w14:val="tx1"/>
                  </w14:solidFill>
                </w14:textFill>
              </w:rPr>
              <w:t>本项目脱脂工序使用的除油剂成分中氢氟酸质量占比为 1%，因此脱脂过程中会产生少量氟化物废气。根据建设单位提供资料，脱脂工序除油剂工艺浓度为3%，除油剂年使用量为17.82t，经核算可知，脱脂槽液面表面积合计为7×2×4=56m</w:t>
            </w:r>
            <w:r>
              <w:rPr>
                <w:rFonts w:hint="eastAsia" w:cs="Times New Roman"/>
                <w:b w:val="0"/>
                <w:bCs w:val="0"/>
                <w:snapToGrid/>
                <w:color w:val="000000" w:themeColor="text1"/>
                <w:spacing w:val="-4"/>
                <w:kern w:val="2"/>
                <w:sz w:val="24"/>
                <w:szCs w:val="24"/>
                <w:highlight w:val="none"/>
                <w:vertAlign w:val="superscript"/>
                <w:lang w:val="en-US" w:eastAsia="zh-CN"/>
                <w14:textFill>
                  <w14:solidFill>
                    <w14:schemeClr w14:val="tx1"/>
                  </w14:solidFill>
                </w14:textFill>
              </w:rPr>
              <w:t>2</w:t>
            </w:r>
            <w:r>
              <w:rPr>
                <w:rFonts w:hint="eastAsia" w:cs="Times New Roman"/>
                <w:b w:val="0"/>
                <w:bCs w:val="0"/>
                <w:snapToGrid/>
                <w:color w:val="000000" w:themeColor="text1"/>
                <w:spacing w:val="-4"/>
                <w:kern w:val="2"/>
                <w:sz w:val="24"/>
                <w:szCs w:val="24"/>
                <w:highlight w:val="none"/>
                <w:lang w:val="en-US" w:eastAsia="zh-CN"/>
                <w14:textFill>
                  <w14:solidFill>
                    <w14:schemeClr w14:val="tx1"/>
                  </w14:solidFill>
                </w14:textFill>
              </w:rPr>
              <w:t>，则氢氟酸产生系数为17.82×3%×1%×10</w:t>
            </w:r>
            <w:r>
              <w:rPr>
                <w:rFonts w:hint="eastAsia" w:cs="Times New Roman"/>
                <w:b w:val="0"/>
                <w:bCs w:val="0"/>
                <w:snapToGrid/>
                <w:color w:val="000000" w:themeColor="text1"/>
                <w:spacing w:val="-4"/>
                <w:kern w:val="2"/>
                <w:sz w:val="24"/>
                <w:szCs w:val="24"/>
                <w:highlight w:val="none"/>
                <w:vertAlign w:val="superscript"/>
                <w:lang w:val="en-US" w:eastAsia="zh-CN"/>
                <w14:textFill>
                  <w14:solidFill>
                    <w14:schemeClr w14:val="tx1"/>
                  </w14:solidFill>
                </w14:textFill>
              </w:rPr>
              <w:t>6</w:t>
            </w:r>
            <w:r>
              <w:rPr>
                <w:rFonts w:hint="eastAsia" w:cs="Times New Roman"/>
                <w:b w:val="0"/>
                <w:bCs w:val="0"/>
                <w:snapToGrid/>
                <w:color w:val="000000" w:themeColor="text1"/>
                <w:spacing w:val="-4"/>
                <w:kern w:val="2"/>
                <w:sz w:val="24"/>
                <w:szCs w:val="24"/>
                <w:highlight w:val="none"/>
                <w:lang w:val="en-US" w:eastAsia="zh-CN"/>
                <w14:textFill>
                  <w14:solidFill>
                    <w14:schemeClr w14:val="tx1"/>
                  </w14:solidFill>
                </w14:textFill>
              </w:rPr>
              <w:t>/56/1928=0.049g/m</w:t>
            </w:r>
            <w:r>
              <w:rPr>
                <w:rFonts w:hint="eastAsia" w:cs="Times New Roman"/>
                <w:b w:val="0"/>
                <w:bCs w:val="0"/>
                <w:snapToGrid/>
                <w:color w:val="000000" w:themeColor="text1"/>
                <w:spacing w:val="-4"/>
                <w:kern w:val="2"/>
                <w:sz w:val="24"/>
                <w:szCs w:val="24"/>
                <w:highlight w:val="none"/>
                <w:vertAlign w:val="superscript"/>
                <w:lang w:val="en-US" w:eastAsia="zh-CN"/>
                <w14:textFill>
                  <w14:solidFill>
                    <w14:schemeClr w14:val="tx1"/>
                  </w14:solidFill>
                </w14:textFill>
              </w:rPr>
              <w:t>2</w:t>
            </w:r>
            <w:r>
              <w:rPr>
                <w:rFonts w:hint="eastAsia" w:cs="Times New Roman"/>
                <w:b w:val="0"/>
                <w:bCs w:val="0"/>
                <w:snapToGrid/>
                <w:color w:val="000000" w:themeColor="text1"/>
                <w:spacing w:val="-4"/>
                <w:kern w:val="2"/>
                <w:sz w:val="24"/>
                <w:szCs w:val="24"/>
                <w:highlight w:val="none"/>
                <w:vertAlign w:val="baseline"/>
                <w:lang w:val="en-US" w:eastAsia="zh-CN"/>
                <w14:textFill>
                  <w14:solidFill>
                    <w14:schemeClr w14:val="tx1"/>
                  </w14:solidFill>
                </w14:textFill>
              </w:rPr>
              <w:t>·</w:t>
            </w:r>
            <w:r>
              <w:rPr>
                <w:rFonts w:hint="eastAsia" w:cs="Times New Roman"/>
                <w:b w:val="0"/>
                <w:bCs w:val="0"/>
                <w:snapToGrid/>
                <w:color w:val="000000" w:themeColor="text1"/>
                <w:spacing w:val="-4"/>
                <w:kern w:val="2"/>
                <w:sz w:val="24"/>
                <w:szCs w:val="24"/>
                <w:highlight w:val="none"/>
                <w:lang w:val="en-US" w:eastAsia="zh-CN"/>
                <w14:textFill>
                  <w14:solidFill>
                    <w14:schemeClr w14:val="tx1"/>
                  </w14:solidFill>
                </w14:textFill>
              </w:rPr>
              <w:t>h＜72.0g/m</w:t>
            </w:r>
            <w:r>
              <w:rPr>
                <w:rFonts w:hint="eastAsia" w:cs="Times New Roman"/>
                <w:b w:val="0"/>
                <w:bCs w:val="0"/>
                <w:snapToGrid/>
                <w:color w:val="000000" w:themeColor="text1"/>
                <w:spacing w:val="-4"/>
                <w:kern w:val="2"/>
                <w:sz w:val="24"/>
                <w:szCs w:val="24"/>
                <w:highlight w:val="none"/>
                <w:vertAlign w:val="superscript"/>
                <w:lang w:val="en-US" w:eastAsia="zh-CN"/>
                <w14:textFill>
                  <w14:solidFill>
                    <w14:schemeClr w14:val="tx1"/>
                  </w14:solidFill>
                </w14:textFill>
              </w:rPr>
              <w:t>2</w:t>
            </w:r>
            <w:r>
              <w:rPr>
                <w:rFonts w:hint="eastAsia" w:cs="Times New Roman"/>
                <w:b w:val="0"/>
                <w:bCs w:val="0"/>
                <w:snapToGrid/>
                <w:color w:val="000000" w:themeColor="text1"/>
                <w:spacing w:val="-4"/>
                <w:kern w:val="2"/>
                <w:sz w:val="24"/>
                <w:szCs w:val="24"/>
                <w:highlight w:val="none"/>
                <w:vertAlign w:val="baseline"/>
                <w:lang w:val="en-US" w:eastAsia="zh-CN"/>
                <w14:textFill>
                  <w14:solidFill>
                    <w14:schemeClr w14:val="tx1"/>
                  </w14:solidFill>
                </w14:textFill>
              </w:rPr>
              <w:t>·</w:t>
            </w:r>
            <w:r>
              <w:rPr>
                <w:rFonts w:hint="eastAsia" w:cs="Times New Roman"/>
                <w:b w:val="0"/>
                <w:bCs w:val="0"/>
                <w:snapToGrid/>
                <w:color w:val="000000" w:themeColor="text1"/>
                <w:spacing w:val="-4"/>
                <w:kern w:val="2"/>
                <w:sz w:val="24"/>
                <w:szCs w:val="24"/>
                <w:highlight w:val="none"/>
                <w:lang w:val="en-US" w:eastAsia="zh-CN"/>
                <w14:textFill>
                  <w14:solidFill>
                    <w14:schemeClr w14:val="tx1"/>
                  </w14:solidFill>
                </w14:textFill>
              </w:rPr>
              <w:t>h，参考《污染源源强核算技术指南 电镀》（HJ 984-2018）附录 B 中“锌铝等合金件低浓度活化处理槽液产生的氟化物可忽略”，因此本项目不对脱脂工序中产生的氟化物进行定量分析。</w:t>
            </w:r>
          </w:p>
          <w:p w14:paraId="02ABD7CF">
            <w:pPr>
              <w:keepNext/>
              <w:keepLines/>
              <w:suppressLineNumbers w:val="0"/>
              <w:tabs>
                <w:tab w:val="left" w:pos="0"/>
              </w:tabs>
              <w:spacing w:before="0" w:beforeAutospacing="0" w:after="0" w:afterAutospacing="0" w:line="360" w:lineRule="auto"/>
              <w:ind w:left="0" w:right="0" w:firstLine="466" w:firstLineChars="200"/>
              <w:outlineLvl w:val="3"/>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t>1</w:t>
            </w:r>
            <w:r>
              <w:rPr>
                <w:rFonts w:hint="default" w:ascii="Times New Roman" w:hAnsi="Times New Roman" w:eastAsia="宋体" w:cs="Times New Roman"/>
                <w:b/>
                <w:bCs/>
                <w:snapToGrid/>
                <w:color w:val="000000" w:themeColor="text1"/>
                <w:spacing w:val="-4"/>
                <w:kern w:val="2"/>
                <w:sz w:val="24"/>
                <w:szCs w:val="24"/>
                <w:highlight w:val="none"/>
                <w:lang w:eastAsia="zh-CN"/>
                <w14:textFill>
                  <w14:solidFill>
                    <w14:schemeClr w14:val="tx1"/>
                  </w14:solidFill>
                </w14:textFill>
              </w:rPr>
              <w:t>.</w:t>
            </w:r>
            <w:r>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废气治理系统可行性分析</w:t>
            </w:r>
          </w:p>
          <w:p w14:paraId="06C1D820">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本项目采用</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滤筒式除尘器处理焊接烟尘，</w:t>
            </w:r>
            <w:r>
              <w:rPr>
                <w:rFonts w:hint="eastAsia" w:ascii="Times New Roman" w:hAnsi="Times New Roman"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采用喷淋+干式过滤器+</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活性炭吸脱附+催化燃烧+活性炭吸附</w:t>
            </w:r>
            <w:r>
              <w:rPr>
                <w:rFonts w:hint="eastAsia" w:ascii="Times New Roman" w:hAnsi="Times New Roman"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处理喷漆废气</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；采用</w:t>
            </w:r>
            <w:r>
              <w:rPr>
                <w:rFonts w:hint="eastAsia" w:ascii="Times New Roman" w:hAnsi="Times New Roman"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喷淋+干式过滤器+二级活性炭吸附处理固化废气</w:t>
            </w:r>
            <w:r>
              <w:rPr>
                <w:rFonts w:hint="default" w:ascii="Times New Roman" w:hAnsi="Times New Roman"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，参照《排污许可证申请与核发技术规范 铁路、船舶、航空航天和其他运输设备制造业》（HJ1124—2020），</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本项目采取的措施均</w:t>
            </w:r>
            <w:r>
              <w:rPr>
                <w:rFonts w:hint="default" w:ascii="Times New Roman" w:hAnsi="Times New Roman"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属于排污许可技术规范中的可行技术，因此本项目使用该治理设施是可行的。</w:t>
            </w:r>
          </w:p>
          <w:p w14:paraId="6B177615">
            <w:pPr>
              <w:keepNext w:val="0"/>
              <w:keepLines w:val="0"/>
              <w:suppressLineNumbers w:val="0"/>
              <w:spacing w:before="0" w:beforeAutospacing="0" w:after="0" w:afterAutospacing="0" w:line="360" w:lineRule="auto"/>
              <w:ind w:left="0" w:right="0" w:firstLine="466"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cs="Times New Roman"/>
                <w:b/>
                <w:bCs/>
                <w:snapToGrid/>
                <w:color w:val="000000" w:themeColor="text1"/>
                <w:spacing w:val="-4"/>
                <w:kern w:val="2"/>
                <w:sz w:val="24"/>
                <w:szCs w:val="24"/>
                <w:highlight w:val="none"/>
                <w:lang w:val="en-US" w:eastAsia="zh-CN"/>
                <w14:textFill>
                  <w14:solidFill>
                    <w14:schemeClr w14:val="tx1"/>
                  </w14:solidFill>
                </w14:textFill>
              </w:rPr>
              <w:t>1.4</w:t>
            </w:r>
            <w:r>
              <w:rPr>
                <w:rFonts w:hint="default" w:ascii="Times New Roman" w:hAnsi="Times New Roman" w:cs="Times New Roman"/>
                <w:b/>
                <w:bCs/>
                <w:color w:val="000000" w:themeColor="text1"/>
                <w:sz w:val="24"/>
                <w:szCs w:val="24"/>
                <w:highlight w:val="none"/>
                <w14:textFill>
                  <w14:solidFill>
                    <w14:schemeClr w14:val="tx1"/>
                  </w14:solidFill>
                </w14:textFill>
              </w:rPr>
              <w:t>达标情况分析</w:t>
            </w:r>
          </w:p>
          <w:p w14:paraId="089A8E3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kern w:val="2"/>
                <w:sz w:val="24"/>
                <w:szCs w:val="24"/>
                <w:highlight w:val="none"/>
                <w14:textFill>
                  <w14:solidFill>
                    <w14:schemeClr w14:val="tx1"/>
                  </w14:solidFill>
                </w14:textFill>
              </w:rPr>
            </w:pPr>
            <w:r>
              <w:rPr>
                <w:rFonts w:hint="default" w:ascii="Times New Roman" w:hAnsi="Times New Roman" w:cs="Times New Roman"/>
                <w:b/>
                <w:bCs/>
                <w:color w:val="000000" w:themeColor="text1"/>
                <w:kern w:val="2"/>
                <w:sz w:val="24"/>
                <w:szCs w:val="24"/>
                <w:highlight w:val="none"/>
                <w14:textFill>
                  <w14:solidFill>
                    <w14:schemeClr w14:val="tx1"/>
                  </w14:solidFill>
                </w14:textFill>
              </w:rPr>
              <w:t>（1）</w:t>
            </w:r>
            <w:r>
              <w:rPr>
                <w:rFonts w:hint="default" w:ascii="Times New Roman" w:hAnsi="Times New Roman" w:cs="Times New Roman"/>
                <w:b/>
                <w:bCs/>
                <w:color w:val="000000" w:themeColor="text1"/>
                <w:kern w:val="2"/>
                <w:sz w:val="24"/>
                <w:szCs w:val="24"/>
                <w:highlight w:val="none"/>
                <w:lang w:val="en-US" w:eastAsia="zh-CN"/>
                <w14:textFill>
                  <w14:solidFill>
                    <w14:schemeClr w14:val="tx1"/>
                  </w14:solidFill>
                </w14:textFill>
              </w:rPr>
              <w:t>有组织废气达标分析</w:t>
            </w:r>
          </w:p>
          <w:p w14:paraId="5985B3C2">
            <w:pPr>
              <w:pStyle w:val="2"/>
              <w:keepNext w:val="0"/>
              <w:keepLines w:val="0"/>
              <w:suppressLineNumbers w:val="0"/>
              <w:spacing w:before="0" w:beforeAutospacing="0" w:after="0" w:afterAutospacing="0" w:line="360" w:lineRule="auto"/>
              <w:ind w:left="0" w:right="0" w:firstLine="480" w:firstLineChars="200"/>
              <w:rPr>
                <w:rFonts w:hint="eastAsia" w:eastAsia="宋体....."/>
                <w:color w:val="000000" w:themeColor="text1"/>
                <w:lang w:val="en-US" w:eastAsia="zh-CN"/>
                <w14:textFill>
                  <w14:solidFill>
                    <w14:schemeClr w14:val="tx1"/>
                  </w14:solidFill>
                </w14:textFill>
              </w:rPr>
            </w:pPr>
            <w:r>
              <w:rPr>
                <w:rFonts w:hint="eastAsia" w:ascii="Times New Roman" w:cs="Times New Roman"/>
                <w:b w:val="0"/>
                <w:bCs/>
                <w:color w:val="000000" w:themeColor="text1"/>
                <w:szCs w:val="21"/>
                <w:highlight w:val="none"/>
                <w:lang w:val="en-US" w:eastAsia="zh-CN"/>
                <w14:textFill>
                  <w14:solidFill>
                    <w14:schemeClr w14:val="tx1"/>
                  </w14:solidFill>
                </w14:textFill>
              </w:rPr>
              <w:t>喷漆废气</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经</w:t>
            </w:r>
            <w:r>
              <w:rPr>
                <w:rFonts w:hint="eastAsia"/>
                <w:color w:val="000000" w:themeColor="text1"/>
                <w:sz w:val="24"/>
                <w:szCs w:val="32"/>
                <w:highlight w:val="none"/>
                <w:lang w:val="en-US" w:eastAsia="zh-CN"/>
                <w14:textFill>
                  <w14:solidFill>
                    <w14:schemeClr w14:val="tx1"/>
                  </w14:solidFill>
                </w14:textFill>
              </w:rPr>
              <w:t>水帘柜+喷淋</w:t>
            </w:r>
            <w:r>
              <w:rPr>
                <w:rFonts w:hint="eastAsia"/>
                <w:color w:val="000000" w:themeColor="text1"/>
                <w:sz w:val="24"/>
                <w:szCs w:val="32"/>
                <w:highlight w:val="none"/>
                <w14:textFill>
                  <w14:solidFill>
                    <w14:schemeClr w14:val="tx1"/>
                  </w14:solidFill>
                </w14:textFill>
              </w:rPr>
              <w:t>+干式过滤+活性炭吸附脱附催化燃烧</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处理后</w:t>
            </w:r>
            <w:r>
              <w:rPr>
                <w:rFonts w:hint="default" w:ascii="Times New Roman" w:hAnsi="Times New Roman" w:cs="Times New Roman"/>
                <w:color w:val="000000" w:themeColor="text1"/>
                <w:kern w:val="2"/>
                <w:sz w:val="24"/>
                <w:szCs w:val="24"/>
                <w:highlight w:val="none"/>
                <w14:textFill>
                  <w14:solidFill>
                    <w14:schemeClr w14:val="tx1"/>
                  </w14:solidFill>
                </w14:textFill>
              </w:rPr>
              <w:t>经</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15</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m</w:t>
            </w:r>
            <w:r>
              <w:rPr>
                <w:rFonts w:hint="default" w:ascii="Times New Roman" w:hAnsi="Times New Roman" w:cs="Times New Roman"/>
                <w:color w:val="000000" w:themeColor="text1"/>
                <w:kern w:val="2"/>
                <w:sz w:val="24"/>
                <w:szCs w:val="24"/>
                <w:highlight w:val="none"/>
                <w14:textFill>
                  <w14:solidFill>
                    <w14:schemeClr w14:val="tx1"/>
                  </w14:solidFill>
                </w14:textFill>
              </w:rPr>
              <w:t>高排气筒（</w:t>
            </w:r>
            <w:r>
              <w:rPr>
                <w:rFonts w:hint="eastAsia" w:ascii="Times New Roman" w:cs="Times New Roman"/>
                <w:color w:val="000000" w:themeColor="text1"/>
                <w:kern w:val="2"/>
                <w:sz w:val="24"/>
                <w:szCs w:val="24"/>
                <w:highlight w:val="none"/>
                <w:lang w:eastAsia="zh-CN"/>
                <w14:textFill>
                  <w14:solidFill>
                    <w14:schemeClr w14:val="tx1"/>
                  </w14:solidFill>
                </w14:textFill>
              </w:rPr>
              <w:t>DA00</w:t>
            </w:r>
            <w:r>
              <w:rPr>
                <w:rFonts w:hint="eastAsia" w:ascii="Times New Roman" w:cs="Times New Roman"/>
                <w:color w:val="000000" w:themeColor="text1"/>
                <w:kern w:val="2"/>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kern w:val="2"/>
                <w:sz w:val="24"/>
                <w:szCs w:val="24"/>
                <w:highlight w:val="none"/>
                <w14:textFill>
                  <w14:solidFill>
                    <w14:schemeClr w14:val="tx1"/>
                  </w14:solidFill>
                </w14:textFill>
              </w:rPr>
              <w:t>）排放</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颗粒物满足</w:t>
            </w:r>
            <w:r>
              <w:rPr>
                <w:rFonts w:hint="default" w:ascii="Times New Roman" w:hAnsi="Times New Roman" w:cs="Times New Roman"/>
                <w:color w:val="000000" w:themeColor="text1"/>
                <w:kern w:val="2"/>
                <w:sz w:val="24"/>
                <w:szCs w:val="24"/>
                <w:highlight w:val="none"/>
                <w14:textFill>
                  <w14:solidFill>
                    <w14:schemeClr w14:val="tx1"/>
                  </w14:solidFill>
                </w14:textFill>
              </w:rPr>
              <w:t>广东省《大气污染物排放限值》（DB44/27-2001）第二时段</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排放限值</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，非甲烷总烃</w:t>
            </w:r>
            <w:r>
              <w:rPr>
                <w:rFonts w:hint="eastAsia" w:ascii="Times New Roman" w:cs="Times New Roman"/>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苯系物</w:t>
            </w:r>
            <w:r>
              <w:rPr>
                <w:rFonts w:hint="eastAsia" w:ascii="Times New Roman" w:cs="Times New Roman"/>
                <w:color w:val="000000" w:themeColor="text1"/>
                <w:kern w:val="2"/>
                <w:sz w:val="24"/>
                <w:szCs w:val="24"/>
                <w:highlight w:val="none"/>
                <w:lang w:val="en-US" w:eastAsia="zh-CN"/>
                <w14:textFill>
                  <w14:solidFill>
                    <w14:schemeClr w14:val="tx1"/>
                  </w14:solidFill>
                </w14:textFill>
              </w:rPr>
              <w:t>均</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满足广东省《固定污染源挥发性有机物综合排放标准》（DB44/2367-2022）表1挥发性有机物排放限值</w:t>
            </w:r>
            <w:r>
              <w:rPr>
                <w:rFonts w:hint="eastAsia" w:ascii="Times New Roman" w:cs="Times New Roman"/>
                <w:color w:val="000000" w:themeColor="text1"/>
                <w:kern w:val="2"/>
                <w:sz w:val="24"/>
                <w:szCs w:val="24"/>
                <w:highlight w:val="none"/>
                <w:lang w:val="en-US" w:eastAsia="zh-CN"/>
                <w14:textFill>
                  <w14:solidFill>
                    <w14:schemeClr w14:val="tx1"/>
                  </w14:solidFill>
                </w14:textFill>
              </w:rPr>
              <w:t>要求，</w:t>
            </w:r>
            <w:r>
              <w:rPr>
                <w:rFonts w:hint="eastAsia" w:cs="Times New Roman"/>
                <w:color w:val="000000" w:themeColor="text1"/>
                <w:sz w:val="24"/>
                <w:szCs w:val="24"/>
                <w:lang w:val="en-US" w:eastAsia="zh-CN"/>
                <w14:textFill>
                  <w14:solidFill>
                    <w14:schemeClr w14:val="tx1"/>
                  </w14:solidFill>
                </w14:textFill>
              </w:rPr>
              <w:t>臭气浓度满足</w:t>
            </w:r>
            <w:r>
              <w:rPr>
                <w:rFonts w:hint="default" w:ascii="Times New Roman" w:hAnsi="Times New Roman" w:cs="Times New Roman"/>
                <w:color w:val="000000" w:themeColor="text1"/>
                <w:spacing w:val="-2"/>
                <w:sz w:val="24"/>
                <w:szCs w:val="24"/>
                <w:highlight w:val="none"/>
                <w14:textFill>
                  <w14:solidFill>
                    <w14:schemeClr w14:val="tx1"/>
                  </w14:solidFill>
                </w14:textFill>
              </w:rPr>
              <w:t>《恶臭污染物排放标准》（GB14554-93）表2污染物排放标准值</w:t>
            </w:r>
            <w:r>
              <w:rPr>
                <w:rFonts w:hint="eastAsia" w:ascii="Times New Roman" w:hAnsi="Times New Roman" w:cs="Times New Roman"/>
                <w:color w:val="000000" w:themeColor="text1"/>
                <w:spacing w:val="-2"/>
                <w:sz w:val="24"/>
                <w:szCs w:val="24"/>
                <w:highlight w:val="none"/>
                <w:lang w:eastAsia="zh-CN"/>
                <w14:textFill>
                  <w14:solidFill>
                    <w14:schemeClr w14:val="tx1"/>
                  </w14:solidFill>
                </w14:textFill>
              </w:rPr>
              <w:t>。</w:t>
            </w:r>
          </w:p>
          <w:p w14:paraId="78BFD19F">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固化废气</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经</w:t>
            </w:r>
            <w:r>
              <w:rPr>
                <w:rFonts w:hint="eastAsia"/>
                <w:color w:val="000000" w:themeColor="text1"/>
                <w:sz w:val="24"/>
                <w:szCs w:val="32"/>
                <w:highlight w:val="none"/>
                <w:lang w:val="en-US" w:eastAsia="zh-CN"/>
                <w14:textFill>
                  <w14:solidFill>
                    <w14:schemeClr w14:val="tx1"/>
                  </w14:solidFill>
                </w14:textFill>
              </w:rPr>
              <w:t>喷淋</w:t>
            </w:r>
            <w:r>
              <w:rPr>
                <w:rFonts w:hint="eastAsia"/>
                <w:color w:val="000000" w:themeColor="text1"/>
                <w:sz w:val="24"/>
                <w:szCs w:val="32"/>
                <w:highlight w:val="none"/>
                <w14:textFill>
                  <w14:solidFill>
                    <w14:schemeClr w14:val="tx1"/>
                  </w14:solidFill>
                </w14:textFill>
              </w:rPr>
              <w:t>+干式过滤+二级活性炭吸附</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处理后</w:t>
            </w:r>
            <w:r>
              <w:rPr>
                <w:rFonts w:hint="default" w:ascii="Times New Roman" w:hAnsi="Times New Roman" w:cs="Times New Roman"/>
                <w:color w:val="000000" w:themeColor="text1"/>
                <w:kern w:val="2"/>
                <w:sz w:val="24"/>
                <w:szCs w:val="24"/>
                <w:highlight w:val="none"/>
                <w14:textFill>
                  <w14:solidFill>
                    <w14:schemeClr w14:val="tx1"/>
                  </w14:solidFill>
                </w14:textFill>
              </w:rPr>
              <w:t>经</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15</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m</w:t>
            </w:r>
            <w:r>
              <w:rPr>
                <w:rFonts w:hint="default" w:ascii="Times New Roman" w:hAnsi="Times New Roman" w:cs="Times New Roman"/>
                <w:color w:val="000000" w:themeColor="text1"/>
                <w:kern w:val="2"/>
                <w:sz w:val="24"/>
                <w:szCs w:val="24"/>
                <w:highlight w:val="none"/>
                <w14:textFill>
                  <w14:solidFill>
                    <w14:schemeClr w14:val="tx1"/>
                  </w14:solidFill>
                </w14:textFill>
              </w:rPr>
              <w:t>高排气筒（</w:t>
            </w:r>
            <w:r>
              <w:rPr>
                <w:rFonts w:hint="eastAsia" w:ascii="Times New Roman" w:cs="Times New Roman"/>
                <w:color w:val="000000" w:themeColor="text1"/>
                <w:kern w:val="2"/>
                <w:sz w:val="24"/>
                <w:szCs w:val="24"/>
                <w:highlight w:val="none"/>
                <w:lang w:eastAsia="zh-CN"/>
                <w14:textFill>
                  <w14:solidFill>
                    <w14:schemeClr w14:val="tx1"/>
                  </w14:solidFill>
                </w14:textFill>
              </w:rPr>
              <w:t>DA00</w:t>
            </w:r>
            <w:r>
              <w:rPr>
                <w:rFonts w:hint="eastAsia" w:ascii="Times New Roman" w:cs="Times New Roman"/>
                <w:color w:val="000000" w:themeColor="text1"/>
                <w:kern w:val="2"/>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kern w:val="2"/>
                <w:sz w:val="24"/>
                <w:szCs w:val="24"/>
                <w:highlight w:val="none"/>
                <w14:textFill>
                  <w14:solidFill>
                    <w14:schemeClr w14:val="tx1"/>
                  </w14:solidFill>
                </w14:textFill>
              </w:rPr>
              <w:t>）排放</w:t>
            </w:r>
            <w:r>
              <w:rPr>
                <w:rFonts w:hint="eastAsia"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非甲烷总烃</w:t>
            </w:r>
            <w:r>
              <w:rPr>
                <w:rFonts w:hint="eastAsia" w:ascii="Times New Roman" w:cs="Times New Roman"/>
                <w:color w:val="000000" w:themeColor="text1"/>
                <w:kern w:val="2"/>
                <w:sz w:val="24"/>
                <w:szCs w:val="24"/>
                <w:highlight w:val="none"/>
                <w:lang w:val="en-US" w:eastAsia="zh-CN"/>
                <w14:textFill>
                  <w14:solidFill>
                    <w14:schemeClr w14:val="tx1"/>
                  </w14:solidFill>
                </w14:textFill>
              </w:rPr>
              <w:t>、</w:t>
            </w:r>
            <w:r>
              <w:rPr>
                <w:rFonts w:hint="eastAsia" w:ascii="Times New Roman" w:eastAsia="宋体" w:cs="Times New Roman"/>
                <w:bCs/>
                <w:color w:val="000000" w:themeColor="text1"/>
                <w:sz w:val="24"/>
                <w:szCs w:val="24"/>
                <w:highlight w:val="none"/>
                <w:lang w:val="en-US" w:eastAsia="zh-CN"/>
                <w14:textFill>
                  <w14:solidFill>
                    <w14:schemeClr w14:val="tx1"/>
                  </w14:solidFill>
                </w14:textFill>
              </w:rPr>
              <w:t>苯系物有组织排放均</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广东省《固定污染源挥发性有机物综合排放标准》（DB44/2367-2022）中表</w:t>
            </w:r>
            <w:r>
              <w:rPr>
                <w:rFonts w:hint="eastAsia" w:cs="Times New Roman"/>
                <w:color w:val="000000" w:themeColor="text1"/>
                <w:sz w:val="24"/>
                <w:szCs w:val="24"/>
                <w:lang w:val="en-US" w:eastAsia="zh-CN"/>
                <w14:textFill>
                  <w14:solidFill>
                    <w14:schemeClr w14:val="tx1"/>
                  </w14:solidFill>
                </w14:textFill>
              </w:rPr>
              <w:t>1挥发性有机物排放限值，臭气浓度</w:t>
            </w:r>
            <w:r>
              <w:rPr>
                <w:rFonts w:hint="default" w:ascii="Times New Roman" w:hAnsi="Times New Roman" w:cs="Times New Roman"/>
                <w:color w:val="000000" w:themeColor="text1"/>
                <w:spacing w:val="-2"/>
                <w:sz w:val="24"/>
                <w:szCs w:val="24"/>
                <w:highlight w:val="none"/>
                <w14:textFill>
                  <w14:solidFill>
                    <w14:schemeClr w14:val="tx1"/>
                  </w14:solidFill>
                </w14:textFill>
              </w:rPr>
              <w:t>《恶臭污染物排放标准》（GB14554-93）表2污染物排放标准值</w:t>
            </w:r>
            <w:r>
              <w:rPr>
                <w:rFonts w:hint="eastAsia" w:ascii="Times New Roman" w:hAnsi="Times New Roman" w:cs="Times New Roman"/>
                <w:color w:val="000000" w:themeColor="text1"/>
                <w:spacing w:val="-2"/>
                <w:sz w:val="24"/>
                <w:szCs w:val="24"/>
                <w:highlight w:val="none"/>
                <w:lang w:eastAsia="zh-CN"/>
                <w14:textFill>
                  <w14:solidFill>
                    <w14:schemeClr w14:val="tx1"/>
                  </w14:solidFill>
                </w14:textFill>
              </w:rPr>
              <w:t>。</w:t>
            </w:r>
            <w:r>
              <w:rPr>
                <w:rFonts w:hint="eastAsia" w:ascii="Times New Roman" w:cs="Times New Roman"/>
                <w:b w:val="0"/>
                <w:bCs/>
                <w:color w:val="000000" w:themeColor="text1"/>
                <w:szCs w:val="21"/>
                <w:highlight w:val="none"/>
                <w:lang w:val="en-US" w:eastAsia="zh-CN"/>
                <w14:textFill>
                  <w14:solidFill>
                    <w14:schemeClr w14:val="tx1"/>
                  </w14:solidFill>
                </w14:textFill>
              </w:rPr>
              <w:t>固化工段的天然气燃烧废气一同由DA002排放</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r>
              <w:rPr>
                <w:rFonts w:hint="eastAsia" w:ascii="Times New Roman" w:eastAsia="宋体" w:cs="Times New Roman"/>
                <w:bCs/>
                <w:color w:val="000000" w:themeColor="text1"/>
                <w:sz w:val="24"/>
                <w:szCs w:val="24"/>
                <w:highlight w:val="none"/>
                <w:lang w:val="en-US" w:eastAsia="zh-CN"/>
                <w14:textFill>
                  <w14:solidFill>
                    <w14:schemeClr w14:val="tx1"/>
                  </w14:solidFill>
                </w14:textFill>
              </w:rPr>
              <w:t>排放的</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SO</w:t>
            </w:r>
            <w:r>
              <w:rPr>
                <w:rFonts w:hint="default" w:ascii="Times New Roman" w:hAnsi="Times New Roman" w:eastAsia="宋体" w:cs="Times New Roman"/>
                <w:bCs/>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、NO</w:t>
            </w:r>
            <w:r>
              <w:rPr>
                <w:rFonts w:hint="default" w:ascii="Times New Roman" w:hAnsi="Times New Roman" w:eastAsia="宋体" w:cs="Times New Roman"/>
                <w:bCs/>
                <w:color w:val="000000" w:themeColor="text1"/>
                <w:sz w:val="24"/>
                <w:szCs w:val="24"/>
                <w:highlight w:val="none"/>
                <w:vertAlign w:val="subscript"/>
                <w:lang w:val="en-US" w:eastAsia="zh-CN"/>
                <w14:textFill>
                  <w14:solidFill>
                    <w14:schemeClr w14:val="tx1"/>
                  </w14:solidFill>
                </w14:textFill>
              </w:rPr>
              <w:t>X</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、颗粒物</w:t>
            </w:r>
            <w:r>
              <w:rPr>
                <w:rFonts w:hint="eastAsia" w:ascii="Times New Roman" w:eastAsia="宋体" w:cs="Times New Roman"/>
                <w:bCs/>
                <w:color w:val="000000" w:themeColor="text1"/>
                <w:sz w:val="24"/>
                <w:szCs w:val="24"/>
                <w:highlight w:val="none"/>
                <w:lang w:val="en-US" w:eastAsia="zh-CN"/>
                <w14:textFill>
                  <w14:solidFill>
                    <w14:schemeClr w14:val="tx1"/>
                  </w14:solidFill>
                </w14:textFill>
              </w:rPr>
              <w:t>有组织排放</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均能</w:t>
            </w:r>
            <w:r>
              <w:rPr>
                <w:rFonts w:hint="default" w:ascii="Times New Roman" w:hAnsi="Times New Roman" w:cs="Times New Roman"/>
                <w:color w:val="000000" w:themeColor="text1"/>
                <w:sz w:val="24"/>
                <w:szCs w:val="24"/>
                <w:highlight w:val="none"/>
                <w14:textFill>
                  <w14:solidFill>
                    <w14:schemeClr w14:val="tx1"/>
                  </w14:solidFill>
                </w14:textFill>
              </w:rPr>
              <w:t>满足</w:t>
            </w:r>
            <w:r>
              <w:rPr>
                <w:rFonts w:hint="eastAsia" w:ascii="Times New Roman" w:cs="Times New Roman"/>
                <w:color w:val="000000" w:themeColor="text1"/>
                <w:sz w:val="24"/>
                <w:szCs w:val="24"/>
                <w:highlight w:val="none"/>
                <w:lang w:val="en-US" w:eastAsia="zh-CN"/>
                <w14:textFill>
                  <w14:solidFill>
                    <w14:schemeClr w14:val="tx1"/>
                  </w14:solidFill>
                </w14:textFill>
              </w:rPr>
              <w:t>《关于印发&lt;工业炉窑大气污染综合治理方案&gt;的通知》（环大气〔2019〕56号）和《关于贯彻落实&lt;工业炉窑大气污染物综合治理方案&gt;的实施意见》（粤环函〔2019〕1112号）中颗粒物、二氧化硫、氮氧化物排放限值要求</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烟气黑度满足《工业炉窑大气污染物排放标准》（GB 9078-1996）要求</w:t>
            </w:r>
            <w:r>
              <w:rPr>
                <w:rFonts w:hint="eastAsia" w:ascii="Times New Roman" w:cs="Times New Roman"/>
                <w:color w:val="000000" w:themeColor="text1"/>
                <w:sz w:val="24"/>
                <w:szCs w:val="24"/>
                <w:highlight w:val="none"/>
                <w:lang w:val="en-US" w:eastAsia="zh-CN"/>
                <w14:textFill>
                  <w14:solidFill>
                    <w14:schemeClr w14:val="tx1"/>
                  </w14:solidFill>
                </w14:textFill>
              </w:rPr>
              <w:t>。</w:t>
            </w:r>
          </w:p>
          <w:p w14:paraId="1D1D6DDF">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val="0"/>
                <w:bCs/>
                <w:color w:val="000000" w:themeColor="text1"/>
                <w:szCs w:val="21"/>
                <w:highlight w:val="none"/>
                <w:lang w:val="en-US" w:eastAsia="zh-CN"/>
                <w14:textFill>
                  <w14:solidFill>
                    <w14:schemeClr w14:val="tx1"/>
                  </w14:solidFill>
                </w14:textFill>
              </w:rPr>
              <w:t>本项目食堂运行过程中产生的油烟拟收集后经高效静电油烟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净化器处理后由专用的排烟管道引至宿舍一层楼顶</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（DA003）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w:t>
            </w:r>
            <w:r>
              <w:rPr>
                <w:rFonts w:hint="default" w:ascii="Times New Roman" w:hAnsi="Times New Roman" w:cs="Times New Roman"/>
                <w:b w:val="0"/>
                <w:bCs/>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排放浓度为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highlight w:val="none"/>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处理效率为75%，</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其排放可满足《饮食业油烟排放标准（试行）》（GB18483-2001）中型规模标准。</w:t>
            </w:r>
          </w:p>
          <w:p w14:paraId="0D0724C9">
            <w:pPr>
              <w:widowControl w:val="0"/>
              <w:wordWrap/>
              <w:spacing w:line="360" w:lineRule="auto"/>
              <w:ind w:firstLine="482" w:firstLineChars="200"/>
              <w:textAlignment w:val="auto"/>
              <w:rPr>
                <w:rFonts w:hint="default" w:ascii="Times New Roman" w:hAnsi="Times New Roman" w:eastAsia="宋体" w:cs="Times New Roman"/>
                <w:b/>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（2）无组织废气达标分析</w:t>
            </w:r>
          </w:p>
          <w:p w14:paraId="2260A42A">
            <w:pPr>
              <w:widowControl w:val="0"/>
              <w:wordWrap/>
              <w:spacing w:line="360" w:lineRule="auto"/>
              <w:ind w:firstLine="480" w:firstLineChars="200"/>
              <w:textAlignment w:val="auto"/>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本项目生产过程中未收集的颗粒物在加强车间通风的情况下无组织排放，</w:t>
            </w:r>
            <w:r>
              <w:rPr>
                <w:rFonts w:hint="eastAsia" w:cs="Times New Roman"/>
                <w:bCs/>
                <w:color w:val="000000" w:themeColor="text1"/>
                <w:sz w:val="24"/>
                <w:szCs w:val="24"/>
                <w:highlight w:val="none"/>
                <w:lang w:val="en-US" w:eastAsia="zh-CN"/>
                <w14:textFill>
                  <w14:solidFill>
                    <w14:schemeClr w14:val="tx1"/>
                  </w14:solidFill>
                </w14:textFill>
              </w:rPr>
              <w:t>颗粒物、非甲烷总烃、苯系物（二甲苯）、氟化物满足</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广东省《大气污染物排放限值》（DB44/27-2001）第二时段无组织排放监控浓度限值</w:t>
            </w:r>
            <w:r>
              <w:rPr>
                <w:rFonts w:hint="eastAsia"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要求</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p>
          <w:p w14:paraId="3F7E655B">
            <w:pPr>
              <w:widowControl w:val="0"/>
              <w:wordWrap/>
              <w:spacing w:line="360" w:lineRule="auto"/>
              <w:ind w:firstLine="480" w:firstLineChars="200"/>
              <w:textAlignment w:val="auto"/>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eastAsia" w:cs="Times New Roman"/>
                <w:bCs/>
                <w:color w:val="000000" w:themeColor="text1"/>
                <w:sz w:val="24"/>
                <w:szCs w:val="24"/>
                <w:highlight w:val="none"/>
                <w:lang w:val="en-US" w:eastAsia="zh-CN"/>
                <w14:textFill>
                  <w14:solidFill>
                    <w14:schemeClr w14:val="tx1"/>
                  </w14:solidFill>
                </w14:textFill>
              </w:rPr>
              <w:t>非甲烷总烃还满足</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《固定污染源挥发性有机物综合排放标准》（DB44/2367-2022）表3厂区内VOCs 无组织排放限值要求</w:t>
            </w:r>
            <w:r>
              <w:rPr>
                <w:rFonts w:hint="eastAsia"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w:t>
            </w:r>
          </w:p>
          <w:p w14:paraId="68F5E41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本项目通过对污水处理设施</w:t>
            </w:r>
            <w:r>
              <w:rPr>
                <w:rFonts w:hint="default" w:ascii="Times New Roman" w:hAnsi="Times New Roman" w:cs="Times New Roman"/>
                <w:color w:val="000000" w:themeColor="text1"/>
                <w:sz w:val="24"/>
                <w:szCs w:val="24"/>
                <w:highlight w:val="none"/>
                <w14:textFill>
                  <w14:solidFill>
                    <w14:schemeClr w14:val="tx1"/>
                  </w14:solidFill>
                </w14:textFill>
              </w:rPr>
              <w:t>采取加盖密闭、加强通风措施后</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highlight w:val="none"/>
                <w:lang w:val="en-US" w:eastAsia="zh-CN" w:bidi="ar"/>
                <w14:textFill>
                  <w14:solidFill>
                    <w14:schemeClr w14:val="tx1"/>
                  </w14:solidFill>
                </w14:textFill>
              </w:rPr>
              <w:t>臭气浓度可满足</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《恶臭污染物排放标准》(GB14554-93)表1二级标准中“新改扩建”限值要求。</w:t>
            </w:r>
          </w:p>
          <w:p w14:paraId="7590DA85">
            <w:pPr>
              <w:spacing w:line="336" w:lineRule="auto"/>
              <w:ind w:firstLine="480" w:firstLineChars="200"/>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根据</w:t>
            </w:r>
            <w:r>
              <w:rPr>
                <w:rFonts w:hint="default" w:ascii="Times New Roman" w:hAnsi="Times New Roman" w:cs="Times New Roman"/>
                <w:color w:val="000000" w:themeColor="text1"/>
                <w:sz w:val="24"/>
                <w:highlight w:val="none"/>
                <w14:textFill>
                  <w14:solidFill>
                    <w14:schemeClr w14:val="tx1"/>
                  </w14:solidFill>
                </w14:textFill>
              </w:rPr>
              <w:t>《2024年韶关市生态环境状况公报》</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202</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highlight w:val="none"/>
                <w14:textFill>
                  <w14:solidFill>
                    <w14:schemeClr w14:val="tx1"/>
                  </w14:solidFill>
                </w14:textFill>
              </w:rPr>
              <w:t>年</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乐昌</w:t>
            </w:r>
            <w:r>
              <w:rPr>
                <w:rFonts w:hint="default" w:ascii="Times New Roman" w:hAnsi="Times New Roman" w:eastAsia="宋体" w:cs="Times New Roman"/>
                <w:color w:val="000000" w:themeColor="text1"/>
                <w:sz w:val="24"/>
                <w:highlight w:val="none"/>
                <w14:textFill>
                  <w14:solidFill>
                    <w14:schemeClr w14:val="tx1"/>
                  </w14:solidFill>
                </w14:textFill>
              </w:rPr>
              <w:t>市环境空气中</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4"/>
                <w:highlight w:val="none"/>
                <w14:textFill>
                  <w14:solidFill>
                    <w14:schemeClr w14:val="tx1"/>
                  </w14:solidFill>
                </w14:textFill>
              </w:rPr>
              <w:t>二氧化硫、二氧化氮、可吸入颗粒物（PM</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4"/>
                <w:highlight w:val="none"/>
                <w14:textFill>
                  <w14:solidFill>
                    <w14:schemeClr w14:val="tx1"/>
                  </w14:solidFill>
                </w14:textFill>
              </w:rPr>
              <w:t>）、细颗粒物（PM</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highlight w:val="none"/>
                <w14:textFill>
                  <w14:solidFill>
                    <w14:schemeClr w14:val="tx1"/>
                  </w14:solidFill>
                </w14:textFill>
              </w:rPr>
              <w:t>）年平均浓度及一氧化碳24小时平均第95百分位数、臭氧日最大8小时滑动平均值的第90百分位数均符合国家《环境空气质量标准》（GB3095-2026）过渡阶段浓度限值二级标准</w:t>
            </w:r>
            <w:r>
              <w:rPr>
                <w:rFonts w:hint="default" w:ascii="Times New Roman" w:hAnsi="Times New Roman" w:eastAsia="宋体" w:cs="Times New Roman"/>
                <w:color w:val="000000" w:themeColor="text1"/>
                <w:kern w:val="21"/>
                <w:sz w:val="24"/>
                <w:szCs w:val="24"/>
                <w:highlight w:val="none"/>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14:textFill>
                  <w14:solidFill>
                    <w14:schemeClr w14:val="tx1"/>
                  </w14:solidFill>
                </w14:textFill>
              </w:rPr>
              <w:t>项目采取的废气治理设施为可行技术，厂界外500米范围内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大气环境保护目标为位于项目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东</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北面</w:t>
            </w:r>
            <w:r>
              <w:rPr>
                <w:rFonts w:hint="eastAsia" w:cs="Times New Roman"/>
                <w:color w:val="000000" w:themeColor="text1"/>
                <w:sz w:val="24"/>
                <w:szCs w:val="24"/>
                <w:highlight w:val="none"/>
                <w:lang w:val="en-US" w:eastAsia="zh-CN"/>
                <w14:textFill>
                  <w14:solidFill>
                    <w14:schemeClr w14:val="tx1"/>
                  </w14:solidFill>
                </w14:textFill>
              </w:rPr>
              <w:t>377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m的王屋小学</w:t>
            </w:r>
            <w:r>
              <w:rPr>
                <w:rFonts w:hint="eastAsia" w:cs="Times New Roman"/>
                <w:color w:val="000000" w:themeColor="text1"/>
                <w:sz w:val="24"/>
                <w:szCs w:val="24"/>
                <w:highlight w:val="none"/>
                <w:lang w:val="en-US" w:eastAsia="zh-CN"/>
                <w14:textFill>
                  <w14:solidFill>
                    <w14:schemeClr w14:val="tx1"/>
                  </w14:solidFill>
                </w14:textFill>
              </w:rPr>
              <w:t>、464m处村落</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，且不在多年主导风向下风向，</w:t>
            </w:r>
            <w:r>
              <w:rPr>
                <w:rFonts w:hint="default" w:ascii="Times New Roman" w:hAnsi="Times New Roman" w:eastAsia="宋体" w:cs="Times New Roman"/>
                <w:bCs/>
                <w:color w:val="000000" w:themeColor="text1"/>
                <w:sz w:val="24"/>
                <w:szCs w:val="24"/>
                <w:highlight w:val="none"/>
                <w14:textFill>
                  <w14:solidFill>
                    <w14:schemeClr w14:val="tx1"/>
                  </w14:solidFill>
                </w14:textFill>
              </w:rPr>
              <w:t>在建设单位在加强环保管理，确保废气处理设施的正常运行的情况下，废气经收集处理后可做到稳定达标。项目在废气稳定达标的前提下，项目对周边环境</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空气及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大气环境保护目标</w:t>
            </w:r>
            <w:r>
              <w:rPr>
                <w:rFonts w:hint="default" w:ascii="Times New Roman" w:hAnsi="Times New Roman" w:eastAsia="宋体" w:cs="Times New Roman"/>
                <w:bCs/>
                <w:color w:val="000000" w:themeColor="text1"/>
                <w:sz w:val="24"/>
                <w:szCs w:val="24"/>
                <w:highlight w:val="none"/>
                <w14:textFill>
                  <w14:solidFill>
                    <w14:schemeClr w14:val="tx1"/>
                  </w14:solidFill>
                </w14:textFill>
              </w:rPr>
              <w:t>的影响是可以接受的。</w:t>
            </w:r>
          </w:p>
          <w:p w14:paraId="72BF7CEA">
            <w:pPr>
              <w:keepNext w:val="0"/>
              <w:keepLines w:val="0"/>
              <w:pageBreakBefore w:val="0"/>
              <w:widowControl/>
              <w:numPr>
                <w:ilvl w:val="0"/>
                <w:numId w:val="0"/>
              </w:numPr>
              <w:tabs>
                <w:tab w:val="left" w:pos="312"/>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1.5</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废气非正常工况分析</w:t>
            </w:r>
          </w:p>
          <w:p w14:paraId="23B184B3">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spacing w:val="-4"/>
                <w:kern w:val="2"/>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非正常排放是指生产过程中开停车（工、炉）、设备检修、工艺设备运转异常等非正常情况下的污染物排放，以及污</w:t>
            </w:r>
            <w:r>
              <w:rPr>
                <w:rFonts w:hint="default" w:ascii="Times New Roman" w:hAnsi="Times New Roman" w:eastAsia="宋体" w:cs="Times New Roman"/>
                <w:color w:val="000000" w:themeColor="text1"/>
                <w:sz w:val="24"/>
                <w:szCs w:val="24"/>
                <w:highlight w:val="none"/>
                <w14:textFill>
                  <w14:solidFill>
                    <w14:schemeClr w14:val="tx1"/>
                  </w14:solidFill>
                </w14:textFill>
              </w:rPr>
              <w:t>染物排放控制措施达不到应有效率等情况下的排放。本项目废气非正常工况排放主要为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除尘器故障，</w:t>
            </w:r>
            <w:r>
              <w:rPr>
                <w:rFonts w:hint="default" w:ascii="Times New Roman" w:hAnsi="Times New Roman" w:eastAsia="宋体" w:cs="Times New Roman"/>
                <w:color w:val="000000" w:themeColor="text1"/>
                <w:sz w:val="24"/>
                <w:szCs w:val="24"/>
                <w:highlight w:val="none"/>
                <w14:textFill>
                  <w14:solidFill>
                    <w14:schemeClr w14:val="tx1"/>
                  </w14:solidFill>
                </w14:textFill>
              </w:rPr>
              <w:t>粉尘废气未经处理直接排放，废气处理效率</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降</w:t>
            </w:r>
            <w:r>
              <w:rPr>
                <w:rFonts w:hint="default" w:ascii="Times New Roman" w:hAnsi="Times New Roman" w:eastAsia="宋体" w:cs="Times New Roman"/>
                <w:color w:val="000000" w:themeColor="text1"/>
                <w:sz w:val="24"/>
                <w:szCs w:val="24"/>
                <w:highlight w:val="none"/>
                <w14:textFill>
                  <w14:solidFill>
                    <w14:schemeClr w14:val="tx1"/>
                  </w14:solidFill>
                </w14:textFill>
              </w:rPr>
              <w:t>为0%的状态估算，但废气收集系统可以正常运行，废气通过排气筒排放等情况，废气处理设施出现故障时不能正常运行时，应立即停产进行维修，避免对周围环境造成污染。</w:t>
            </w:r>
          </w:p>
          <w:p w14:paraId="38EE9BAF">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19</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本项目污染源非正常排放量核算表</w:t>
            </w:r>
          </w:p>
          <w:tbl>
            <w:tblPr>
              <w:tblStyle w:val="132"/>
              <w:tblW w:w="499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1"/>
              <w:gridCol w:w="934"/>
              <w:gridCol w:w="1534"/>
              <w:gridCol w:w="1093"/>
              <w:gridCol w:w="1280"/>
              <w:gridCol w:w="870"/>
              <w:gridCol w:w="660"/>
              <w:gridCol w:w="599"/>
              <w:gridCol w:w="1008"/>
            </w:tblGrid>
            <w:tr w14:paraId="21E5F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tcBorders>
                    <w:tl2br w:val="nil"/>
                    <w:tr2bl w:val="nil"/>
                  </w:tcBorders>
                  <w:noWrap w:val="0"/>
                  <w:vAlign w:val="center"/>
                </w:tcPr>
                <w:p w14:paraId="2C48EF69">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序号</w:t>
                  </w:r>
                </w:p>
              </w:tc>
              <w:tc>
                <w:tcPr>
                  <w:tcW w:w="934" w:type="dxa"/>
                  <w:tcBorders>
                    <w:tl2br w:val="nil"/>
                    <w:tr2bl w:val="nil"/>
                  </w:tcBorders>
                  <w:noWrap w:val="0"/>
                  <w:vAlign w:val="center"/>
                </w:tcPr>
                <w:p w14:paraId="16CE4998">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排放源</w:t>
                  </w:r>
                </w:p>
              </w:tc>
              <w:tc>
                <w:tcPr>
                  <w:tcW w:w="1534" w:type="dxa"/>
                  <w:tcBorders>
                    <w:tl2br w:val="nil"/>
                    <w:tr2bl w:val="nil"/>
                  </w:tcBorders>
                  <w:noWrap w:val="0"/>
                  <w:vAlign w:val="center"/>
                </w:tcPr>
                <w:p w14:paraId="6862BAC2">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非正常排放原因</w:t>
                  </w:r>
                </w:p>
              </w:tc>
              <w:tc>
                <w:tcPr>
                  <w:tcW w:w="1093" w:type="dxa"/>
                  <w:tcBorders>
                    <w:tl2br w:val="nil"/>
                    <w:tr2bl w:val="nil"/>
                  </w:tcBorders>
                  <w:noWrap w:val="0"/>
                  <w:vAlign w:val="center"/>
                </w:tcPr>
                <w:p w14:paraId="5A993654">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污染物</w:t>
                  </w:r>
                </w:p>
              </w:tc>
              <w:tc>
                <w:tcPr>
                  <w:tcW w:w="1280" w:type="dxa"/>
                  <w:tcBorders>
                    <w:tl2br w:val="nil"/>
                    <w:tr2bl w:val="nil"/>
                  </w:tcBorders>
                  <w:noWrap w:val="0"/>
                  <w:vAlign w:val="center"/>
                </w:tcPr>
                <w:p w14:paraId="7166B10E">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非正常排放浓度</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mg/m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870" w:type="dxa"/>
                  <w:tcBorders>
                    <w:tl2br w:val="nil"/>
                    <w:tr2bl w:val="nil"/>
                  </w:tcBorders>
                  <w:noWrap w:val="0"/>
                  <w:vAlign w:val="center"/>
                </w:tcPr>
                <w:p w14:paraId="3C5EEEFB">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非正常排放速率</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kg/h</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660" w:type="dxa"/>
                  <w:tcBorders>
                    <w:tl2br w:val="nil"/>
                    <w:tr2bl w:val="nil"/>
                  </w:tcBorders>
                  <w:noWrap w:val="0"/>
                  <w:vAlign w:val="center"/>
                </w:tcPr>
                <w:p w14:paraId="38186C03">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单次持续时间</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/h</w:t>
                  </w:r>
                </w:p>
              </w:tc>
              <w:tc>
                <w:tcPr>
                  <w:tcW w:w="599" w:type="dxa"/>
                  <w:tcBorders>
                    <w:tl2br w:val="nil"/>
                    <w:tr2bl w:val="nil"/>
                  </w:tcBorders>
                  <w:noWrap w:val="0"/>
                  <w:vAlign w:val="center"/>
                </w:tcPr>
                <w:p w14:paraId="3687870D">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年发生频次</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次</w:t>
                  </w:r>
                </w:p>
              </w:tc>
              <w:tc>
                <w:tcPr>
                  <w:tcW w:w="1008" w:type="dxa"/>
                  <w:tcBorders>
                    <w:tl2br w:val="nil"/>
                    <w:tr2bl w:val="nil"/>
                  </w:tcBorders>
                  <w:noWrap w:val="0"/>
                  <w:vAlign w:val="center"/>
                </w:tcPr>
                <w:p w14:paraId="66919989">
                  <w:pPr>
                    <w:keepNext w:val="0"/>
                    <w:keepLines w:val="0"/>
                    <w:widowControl/>
                    <w:suppressLineNumbers w:val="0"/>
                    <w:jc w:val="center"/>
                    <w:textAlignment w:val="cente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应对措施</w:t>
                  </w:r>
                </w:p>
              </w:tc>
            </w:tr>
            <w:tr w14:paraId="35450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restart"/>
                  <w:tcBorders>
                    <w:tl2br w:val="nil"/>
                    <w:tr2bl w:val="nil"/>
                  </w:tcBorders>
                  <w:noWrap w:val="0"/>
                  <w:vAlign w:val="center"/>
                </w:tcPr>
                <w:p w14:paraId="700F030A">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w:t>
                  </w:r>
                </w:p>
              </w:tc>
              <w:tc>
                <w:tcPr>
                  <w:tcW w:w="934" w:type="dxa"/>
                  <w:vMerge w:val="restart"/>
                  <w:tcBorders>
                    <w:tl2br w:val="nil"/>
                    <w:tr2bl w:val="nil"/>
                  </w:tcBorders>
                  <w:noWrap w:val="0"/>
                  <w:vAlign w:val="center"/>
                </w:tcPr>
                <w:p w14:paraId="06D8FB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DA001</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排气筒</w:t>
                  </w:r>
                </w:p>
              </w:tc>
              <w:tc>
                <w:tcPr>
                  <w:tcW w:w="1534" w:type="dxa"/>
                  <w:vMerge w:val="restart"/>
                  <w:tcBorders>
                    <w:tl2br w:val="nil"/>
                    <w:tr2bl w:val="nil"/>
                  </w:tcBorders>
                  <w:noWrap w:val="0"/>
                  <w:vAlign w:val="center"/>
                </w:tcPr>
                <w:p w14:paraId="764DCFB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废气设施失效</w:t>
                  </w:r>
                </w:p>
              </w:tc>
              <w:tc>
                <w:tcPr>
                  <w:tcW w:w="1093" w:type="dxa"/>
                  <w:tcBorders>
                    <w:tl2br w:val="nil"/>
                    <w:tr2bl w:val="nil"/>
                  </w:tcBorders>
                  <w:noWrap w:val="0"/>
                  <w:vAlign w:val="center"/>
                </w:tcPr>
                <w:p w14:paraId="5C4669C5">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颗粒物</w:t>
                  </w:r>
                </w:p>
              </w:tc>
              <w:tc>
                <w:tcPr>
                  <w:tcW w:w="1280" w:type="dxa"/>
                  <w:tcBorders>
                    <w:tl2br w:val="nil"/>
                    <w:tr2bl w:val="nil"/>
                  </w:tcBorders>
                  <w:noWrap w:val="0"/>
                  <w:vAlign w:val="center"/>
                </w:tcPr>
                <w:p w14:paraId="2E164759">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5.1 </w:t>
                  </w:r>
                </w:p>
              </w:tc>
              <w:tc>
                <w:tcPr>
                  <w:tcW w:w="870" w:type="dxa"/>
                  <w:tcBorders>
                    <w:tl2br w:val="nil"/>
                    <w:tr2bl w:val="nil"/>
                  </w:tcBorders>
                  <w:noWrap w:val="0"/>
                  <w:vAlign w:val="center"/>
                </w:tcPr>
                <w:p w14:paraId="7A5098D7">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0.930 </w:t>
                  </w:r>
                </w:p>
              </w:tc>
              <w:tc>
                <w:tcPr>
                  <w:tcW w:w="660" w:type="dxa"/>
                  <w:vMerge w:val="restart"/>
                  <w:tcBorders>
                    <w:tl2br w:val="nil"/>
                    <w:tr2bl w:val="nil"/>
                  </w:tcBorders>
                  <w:noWrap w:val="0"/>
                  <w:vAlign w:val="center"/>
                </w:tcPr>
                <w:p w14:paraId="3BCF69F0">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99" w:type="dxa"/>
                  <w:vMerge w:val="restart"/>
                  <w:tcBorders>
                    <w:tl2br w:val="nil"/>
                    <w:tr2bl w:val="nil"/>
                  </w:tcBorders>
                  <w:noWrap w:val="0"/>
                  <w:vAlign w:val="center"/>
                </w:tcPr>
                <w:p w14:paraId="35FF2CFA">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008" w:type="dxa"/>
                  <w:vMerge w:val="restart"/>
                  <w:tcBorders>
                    <w:tl2br w:val="nil"/>
                    <w:tr2bl w:val="nil"/>
                  </w:tcBorders>
                  <w:noWrap w:val="0"/>
                  <w:vAlign w:val="center"/>
                </w:tcPr>
                <w:p w14:paraId="365FBDA1">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停止生产并修复处理设备</w:t>
                  </w:r>
                </w:p>
              </w:tc>
            </w:tr>
            <w:tr w14:paraId="242DD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3A7A7FA8">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934" w:type="dxa"/>
                  <w:vMerge w:val="continue"/>
                  <w:tcBorders>
                    <w:tl2br w:val="nil"/>
                    <w:tr2bl w:val="nil"/>
                  </w:tcBorders>
                  <w:noWrap w:val="0"/>
                  <w:vAlign w:val="center"/>
                </w:tcPr>
                <w:p w14:paraId="4DC0535F">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534" w:type="dxa"/>
                  <w:vMerge w:val="continue"/>
                  <w:tcBorders>
                    <w:tl2br w:val="nil"/>
                    <w:tr2bl w:val="nil"/>
                  </w:tcBorders>
                  <w:noWrap w:val="0"/>
                  <w:vAlign w:val="center"/>
                </w:tcPr>
                <w:p w14:paraId="3E6435B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93" w:type="dxa"/>
                  <w:tcBorders>
                    <w:tl2br w:val="nil"/>
                    <w:tr2bl w:val="nil"/>
                  </w:tcBorders>
                  <w:noWrap w:val="0"/>
                  <w:vAlign w:val="center"/>
                </w:tcPr>
                <w:p w14:paraId="1CFD683D">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1280" w:type="dxa"/>
                  <w:tcBorders>
                    <w:tl2br w:val="nil"/>
                    <w:tr2bl w:val="nil"/>
                  </w:tcBorders>
                  <w:noWrap w:val="0"/>
                  <w:vAlign w:val="center"/>
                </w:tcPr>
                <w:p w14:paraId="09D74521">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7.3 </w:t>
                  </w:r>
                </w:p>
              </w:tc>
              <w:tc>
                <w:tcPr>
                  <w:tcW w:w="870" w:type="dxa"/>
                  <w:tcBorders>
                    <w:tl2br w:val="nil"/>
                    <w:tr2bl w:val="nil"/>
                  </w:tcBorders>
                  <w:noWrap w:val="0"/>
                  <w:vAlign w:val="center"/>
                </w:tcPr>
                <w:p w14:paraId="5B92366A">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1.328 </w:t>
                  </w:r>
                </w:p>
              </w:tc>
              <w:tc>
                <w:tcPr>
                  <w:tcW w:w="660" w:type="dxa"/>
                  <w:vMerge w:val="continue"/>
                  <w:tcBorders>
                    <w:tl2br w:val="nil"/>
                    <w:tr2bl w:val="nil"/>
                  </w:tcBorders>
                  <w:noWrap w:val="0"/>
                  <w:vAlign w:val="center"/>
                </w:tcPr>
                <w:p w14:paraId="4B4515E1">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599" w:type="dxa"/>
                  <w:vMerge w:val="continue"/>
                  <w:tcBorders>
                    <w:tl2br w:val="nil"/>
                    <w:tr2bl w:val="nil"/>
                  </w:tcBorders>
                  <w:noWrap w:val="0"/>
                  <w:vAlign w:val="center"/>
                </w:tcPr>
                <w:p w14:paraId="0BE2E4A9">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008" w:type="dxa"/>
                  <w:vMerge w:val="continue"/>
                  <w:tcBorders>
                    <w:tl2br w:val="nil"/>
                    <w:tr2bl w:val="nil"/>
                  </w:tcBorders>
                  <w:noWrap w:val="0"/>
                  <w:vAlign w:val="center"/>
                </w:tcPr>
                <w:p w14:paraId="5D1C6ACA">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4B4E3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31054050">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934" w:type="dxa"/>
                  <w:vMerge w:val="continue"/>
                  <w:tcBorders>
                    <w:tl2br w:val="nil"/>
                    <w:tr2bl w:val="nil"/>
                  </w:tcBorders>
                  <w:noWrap w:val="0"/>
                  <w:vAlign w:val="center"/>
                </w:tcPr>
                <w:p w14:paraId="0864DAB5">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534" w:type="dxa"/>
                  <w:vMerge w:val="continue"/>
                  <w:tcBorders>
                    <w:tl2br w:val="nil"/>
                    <w:tr2bl w:val="nil"/>
                  </w:tcBorders>
                  <w:noWrap w:val="0"/>
                  <w:vAlign w:val="center"/>
                </w:tcPr>
                <w:p w14:paraId="0A09DDB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93" w:type="dxa"/>
                  <w:tcBorders>
                    <w:tl2br w:val="nil"/>
                    <w:tr2bl w:val="nil"/>
                  </w:tcBorders>
                  <w:shd w:val="clear" w:color="auto" w:fill="auto"/>
                  <w:noWrap w:val="0"/>
                  <w:vAlign w:val="center"/>
                </w:tcPr>
                <w:p w14:paraId="0927E60D">
                  <w:pPr>
                    <w:keepNext w:val="0"/>
                    <w:keepLines w:val="0"/>
                    <w:widowControl/>
                    <w:suppressLineNumbers w:val="0"/>
                    <w:jc w:val="center"/>
                    <w:textAlignment w:val="cente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苯系物</w:t>
                  </w:r>
                </w:p>
              </w:tc>
              <w:tc>
                <w:tcPr>
                  <w:tcW w:w="1280" w:type="dxa"/>
                  <w:tcBorders>
                    <w:tl2br w:val="nil"/>
                    <w:tr2bl w:val="nil"/>
                  </w:tcBorders>
                  <w:shd w:val="clear" w:color="auto" w:fill="auto"/>
                  <w:noWrap w:val="0"/>
                  <w:vAlign w:val="center"/>
                </w:tcPr>
                <w:p w14:paraId="4E0A3A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6.8 </w:t>
                  </w:r>
                </w:p>
              </w:tc>
              <w:tc>
                <w:tcPr>
                  <w:tcW w:w="870" w:type="dxa"/>
                  <w:tcBorders>
                    <w:tl2br w:val="nil"/>
                    <w:tr2bl w:val="nil"/>
                  </w:tcBorders>
                  <w:shd w:val="clear" w:color="auto" w:fill="auto"/>
                  <w:noWrap w:val="0"/>
                  <w:vAlign w:val="center"/>
                </w:tcPr>
                <w:p w14:paraId="670E0E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1.238 </w:t>
                  </w:r>
                </w:p>
              </w:tc>
              <w:tc>
                <w:tcPr>
                  <w:tcW w:w="660" w:type="dxa"/>
                  <w:vMerge w:val="continue"/>
                  <w:tcBorders>
                    <w:tl2br w:val="nil"/>
                    <w:tr2bl w:val="nil"/>
                  </w:tcBorders>
                  <w:noWrap w:val="0"/>
                  <w:vAlign w:val="center"/>
                </w:tcPr>
                <w:p w14:paraId="5BF37F46">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599" w:type="dxa"/>
                  <w:vMerge w:val="continue"/>
                  <w:tcBorders>
                    <w:tl2br w:val="nil"/>
                    <w:tr2bl w:val="nil"/>
                  </w:tcBorders>
                  <w:noWrap w:val="0"/>
                  <w:vAlign w:val="center"/>
                </w:tcPr>
                <w:p w14:paraId="57401444">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008" w:type="dxa"/>
                  <w:vMerge w:val="continue"/>
                  <w:tcBorders>
                    <w:tl2br w:val="nil"/>
                    <w:tr2bl w:val="nil"/>
                  </w:tcBorders>
                  <w:noWrap w:val="0"/>
                  <w:vAlign w:val="center"/>
                </w:tcPr>
                <w:p w14:paraId="6DD1EAFD">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64D69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4B33FFFC">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934" w:type="dxa"/>
                  <w:vMerge w:val="continue"/>
                  <w:tcBorders>
                    <w:tl2br w:val="nil"/>
                    <w:tr2bl w:val="nil"/>
                  </w:tcBorders>
                  <w:noWrap w:val="0"/>
                  <w:vAlign w:val="center"/>
                </w:tcPr>
                <w:p w14:paraId="25866ACB">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534" w:type="dxa"/>
                  <w:vMerge w:val="continue"/>
                  <w:tcBorders>
                    <w:tl2br w:val="nil"/>
                    <w:tr2bl w:val="nil"/>
                  </w:tcBorders>
                  <w:noWrap w:val="0"/>
                  <w:vAlign w:val="center"/>
                </w:tcPr>
                <w:p w14:paraId="7FE8C73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93" w:type="dxa"/>
                  <w:tcBorders>
                    <w:tl2br w:val="nil"/>
                    <w:tr2bl w:val="nil"/>
                  </w:tcBorders>
                  <w:noWrap w:val="0"/>
                  <w:vAlign w:val="center"/>
                </w:tcPr>
                <w:p w14:paraId="7C294DE9">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1280" w:type="dxa"/>
                  <w:tcBorders>
                    <w:tl2br w:val="nil"/>
                    <w:tr2bl w:val="nil"/>
                  </w:tcBorders>
                  <w:noWrap w:val="0"/>
                  <w:vAlign w:val="center"/>
                </w:tcPr>
                <w:p w14:paraId="0504D8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70" w:type="dxa"/>
                  <w:tcBorders>
                    <w:tl2br w:val="nil"/>
                    <w:tr2bl w:val="nil"/>
                  </w:tcBorders>
                  <w:noWrap w:val="0"/>
                  <w:vAlign w:val="center"/>
                </w:tcPr>
                <w:p w14:paraId="57DDE2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60" w:type="dxa"/>
                  <w:vMerge w:val="continue"/>
                  <w:tcBorders>
                    <w:tl2br w:val="nil"/>
                    <w:tr2bl w:val="nil"/>
                  </w:tcBorders>
                  <w:noWrap w:val="0"/>
                  <w:vAlign w:val="center"/>
                </w:tcPr>
                <w:p w14:paraId="6C976287">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599" w:type="dxa"/>
                  <w:vMerge w:val="continue"/>
                  <w:tcBorders>
                    <w:tl2br w:val="nil"/>
                    <w:tr2bl w:val="nil"/>
                  </w:tcBorders>
                  <w:noWrap w:val="0"/>
                  <w:vAlign w:val="center"/>
                </w:tcPr>
                <w:p w14:paraId="3DE0A12F">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008" w:type="dxa"/>
                  <w:vMerge w:val="continue"/>
                  <w:tcBorders>
                    <w:tl2br w:val="nil"/>
                    <w:tr2bl w:val="nil"/>
                  </w:tcBorders>
                  <w:noWrap w:val="0"/>
                  <w:vAlign w:val="center"/>
                </w:tcPr>
                <w:p w14:paraId="6D02B071">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03707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restart"/>
                  <w:tcBorders>
                    <w:tl2br w:val="nil"/>
                    <w:tr2bl w:val="nil"/>
                  </w:tcBorders>
                  <w:noWrap w:val="0"/>
                  <w:vAlign w:val="center"/>
                </w:tcPr>
                <w:p w14:paraId="3E440CF0">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p>
              </w:tc>
              <w:tc>
                <w:tcPr>
                  <w:tcW w:w="934" w:type="dxa"/>
                  <w:vMerge w:val="restart"/>
                  <w:tcBorders>
                    <w:tl2br w:val="nil"/>
                    <w:tr2bl w:val="nil"/>
                  </w:tcBorders>
                  <w:noWrap w:val="0"/>
                  <w:vAlign w:val="center"/>
                </w:tcPr>
                <w:p w14:paraId="64796C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DA002</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排气筒</w:t>
                  </w:r>
                </w:p>
              </w:tc>
              <w:tc>
                <w:tcPr>
                  <w:tcW w:w="1534" w:type="dxa"/>
                  <w:vMerge w:val="restart"/>
                  <w:tcBorders>
                    <w:tl2br w:val="nil"/>
                    <w:tr2bl w:val="nil"/>
                  </w:tcBorders>
                  <w:noWrap w:val="0"/>
                  <w:vAlign w:val="center"/>
                </w:tcPr>
                <w:p w14:paraId="181DCFC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废气设施失效</w:t>
                  </w:r>
                </w:p>
              </w:tc>
              <w:tc>
                <w:tcPr>
                  <w:tcW w:w="1093" w:type="dxa"/>
                  <w:tcBorders>
                    <w:tl2br w:val="nil"/>
                    <w:tr2bl w:val="nil"/>
                  </w:tcBorders>
                  <w:noWrap w:val="0"/>
                  <w:vAlign w:val="center"/>
                </w:tcPr>
                <w:p w14:paraId="33027167">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非甲烷总烃</w:t>
                  </w:r>
                </w:p>
              </w:tc>
              <w:tc>
                <w:tcPr>
                  <w:tcW w:w="1280" w:type="dxa"/>
                  <w:tcBorders>
                    <w:tl2br w:val="nil"/>
                    <w:tr2bl w:val="nil"/>
                  </w:tcBorders>
                  <w:noWrap w:val="0"/>
                  <w:vAlign w:val="center"/>
                </w:tcPr>
                <w:p w14:paraId="7C6505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3.9 </w:t>
                  </w:r>
                </w:p>
              </w:tc>
              <w:tc>
                <w:tcPr>
                  <w:tcW w:w="870" w:type="dxa"/>
                  <w:tcBorders>
                    <w:tl2br w:val="nil"/>
                    <w:tr2bl w:val="nil"/>
                  </w:tcBorders>
                  <w:noWrap w:val="0"/>
                  <w:vAlign w:val="center"/>
                </w:tcPr>
                <w:p w14:paraId="339028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0.156 </w:t>
                  </w:r>
                </w:p>
              </w:tc>
              <w:tc>
                <w:tcPr>
                  <w:tcW w:w="660" w:type="dxa"/>
                  <w:vMerge w:val="restart"/>
                  <w:tcBorders>
                    <w:tl2br w:val="nil"/>
                    <w:tr2bl w:val="nil"/>
                  </w:tcBorders>
                  <w:noWrap w:val="0"/>
                  <w:vAlign w:val="center"/>
                </w:tcPr>
                <w:p w14:paraId="34FD44C2">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99" w:type="dxa"/>
                  <w:vMerge w:val="restart"/>
                  <w:tcBorders>
                    <w:tl2br w:val="nil"/>
                    <w:tr2bl w:val="nil"/>
                  </w:tcBorders>
                  <w:noWrap w:val="0"/>
                  <w:vAlign w:val="center"/>
                </w:tcPr>
                <w:p w14:paraId="6BF845EE">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008" w:type="dxa"/>
                  <w:vMerge w:val="restart"/>
                  <w:tcBorders>
                    <w:tl2br w:val="nil"/>
                    <w:tr2bl w:val="nil"/>
                  </w:tcBorders>
                  <w:noWrap w:val="0"/>
                  <w:vAlign w:val="center"/>
                </w:tcPr>
                <w:p w14:paraId="299E1EEC">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停止生产并修复处理设备</w:t>
                  </w:r>
                </w:p>
              </w:tc>
            </w:tr>
            <w:tr w14:paraId="1F0E3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53906C57">
                  <w:pPr>
                    <w:jc w:val="center"/>
                    <w:rPr>
                      <w:rFonts w:hint="eastAsia" w:ascii="Times New Roman" w:hAnsi="Times New Roman" w:eastAsia="宋体" w:cs="Times New Roman"/>
                      <w:snapToGrid/>
                      <w:color w:val="000000" w:themeColor="text1"/>
                      <w:kern w:val="2"/>
                      <w:sz w:val="21"/>
                      <w:szCs w:val="21"/>
                      <w:lang w:val="en-US" w:eastAsia="zh-CN"/>
                      <w14:textFill>
                        <w14:solidFill>
                          <w14:schemeClr w14:val="tx1"/>
                        </w14:solidFill>
                      </w14:textFill>
                    </w:rPr>
                  </w:pPr>
                </w:p>
              </w:tc>
              <w:tc>
                <w:tcPr>
                  <w:tcW w:w="934" w:type="dxa"/>
                  <w:vMerge w:val="continue"/>
                  <w:tcBorders>
                    <w:tl2br w:val="nil"/>
                    <w:tr2bl w:val="nil"/>
                  </w:tcBorders>
                  <w:noWrap w:val="0"/>
                  <w:vAlign w:val="center"/>
                </w:tcPr>
                <w:p w14:paraId="36779F39">
                  <w:pPr>
                    <w:jc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1534" w:type="dxa"/>
                  <w:vMerge w:val="continue"/>
                  <w:tcBorders>
                    <w:tl2br w:val="nil"/>
                    <w:tr2bl w:val="nil"/>
                  </w:tcBorders>
                  <w:noWrap w:val="0"/>
                  <w:vAlign w:val="center"/>
                </w:tcPr>
                <w:p w14:paraId="31327884">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1093" w:type="dxa"/>
                  <w:tcBorders>
                    <w:tl2br w:val="nil"/>
                    <w:tr2bl w:val="nil"/>
                  </w:tcBorders>
                  <w:noWrap w:val="0"/>
                  <w:vAlign w:val="center"/>
                </w:tcPr>
                <w:p w14:paraId="63103F1C">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苯系物</w:t>
                  </w:r>
                </w:p>
              </w:tc>
              <w:tc>
                <w:tcPr>
                  <w:tcW w:w="1280" w:type="dxa"/>
                  <w:tcBorders>
                    <w:tl2br w:val="nil"/>
                    <w:tr2bl w:val="nil"/>
                  </w:tcBorders>
                  <w:noWrap w:val="0"/>
                  <w:vAlign w:val="center"/>
                </w:tcPr>
                <w:p w14:paraId="01BA2254">
                  <w:pPr>
                    <w:keepNext w:val="0"/>
                    <w:keepLines w:val="0"/>
                    <w:widowControl/>
                    <w:suppressLineNumbers w:val="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2.5 </w:t>
                  </w:r>
                </w:p>
              </w:tc>
              <w:tc>
                <w:tcPr>
                  <w:tcW w:w="870" w:type="dxa"/>
                  <w:tcBorders>
                    <w:tl2br w:val="nil"/>
                    <w:tr2bl w:val="nil"/>
                  </w:tcBorders>
                  <w:noWrap w:val="0"/>
                  <w:vAlign w:val="center"/>
                </w:tcPr>
                <w:p w14:paraId="67A58D11">
                  <w:pPr>
                    <w:keepNext w:val="0"/>
                    <w:keepLines w:val="0"/>
                    <w:widowControl/>
                    <w:suppressLineNumbers w:val="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0.101 </w:t>
                  </w:r>
                </w:p>
              </w:tc>
              <w:tc>
                <w:tcPr>
                  <w:tcW w:w="660" w:type="dxa"/>
                  <w:vMerge w:val="continue"/>
                  <w:tcBorders>
                    <w:tl2br w:val="nil"/>
                    <w:tr2bl w:val="nil"/>
                  </w:tcBorders>
                  <w:noWrap w:val="0"/>
                  <w:vAlign w:val="center"/>
                </w:tcPr>
                <w:p w14:paraId="351795D9">
                  <w:pPr>
                    <w:jc w:val="center"/>
                    <w:rPr>
                      <w:rFonts w:hint="default" w:ascii="Times New Roman" w:hAnsi="Times New Roman" w:eastAsia="宋体" w:cs="Times New Roman"/>
                      <w:snapToGrid/>
                      <w:color w:val="000000" w:themeColor="text1"/>
                      <w:kern w:val="2"/>
                      <w:sz w:val="21"/>
                      <w:szCs w:val="21"/>
                      <w:lang w:eastAsia="zh-CN"/>
                      <w14:textFill>
                        <w14:solidFill>
                          <w14:schemeClr w14:val="tx1"/>
                        </w14:solidFill>
                      </w14:textFill>
                    </w:rPr>
                  </w:pPr>
                </w:p>
              </w:tc>
              <w:tc>
                <w:tcPr>
                  <w:tcW w:w="599" w:type="dxa"/>
                  <w:vMerge w:val="continue"/>
                  <w:tcBorders>
                    <w:tl2br w:val="nil"/>
                    <w:tr2bl w:val="nil"/>
                  </w:tcBorders>
                  <w:noWrap w:val="0"/>
                  <w:vAlign w:val="center"/>
                </w:tcPr>
                <w:p w14:paraId="1A191914">
                  <w:pPr>
                    <w:jc w:val="center"/>
                    <w:rPr>
                      <w:rFonts w:hint="eastAsia" w:ascii="Times New Roman" w:hAnsi="Times New Roman" w:eastAsia="宋体" w:cs="Times New Roman"/>
                      <w:snapToGrid/>
                      <w:color w:val="000000" w:themeColor="text1"/>
                      <w:kern w:val="2"/>
                      <w:sz w:val="21"/>
                      <w:szCs w:val="21"/>
                      <w:lang w:val="en-US" w:eastAsia="zh-CN"/>
                      <w14:textFill>
                        <w14:solidFill>
                          <w14:schemeClr w14:val="tx1"/>
                        </w14:solidFill>
                      </w14:textFill>
                    </w:rPr>
                  </w:pPr>
                </w:p>
              </w:tc>
              <w:tc>
                <w:tcPr>
                  <w:tcW w:w="1008" w:type="dxa"/>
                  <w:vMerge w:val="continue"/>
                  <w:tcBorders>
                    <w:tl2br w:val="nil"/>
                    <w:tr2bl w:val="nil"/>
                  </w:tcBorders>
                  <w:noWrap w:val="0"/>
                  <w:vAlign w:val="center"/>
                </w:tcPr>
                <w:p w14:paraId="2D6DC92E">
                  <w:pPr>
                    <w:jc w:val="center"/>
                    <w:rPr>
                      <w:rFonts w:hint="default" w:ascii="Times New Roman" w:hAnsi="Times New Roman" w:eastAsia="宋体" w:cs="Times New Roman"/>
                      <w:snapToGrid/>
                      <w:color w:val="000000" w:themeColor="text1"/>
                      <w:kern w:val="2"/>
                      <w:sz w:val="21"/>
                      <w:szCs w:val="21"/>
                      <w:lang w:eastAsia="zh-CN"/>
                      <w14:textFill>
                        <w14:solidFill>
                          <w14:schemeClr w14:val="tx1"/>
                        </w14:solidFill>
                      </w14:textFill>
                    </w:rPr>
                  </w:pPr>
                </w:p>
              </w:tc>
            </w:tr>
            <w:tr w14:paraId="345B1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68712EB2">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934" w:type="dxa"/>
                  <w:vMerge w:val="continue"/>
                  <w:tcBorders>
                    <w:tl2br w:val="nil"/>
                    <w:tr2bl w:val="nil"/>
                  </w:tcBorders>
                  <w:noWrap w:val="0"/>
                  <w:vAlign w:val="center"/>
                </w:tcPr>
                <w:p w14:paraId="203F7ED1">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534" w:type="dxa"/>
                  <w:vMerge w:val="continue"/>
                  <w:tcBorders>
                    <w:tl2br w:val="nil"/>
                    <w:tr2bl w:val="nil"/>
                  </w:tcBorders>
                  <w:noWrap w:val="0"/>
                  <w:vAlign w:val="center"/>
                </w:tcPr>
                <w:p w14:paraId="3E1783F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93" w:type="dxa"/>
                  <w:tcBorders>
                    <w:tl2br w:val="nil"/>
                    <w:tr2bl w:val="nil"/>
                  </w:tcBorders>
                  <w:noWrap w:val="0"/>
                  <w:vAlign w:val="center"/>
                </w:tcPr>
                <w:p w14:paraId="3212058A">
                  <w:pPr>
                    <w:keepNext w:val="0"/>
                    <w:keepLines w:val="0"/>
                    <w:widowControl/>
                    <w:suppressLineNumbers w:val="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臭气浓度</w:t>
                  </w:r>
                </w:p>
              </w:tc>
              <w:tc>
                <w:tcPr>
                  <w:tcW w:w="1280" w:type="dxa"/>
                  <w:tcBorders>
                    <w:tl2br w:val="nil"/>
                    <w:tr2bl w:val="nil"/>
                  </w:tcBorders>
                  <w:noWrap w:val="0"/>
                  <w:vAlign w:val="center"/>
                </w:tcPr>
                <w:p w14:paraId="4651BE3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70" w:type="dxa"/>
                  <w:tcBorders>
                    <w:tl2br w:val="nil"/>
                    <w:tr2bl w:val="nil"/>
                  </w:tcBorders>
                  <w:noWrap w:val="0"/>
                  <w:vAlign w:val="center"/>
                </w:tcPr>
                <w:p w14:paraId="51AB3A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60" w:type="dxa"/>
                  <w:vMerge w:val="continue"/>
                  <w:tcBorders>
                    <w:tl2br w:val="nil"/>
                    <w:tr2bl w:val="nil"/>
                  </w:tcBorders>
                  <w:noWrap w:val="0"/>
                  <w:vAlign w:val="center"/>
                </w:tcPr>
                <w:p w14:paraId="33CBB98A">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599" w:type="dxa"/>
                  <w:vMerge w:val="continue"/>
                  <w:tcBorders>
                    <w:tl2br w:val="nil"/>
                    <w:tr2bl w:val="nil"/>
                  </w:tcBorders>
                  <w:noWrap w:val="0"/>
                  <w:vAlign w:val="center"/>
                </w:tcPr>
                <w:p w14:paraId="171C2E6B">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008" w:type="dxa"/>
                  <w:vMerge w:val="continue"/>
                  <w:tcBorders>
                    <w:tl2br w:val="nil"/>
                    <w:tr2bl w:val="nil"/>
                  </w:tcBorders>
                  <w:noWrap w:val="0"/>
                  <w:vAlign w:val="center"/>
                </w:tcPr>
                <w:p w14:paraId="3B6D7458">
                  <w:pPr>
                    <w:jc w:val="cente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bl>
          <w:p w14:paraId="10D434B0">
            <w:pPr>
              <w:keepNext w:val="0"/>
              <w:keepLines w:val="0"/>
              <w:pageBreakBefore w:val="0"/>
              <w:widowControl w:val="0"/>
              <w:kinsoku/>
              <w:wordWrap/>
              <w:overflowPunct/>
              <w:topLinePunct w:val="0"/>
              <w:autoSpaceDE/>
              <w:autoSpaceDN/>
              <w:bidi w:val="0"/>
              <w:adjustRightInd/>
              <w:snapToGrid/>
              <w:spacing w:line="120" w:lineRule="auto"/>
              <w:ind w:firstLine="42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p>
          <w:p w14:paraId="1D4628A2">
            <w:pPr>
              <w:pStyle w:val="39"/>
              <w:spacing w:after="0" w:line="360" w:lineRule="auto"/>
              <w:ind w:firstLine="480"/>
              <w:rPr>
                <w:rFonts w:hint="default" w:ascii="Times New Roman" w:hAnsi="Times New Roman" w:eastAsia="宋体" w:cs="Times New Roman"/>
                <w:b/>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2、废水</w:t>
            </w:r>
          </w:p>
          <w:p w14:paraId="599B3C74">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2.1</w:t>
            </w:r>
            <w:r>
              <w:rPr>
                <w:rFonts w:hint="default" w:ascii="Times New Roman" w:hAnsi="Times New Roman" w:cs="Times New Roman"/>
                <w:b/>
                <w:bCs/>
                <w:color w:val="000000" w:themeColor="text1"/>
                <w:sz w:val="24"/>
                <w:szCs w:val="24"/>
                <w:highlight w:val="none"/>
                <w14:textFill>
                  <w14:solidFill>
                    <w14:schemeClr w14:val="tx1"/>
                  </w14:solidFill>
                </w14:textFill>
              </w:rPr>
              <w:t>污染源源强分析</w:t>
            </w:r>
          </w:p>
          <w:p w14:paraId="01B4DC75">
            <w:pPr>
              <w:keepNext/>
              <w:keepLines/>
              <w:numPr>
                <w:ilvl w:val="4"/>
                <w:numId w:val="0"/>
              </w:numPr>
              <w:suppressLineNumbers w:val="0"/>
              <w:tabs>
                <w:tab w:val="left" w:pos="0"/>
              </w:tabs>
              <w:spacing w:before="0" w:beforeAutospacing="0" w:after="0" w:afterAutospacing="0" w:line="360" w:lineRule="auto"/>
              <w:ind w:left="-960" w:right="0" w:firstLine="1440"/>
              <w:outlineLvl w:val="4"/>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（1）生活污水</w:t>
            </w:r>
          </w:p>
          <w:p w14:paraId="7E24BEE1">
            <w:pPr>
              <w:widowControl w:val="0"/>
              <w:wordWrap/>
              <w:spacing w:line="360" w:lineRule="auto"/>
              <w:ind w:firstLine="480" w:firstLineChars="200"/>
              <w:textAlignment w:val="auto"/>
              <w:rPr>
                <w:rFonts w:hint="default" w:ascii="Times New Roman" w:hAnsi="Times New Roman" w:cs="Times New Roman"/>
                <w:color w:val="000000" w:themeColor="text1"/>
                <w:kern w:val="0"/>
                <w:sz w:val="24"/>
                <w:szCs w:val="24"/>
                <w:highlight w:val="none"/>
                <w:lang w:eastAsia="zh"/>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项目</w:t>
            </w:r>
            <w:r>
              <w:rPr>
                <w:rFonts w:hint="default" w:ascii="Times New Roman" w:hAnsi="Times New Roman" w:cs="Times New Roman"/>
                <w:color w:val="000000" w:themeColor="text1"/>
                <w:sz w:val="24"/>
                <w:szCs w:val="24"/>
                <w:highlight w:val="none"/>
                <w14:textFill>
                  <w14:solidFill>
                    <w14:schemeClr w14:val="tx1"/>
                  </w14:solidFill>
                </w14:textFill>
              </w:rPr>
              <w:t>劳动定员</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160</w:t>
            </w:r>
            <w:r>
              <w:rPr>
                <w:rFonts w:hint="default" w:ascii="Times New Roman" w:hAnsi="Times New Roman" w:cs="Times New Roman"/>
                <w:color w:val="000000" w:themeColor="text1"/>
                <w:sz w:val="24"/>
                <w:szCs w:val="24"/>
                <w:highlight w:val="none"/>
                <w14:textFill>
                  <w14:solidFill>
                    <w14:schemeClr w14:val="tx1"/>
                  </w14:solidFill>
                </w14:textFill>
              </w:rPr>
              <w:t>名</w:t>
            </w:r>
            <w:r>
              <w:rPr>
                <w:rFonts w:hint="default" w:ascii="Times New Roman" w:hAnsi="Times New Roman" w:cs="Times New Roman"/>
                <w:color w:val="000000" w:themeColor="text1"/>
                <w:kern w:val="0"/>
                <w:sz w:val="24"/>
                <w:szCs w:val="24"/>
                <w:highlight w:val="none"/>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其中140人在厂区住宿</w:t>
            </w:r>
            <w:r>
              <w:rPr>
                <w:rFonts w:hint="default" w:ascii="Times New Roman" w:hAnsi="Times New Roman" w:cs="Times New Roman"/>
                <w:color w:val="000000" w:themeColor="text1"/>
                <w:kern w:val="0"/>
                <w:sz w:val="24"/>
                <w:szCs w:val="24"/>
                <w:highlight w:val="none"/>
                <w14:textFill>
                  <w14:solidFill>
                    <w14:schemeClr w14:val="tx1"/>
                  </w14:solidFill>
                </w14:textFill>
              </w:rPr>
              <w:t>。不住宿</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住宿</w:t>
            </w:r>
            <w:r>
              <w:rPr>
                <w:rFonts w:hint="default" w:ascii="Times New Roman" w:hAnsi="Times New Roman" w:cs="Times New Roman"/>
                <w:color w:val="000000" w:themeColor="text1"/>
                <w:kern w:val="0"/>
                <w:sz w:val="24"/>
                <w:szCs w:val="24"/>
                <w:highlight w:val="none"/>
                <w14:textFill>
                  <w14:solidFill>
                    <w14:schemeClr w14:val="tx1"/>
                  </w14:solidFill>
                </w14:textFill>
              </w:rPr>
              <w:t>员工生活用水</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分别</w:t>
            </w:r>
            <w:r>
              <w:rPr>
                <w:rFonts w:hint="default" w:ascii="Times New Roman" w:hAnsi="Times New Roman" w:eastAsia="宋体" w:cs="Times New Roman"/>
                <w:bCs/>
                <w:color w:val="000000" w:themeColor="text1"/>
                <w:sz w:val="24"/>
                <w:szCs w:val="24"/>
                <w:highlight w:val="none"/>
                <w14:textFill>
                  <w14:solidFill>
                    <w14:schemeClr w14:val="tx1"/>
                  </w14:solidFill>
                </w14:textFill>
              </w:rPr>
              <w:t>参照《用水定额 第3部分：生活》（DB44/T1461-2021）中国家行政机构（无食堂无浴室）中的先进值10</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/人·年</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Cs/>
                <w:color w:val="000000" w:themeColor="text1"/>
                <w:sz w:val="24"/>
                <w:szCs w:val="24"/>
                <w:highlight w:val="none"/>
                <w14:textFill>
                  <w14:solidFill>
                    <w14:schemeClr w14:val="tx1"/>
                  </w14:solidFill>
                </w14:textFill>
              </w:rPr>
              <w:t>国家行政机构（</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有</w:t>
            </w:r>
            <w:r>
              <w:rPr>
                <w:rFonts w:hint="default" w:ascii="Times New Roman" w:hAnsi="Times New Roman" w:eastAsia="宋体" w:cs="Times New Roman"/>
                <w:bCs/>
                <w:color w:val="000000" w:themeColor="text1"/>
                <w:sz w:val="24"/>
                <w:szCs w:val="24"/>
                <w:highlight w:val="none"/>
                <w14:textFill>
                  <w14:solidFill>
                    <w14:schemeClr w14:val="tx1"/>
                  </w14:solidFill>
                </w14:textFill>
              </w:rPr>
              <w:t>食堂无浴室）中的先进值</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/人·年计算</w:t>
            </w:r>
            <w:r>
              <w:rPr>
                <w:rFonts w:hint="default" w:ascii="Times New Roman" w:hAnsi="Times New Roman" w:eastAsia="宋体" w:cs="Times New Roman"/>
                <w:color w:val="000000" w:themeColor="text1"/>
                <w:sz w:val="24"/>
                <w:szCs w:val="24"/>
                <w:highlight w:val="none"/>
                <w14:textFill>
                  <w14:solidFill>
                    <w14:schemeClr w14:val="tx1"/>
                  </w14:solidFill>
                </w14:textFill>
              </w:rPr>
              <w:t>，则生活用水量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合计</w:t>
            </w:r>
            <w:r>
              <w:rPr>
                <w:rFonts w:hint="default" w:ascii="Times New Roman" w:hAnsi="Times New Roman" w:eastAsia="宋体" w:cs="Times New Roman"/>
                <w:color w:val="000000" w:themeColor="text1"/>
                <w:sz w:val="24"/>
                <w:szCs w:val="24"/>
                <w:highlight w:val="none"/>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2300</w:t>
            </w:r>
            <w:r>
              <w:rPr>
                <w:rFonts w:hint="default" w:ascii="Times New Roman" w:hAnsi="Times New Roman" w:eastAsia="宋体" w:cs="Times New Roman"/>
                <w:bCs/>
                <w:color w:val="000000" w:themeColor="text1"/>
                <w:sz w:val="24"/>
                <w:szCs w:val="24"/>
                <w:highlight w:val="none"/>
                <w14:textFill>
                  <w14:solidFill>
                    <w14:schemeClr w14:val="tx1"/>
                  </w14:solidFill>
                </w14:textFill>
              </w:rPr>
              <w:t>t/a</w:t>
            </w:r>
            <w:r>
              <w:rPr>
                <w:rFonts w:hint="default" w:ascii="Times New Roman" w:hAnsi="Times New Roman" w:eastAsia="宋体" w:cs="Times New Roman"/>
                <w:color w:val="000000" w:themeColor="text1"/>
                <w:sz w:val="24"/>
                <w:szCs w:val="24"/>
                <w:highlight w:val="none"/>
                <w14:textFill>
                  <w14:solidFill>
                    <w14:schemeClr w14:val="tx1"/>
                  </w14:solidFill>
                </w14:textFill>
              </w:rPr>
              <w:t>。生活污水排污系数按0.9计，生活污水产生量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2070</w:t>
            </w:r>
            <w:r>
              <w:rPr>
                <w:rFonts w:hint="default" w:ascii="Times New Roman" w:hAnsi="Times New Roman" w:eastAsia="宋体" w:cs="Times New Roman"/>
                <w:bCs/>
                <w:color w:val="000000" w:themeColor="text1"/>
                <w:sz w:val="24"/>
                <w:szCs w:val="24"/>
                <w:highlight w:val="none"/>
                <w14:textFill>
                  <w14:solidFill>
                    <w14:schemeClr w14:val="tx1"/>
                  </w14:solidFill>
                </w14:textFill>
              </w:rPr>
              <w:t>t/a</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本项目办公生活污水经过三级化粪池</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+隔油隔渣池</w:t>
            </w:r>
            <w:r>
              <w:rPr>
                <w:rFonts w:hint="default" w:ascii="Times New Roman" w:hAnsi="Times New Roman" w:cs="Times New Roman"/>
                <w:color w:val="000000" w:themeColor="text1"/>
                <w:kern w:val="0"/>
                <w:sz w:val="24"/>
                <w:szCs w:val="24"/>
                <w:highlight w:val="none"/>
                <w14:textFill>
                  <w14:solidFill>
                    <w14:schemeClr w14:val="tx1"/>
                  </w14:solidFill>
                </w14:textFill>
              </w:rPr>
              <w:t>处理后经管网排入园区污水处理厂，处理达标后排入武江（乐昌城-犁市河段）</w:t>
            </w:r>
            <w:r>
              <w:rPr>
                <w:rFonts w:hint="default" w:ascii="Times New Roman" w:hAnsi="Times New Roman" w:cs="Times New Roman"/>
                <w:color w:val="000000" w:themeColor="text1"/>
                <w:kern w:val="0"/>
                <w:sz w:val="24"/>
                <w:szCs w:val="24"/>
                <w:highlight w:val="none"/>
                <w:lang w:eastAsia="zh"/>
                <w14:textFill>
                  <w14:solidFill>
                    <w14:schemeClr w14:val="tx1"/>
                  </w14:solidFill>
                </w14:textFill>
              </w:rPr>
              <w:t>。</w:t>
            </w:r>
          </w:p>
          <w:p w14:paraId="7DDECF9D">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 xml:space="preserve">20 </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污水污染源源强核算结果及相关参数一览表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1314"/>
              <w:gridCol w:w="1268"/>
              <w:gridCol w:w="1133"/>
              <w:gridCol w:w="950"/>
              <w:gridCol w:w="1089"/>
              <w:gridCol w:w="1101"/>
            </w:tblGrid>
            <w:tr w14:paraId="1B77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noWrap w:val="0"/>
                  <w:vAlign w:val="center"/>
                </w:tcPr>
                <w:p w14:paraId="1A8658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污水种类</w:t>
                  </w:r>
                </w:p>
              </w:tc>
              <w:tc>
                <w:tcPr>
                  <w:tcW w:w="783" w:type="pct"/>
                  <w:noWrap w:val="0"/>
                  <w:vAlign w:val="center"/>
                </w:tcPr>
                <w:p w14:paraId="2032A5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污染物</w:t>
                  </w:r>
                </w:p>
              </w:tc>
              <w:tc>
                <w:tcPr>
                  <w:tcW w:w="756" w:type="pct"/>
                  <w:noWrap w:val="0"/>
                  <w:vAlign w:val="center"/>
                </w:tcPr>
                <w:p w14:paraId="06A1B1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产生浓度（mg/L）</w:t>
                  </w:r>
                </w:p>
              </w:tc>
              <w:tc>
                <w:tcPr>
                  <w:tcW w:w="675" w:type="pct"/>
                  <w:noWrap w:val="0"/>
                  <w:vAlign w:val="center"/>
                </w:tcPr>
                <w:p w14:paraId="3287ED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产生量（t/a）</w:t>
                  </w:r>
                </w:p>
              </w:tc>
              <w:tc>
                <w:tcPr>
                  <w:tcW w:w="566" w:type="pct"/>
                  <w:noWrap/>
                  <w:vAlign w:val="center"/>
                </w:tcPr>
                <w:p w14:paraId="461BD5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处理效率</w:t>
                  </w:r>
                </w:p>
              </w:tc>
              <w:tc>
                <w:tcPr>
                  <w:tcW w:w="649" w:type="pct"/>
                  <w:noWrap w:val="0"/>
                  <w:vAlign w:val="center"/>
                </w:tcPr>
                <w:p w14:paraId="1EEDD3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排放浓度（mg/L）</w:t>
                  </w:r>
                </w:p>
              </w:tc>
              <w:tc>
                <w:tcPr>
                  <w:tcW w:w="653" w:type="pct"/>
                  <w:noWrap w:val="0"/>
                  <w:vAlign w:val="center"/>
                </w:tcPr>
                <w:p w14:paraId="749B59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排放量（t/a）</w:t>
                  </w:r>
                </w:p>
              </w:tc>
            </w:tr>
            <w:tr w14:paraId="10FA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restart"/>
                  <w:noWrap w:val="0"/>
                  <w:vAlign w:val="center"/>
                </w:tcPr>
                <w:p w14:paraId="7CCB20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生活污水</w:t>
                  </w:r>
                </w:p>
                <w:p w14:paraId="7A1A2D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2070m</w:t>
                  </w:r>
                  <w:r>
                    <w:rPr>
                      <w:rFonts w:hint="default" w:ascii="Times New Roman" w:hAnsi="Times New Roman" w:eastAsia="宋体" w:cs="Times New Roman"/>
                      <w:b w:val="0"/>
                      <w:bCs w:val="0"/>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/a</w:t>
                  </w:r>
                </w:p>
              </w:tc>
              <w:tc>
                <w:tcPr>
                  <w:tcW w:w="783" w:type="pct"/>
                  <w:noWrap w:val="0"/>
                  <w:vAlign w:val="center"/>
                </w:tcPr>
                <w:p w14:paraId="5708F4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COD</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Cr</w:t>
                  </w:r>
                </w:p>
              </w:tc>
              <w:tc>
                <w:tcPr>
                  <w:tcW w:w="756" w:type="pct"/>
                  <w:noWrap w:val="0"/>
                  <w:vAlign w:val="center"/>
                </w:tcPr>
                <w:p w14:paraId="429D53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250</w:t>
                  </w:r>
                </w:p>
              </w:tc>
              <w:tc>
                <w:tcPr>
                  <w:tcW w:w="675" w:type="pct"/>
                  <w:noWrap w:val="0"/>
                  <w:vAlign w:val="center"/>
                </w:tcPr>
                <w:p w14:paraId="742265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0.518 </w:t>
                  </w:r>
                </w:p>
              </w:tc>
              <w:tc>
                <w:tcPr>
                  <w:tcW w:w="566" w:type="pct"/>
                  <w:noWrap/>
                  <w:vAlign w:val="center"/>
                </w:tcPr>
                <w:p w14:paraId="124DFA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649" w:type="pct"/>
                  <w:noWrap w:val="0"/>
                  <w:vAlign w:val="center"/>
                </w:tcPr>
                <w:p w14:paraId="102008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w:t>
                  </w:r>
                </w:p>
              </w:tc>
              <w:tc>
                <w:tcPr>
                  <w:tcW w:w="653" w:type="pct"/>
                  <w:noWrap w:val="0"/>
                  <w:vAlign w:val="center"/>
                </w:tcPr>
                <w:p w14:paraId="1672DB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0.414 </w:t>
                  </w:r>
                </w:p>
              </w:tc>
            </w:tr>
            <w:tr w14:paraId="4D79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0"/>
                  <w:vAlign w:val="center"/>
                </w:tcPr>
                <w:p w14:paraId="314FC1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c>
                <w:tcPr>
                  <w:tcW w:w="783" w:type="pct"/>
                  <w:noWrap w:val="0"/>
                  <w:vAlign w:val="center"/>
                </w:tcPr>
                <w:p w14:paraId="75FD1A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BOD</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5</w:t>
                  </w:r>
                </w:p>
              </w:tc>
              <w:tc>
                <w:tcPr>
                  <w:tcW w:w="756" w:type="pct"/>
                  <w:noWrap w:val="0"/>
                  <w:vAlign w:val="center"/>
                </w:tcPr>
                <w:p w14:paraId="4AB7FD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150</w:t>
                  </w:r>
                </w:p>
              </w:tc>
              <w:tc>
                <w:tcPr>
                  <w:tcW w:w="675" w:type="pct"/>
                  <w:noWrap w:val="0"/>
                  <w:vAlign w:val="center"/>
                </w:tcPr>
                <w:p w14:paraId="78A3C4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0.311 </w:t>
                  </w:r>
                </w:p>
              </w:tc>
              <w:tc>
                <w:tcPr>
                  <w:tcW w:w="566" w:type="pct"/>
                  <w:noWrap/>
                  <w:vAlign w:val="center"/>
                </w:tcPr>
                <w:p w14:paraId="211A12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649" w:type="pct"/>
                  <w:noWrap w:val="0"/>
                  <w:vAlign w:val="center"/>
                </w:tcPr>
                <w:p w14:paraId="2514B1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142.5</w:t>
                  </w:r>
                </w:p>
              </w:tc>
              <w:tc>
                <w:tcPr>
                  <w:tcW w:w="653" w:type="pct"/>
                  <w:noWrap w:val="0"/>
                  <w:vAlign w:val="center"/>
                </w:tcPr>
                <w:p w14:paraId="1BD5AA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0.295 </w:t>
                  </w:r>
                </w:p>
              </w:tc>
            </w:tr>
            <w:tr w14:paraId="16B6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74CA4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c>
                <w:tcPr>
                  <w:tcW w:w="783" w:type="pct"/>
                  <w:noWrap w:val="0"/>
                  <w:vAlign w:val="center"/>
                </w:tcPr>
                <w:p w14:paraId="011D7C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w:t>
                  </w:r>
                </w:p>
              </w:tc>
              <w:tc>
                <w:tcPr>
                  <w:tcW w:w="756" w:type="pct"/>
                  <w:noWrap w:val="0"/>
                  <w:vAlign w:val="center"/>
                </w:tcPr>
                <w:p w14:paraId="36DD82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150</w:t>
                  </w:r>
                </w:p>
              </w:tc>
              <w:tc>
                <w:tcPr>
                  <w:tcW w:w="675" w:type="pct"/>
                  <w:noWrap w:val="0"/>
                  <w:vAlign w:val="center"/>
                </w:tcPr>
                <w:p w14:paraId="27EF14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0.311 </w:t>
                  </w:r>
                </w:p>
              </w:tc>
              <w:tc>
                <w:tcPr>
                  <w:tcW w:w="566" w:type="pct"/>
                  <w:noWrap/>
                  <w:vAlign w:val="center"/>
                </w:tcPr>
                <w:p w14:paraId="740EC7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w:t>
                  </w:r>
                </w:p>
              </w:tc>
              <w:tc>
                <w:tcPr>
                  <w:tcW w:w="649" w:type="pct"/>
                  <w:noWrap w:val="0"/>
                  <w:vAlign w:val="center"/>
                </w:tcPr>
                <w:p w14:paraId="4091E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105</w:t>
                  </w:r>
                </w:p>
              </w:tc>
              <w:tc>
                <w:tcPr>
                  <w:tcW w:w="653" w:type="pct"/>
                  <w:noWrap w:val="0"/>
                  <w:vAlign w:val="center"/>
                </w:tcPr>
                <w:p w14:paraId="5582E7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0.217 </w:t>
                  </w:r>
                </w:p>
              </w:tc>
            </w:tr>
            <w:tr w14:paraId="09E9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6B0F19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c>
                <w:tcPr>
                  <w:tcW w:w="783" w:type="pct"/>
                  <w:noWrap w:val="0"/>
                  <w:vAlign w:val="center"/>
                </w:tcPr>
                <w:p w14:paraId="52DFEC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NH</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w:t>
                  </w:r>
                </w:p>
              </w:tc>
              <w:tc>
                <w:tcPr>
                  <w:tcW w:w="756" w:type="pct"/>
                  <w:noWrap w:val="0"/>
                  <w:vAlign w:val="center"/>
                </w:tcPr>
                <w:p w14:paraId="009A07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w:t>
                  </w:r>
                </w:p>
              </w:tc>
              <w:tc>
                <w:tcPr>
                  <w:tcW w:w="675" w:type="pct"/>
                  <w:noWrap w:val="0"/>
                  <w:vAlign w:val="center"/>
                </w:tcPr>
                <w:p w14:paraId="6E386F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0.062 </w:t>
                  </w:r>
                </w:p>
              </w:tc>
              <w:tc>
                <w:tcPr>
                  <w:tcW w:w="566" w:type="pct"/>
                  <w:noWrap/>
                  <w:vAlign w:val="center"/>
                </w:tcPr>
                <w:p w14:paraId="315993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p>
              </w:tc>
              <w:tc>
                <w:tcPr>
                  <w:tcW w:w="649" w:type="pct"/>
                  <w:noWrap w:val="0"/>
                  <w:vAlign w:val="center"/>
                </w:tcPr>
                <w:p w14:paraId="1ABA70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w:t>
                  </w:r>
                </w:p>
              </w:tc>
              <w:tc>
                <w:tcPr>
                  <w:tcW w:w="653" w:type="pct"/>
                  <w:noWrap w:val="0"/>
                  <w:vAlign w:val="center"/>
                </w:tcPr>
                <w:p w14:paraId="7E64FF3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0.062 </w:t>
                  </w:r>
                </w:p>
              </w:tc>
            </w:tr>
            <w:tr w14:paraId="7110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0EB8C4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c>
                <w:tcPr>
                  <w:tcW w:w="783" w:type="pct"/>
                  <w:noWrap w:val="0"/>
                  <w:vAlign w:val="center"/>
                </w:tcPr>
                <w:p w14:paraId="6F6CF8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总磷</w:t>
                  </w:r>
                </w:p>
              </w:tc>
              <w:tc>
                <w:tcPr>
                  <w:tcW w:w="756" w:type="pct"/>
                  <w:noWrap w:val="0"/>
                  <w:vAlign w:val="center"/>
                </w:tcPr>
                <w:p w14:paraId="33895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675" w:type="pct"/>
                  <w:noWrap w:val="0"/>
                  <w:vAlign w:val="center"/>
                </w:tcPr>
                <w:p w14:paraId="6F58D3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0.010 </w:t>
                  </w:r>
                </w:p>
              </w:tc>
              <w:tc>
                <w:tcPr>
                  <w:tcW w:w="566" w:type="pct"/>
                  <w:noWrap/>
                  <w:vAlign w:val="center"/>
                </w:tcPr>
                <w:p w14:paraId="07634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649" w:type="pct"/>
                  <w:noWrap w:val="0"/>
                  <w:vAlign w:val="center"/>
                </w:tcPr>
                <w:p w14:paraId="233075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653" w:type="pct"/>
                  <w:noWrap w:val="0"/>
                  <w:vAlign w:val="center"/>
                </w:tcPr>
                <w:p w14:paraId="528223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0.008 </w:t>
                  </w:r>
                </w:p>
              </w:tc>
            </w:tr>
            <w:tr w14:paraId="66C2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06AB50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c>
                <w:tcPr>
                  <w:tcW w:w="783" w:type="pct"/>
                  <w:noWrap w:val="0"/>
                  <w:vAlign w:val="center"/>
                </w:tcPr>
                <w:p w14:paraId="2E75DF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动植物油</w:t>
                  </w:r>
                </w:p>
              </w:tc>
              <w:tc>
                <w:tcPr>
                  <w:tcW w:w="756" w:type="pct"/>
                  <w:noWrap w:val="0"/>
                  <w:vAlign w:val="center"/>
                </w:tcPr>
                <w:p w14:paraId="20558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100</w:t>
                  </w:r>
                </w:p>
              </w:tc>
              <w:tc>
                <w:tcPr>
                  <w:tcW w:w="675" w:type="pct"/>
                  <w:noWrap w:val="0"/>
                  <w:vAlign w:val="center"/>
                </w:tcPr>
                <w:p w14:paraId="336971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0.207 </w:t>
                  </w:r>
                </w:p>
              </w:tc>
              <w:tc>
                <w:tcPr>
                  <w:tcW w:w="566" w:type="pct"/>
                  <w:noWrap/>
                  <w:vAlign w:val="center"/>
                </w:tcPr>
                <w:p w14:paraId="585D3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80%</w:t>
                  </w:r>
                </w:p>
              </w:tc>
              <w:tc>
                <w:tcPr>
                  <w:tcW w:w="649" w:type="pct"/>
                  <w:noWrap w:val="0"/>
                  <w:vAlign w:val="center"/>
                </w:tcPr>
                <w:p w14:paraId="27A7AE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20</w:t>
                  </w:r>
                </w:p>
              </w:tc>
              <w:tc>
                <w:tcPr>
                  <w:tcW w:w="653" w:type="pct"/>
                  <w:noWrap w:val="0"/>
                  <w:vAlign w:val="center"/>
                </w:tcPr>
                <w:p w14:paraId="0A8C51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0.041 </w:t>
                  </w:r>
                </w:p>
              </w:tc>
            </w:tr>
            <w:tr w14:paraId="563F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7"/>
                  <w:vMerge w:val="restart"/>
                  <w:noWrap w:val="0"/>
                  <w:vAlign w:val="center"/>
                </w:tcPr>
                <w:p w14:paraId="07E26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center"/>
                    <w:rPr>
                      <w:rFonts w:hint="default" w:ascii="Times New Roman" w:hAnsi="Times New Roman" w:eastAsia="宋体" w:cs="Times New Roman"/>
                      <w:b w:val="0"/>
                      <w:bCs w:val="0"/>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注：</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1、项目生活污水主要污染物为COD</w:t>
                  </w:r>
                  <w:r>
                    <w:rPr>
                      <w:rFonts w:hint="default" w:ascii="Times New Roman" w:hAnsi="Times New Roman" w:eastAsia="宋体" w:cs="Times New Roman"/>
                      <w:b w:val="0"/>
                      <w:bCs w:val="0"/>
                      <w:i w:val="0"/>
                      <w:iCs w:val="0"/>
                      <w:color w:val="000000" w:themeColor="text1"/>
                      <w:kern w:val="0"/>
                      <w:sz w:val="21"/>
                      <w:szCs w:val="21"/>
                      <w:highlight w:val="none"/>
                      <w:u w:val="none"/>
                      <w:vertAlign w:val="subscript"/>
                      <w:lang w:val="en-US" w:eastAsia="zh-CN" w:bidi="ar"/>
                      <w14:textFill>
                        <w14:solidFill>
                          <w14:schemeClr w14:val="tx1"/>
                        </w14:solidFill>
                      </w14:textFill>
                    </w:rPr>
                    <w:t>Cr</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、BOD</w:t>
                  </w:r>
                  <w:r>
                    <w:rPr>
                      <w:rFonts w:hint="default" w:ascii="Times New Roman" w:hAnsi="Times New Roman" w:eastAsia="宋体" w:cs="Times New Roman"/>
                      <w:b w:val="0"/>
                      <w:bCs w:val="0"/>
                      <w:i w:val="0"/>
                      <w:iCs w:val="0"/>
                      <w:color w:val="000000" w:themeColor="text1"/>
                      <w:kern w:val="0"/>
                      <w:sz w:val="21"/>
                      <w:szCs w:val="21"/>
                      <w:highlight w:val="none"/>
                      <w:u w:val="none"/>
                      <w:vertAlign w:val="subscript"/>
                      <w:lang w:val="en-US" w:eastAsia="zh-CN" w:bidi="ar"/>
                      <w14:textFill>
                        <w14:solidFill>
                          <w14:schemeClr w14:val="tx1"/>
                        </w14:solidFill>
                      </w14:textFill>
                    </w:rPr>
                    <w:t>5</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、SS、NH</w:t>
                  </w:r>
                  <w:r>
                    <w:rPr>
                      <w:rFonts w:hint="default" w:ascii="Times New Roman" w:hAnsi="Times New Roman" w:eastAsia="宋体" w:cs="Times New Roman"/>
                      <w:b w:val="0"/>
                      <w:bCs w:val="0"/>
                      <w:i w:val="0"/>
                      <w:iCs w:val="0"/>
                      <w:color w:val="000000" w:themeColor="text1"/>
                      <w:kern w:val="0"/>
                      <w:sz w:val="21"/>
                      <w:szCs w:val="21"/>
                      <w:highlight w:val="none"/>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-N</w:t>
                  </w: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、总磷</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，生活污水产生浓度参照《给水排水设计手册（第五册城镇排水）》（中国建筑工业出版社）表4-1典型生活污水水质示例中浓度。</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2、根据《室外排水设计规范（2011年版）》（GB50014-2006）、《村镇生活污染防治最佳可行技术指南（试行）》（HJ-BAT-9）三级化粪池对COD</w:t>
                  </w:r>
                  <w:r>
                    <w:rPr>
                      <w:rFonts w:hint="default" w:ascii="Times New Roman" w:hAnsi="Times New Roman" w:eastAsia="宋体" w:cs="Times New Roman"/>
                      <w:b w:val="0"/>
                      <w:bCs w:val="0"/>
                      <w:i w:val="0"/>
                      <w:iCs w:val="0"/>
                      <w:color w:val="000000" w:themeColor="text1"/>
                      <w:kern w:val="0"/>
                      <w:sz w:val="21"/>
                      <w:szCs w:val="21"/>
                      <w:highlight w:val="none"/>
                      <w:u w:val="none"/>
                      <w:vertAlign w:val="subscript"/>
                      <w:lang w:val="en-US" w:eastAsia="zh-CN" w:bidi="ar"/>
                      <w14:textFill>
                        <w14:solidFill>
                          <w14:schemeClr w14:val="tx1"/>
                        </w14:solidFill>
                      </w14:textFill>
                    </w:rPr>
                    <w:t>Cr</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、BOD</w:t>
                  </w:r>
                  <w:r>
                    <w:rPr>
                      <w:rFonts w:hint="default" w:ascii="Times New Roman" w:hAnsi="Times New Roman" w:eastAsia="宋体" w:cs="Times New Roman"/>
                      <w:b w:val="0"/>
                      <w:bCs w:val="0"/>
                      <w:i w:val="0"/>
                      <w:iCs w:val="0"/>
                      <w:color w:val="000000" w:themeColor="text1"/>
                      <w:kern w:val="0"/>
                      <w:sz w:val="21"/>
                      <w:szCs w:val="21"/>
                      <w:highlight w:val="none"/>
                      <w:u w:val="none"/>
                      <w:vertAlign w:val="subscript"/>
                      <w:lang w:val="en-US" w:eastAsia="zh-CN" w:bidi="ar"/>
                      <w14:textFill>
                        <w14:solidFill>
                          <w14:schemeClr w14:val="tx1"/>
                        </w14:solidFill>
                      </w14:textFill>
                    </w:rPr>
                    <w:t>5</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、SS</w:t>
                  </w: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NH</w:t>
                  </w:r>
                  <w:r>
                    <w:rPr>
                      <w:rFonts w:hint="default" w:ascii="Times New Roman" w:hAnsi="Times New Roman" w:eastAsia="宋体" w:cs="Times New Roman"/>
                      <w:b w:val="0"/>
                      <w:bCs w:val="0"/>
                      <w:i w:val="0"/>
                      <w:iCs w:val="0"/>
                      <w:color w:val="000000" w:themeColor="text1"/>
                      <w:kern w:val="0"/>
                      <w:sz w:val="21"/>
                      <w:szCs w:val="21"/>
                      <w:highlight w:val="none"/>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-N</w:t>
                  </w: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、总磷</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分别的处理效率为20%、5%、30%</w:t>
                  </w: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和20%，对动植物油处理效率参考《村镇生活污染防治最佳可行技术指南（试行）》（HJ-BAT-9）：动植物油80%~90%，本项目取80%。</w:t>
                  </w:r>
                </w:p>
              </w:tc>
            </w:tr>
            <w:tr w14:paraId="176C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7"/>
                  <w:vMerge w:val="continue"/>
                  <w:noWrap w:val="0"/>
                  <w:vAlign w:val="center"/>
                </w:tcPr>
                <w:p w14:paraId="4A32EE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r>
          </w:tbl>
          <w:p w14:paraId="06EC9F17">
            <w:pPr>
              <w:keepNext w:val="0"/>
              <w:keepLines w:val="0"/>
              <w:pageBreakBefore w:val="0"/>
              <w:widowControl w:val="0"/>
              <w:kinsoku/>
              <w:wordWrap/>
              <w:overflowPunct/>
              <w:topLinePunct w:val="0"/>
              <w:autoSpaceDE/>
              <w:autoSpaceDN/>
              <w:bidi w:val="0"/>
              <w:adjustRightInd/>
              <w:snapToGrid/>
              <w:spacing w:line="120" w:lineRule="auto"/>
              <w:ind w:firstLine="42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p>
          <w:p w14:paraId="1EFB56AD">
            <w:pPr>
              <w:pStyle w:val="11"/>
              <w:widowControl/>
              <w:numPr>
                <w:ilvl w:val="4"/>
                <w:numId w:val="0"/>
              </w:numPr>
              <w:suppressLineNumbers w:val="0"/>
              <w:spacing w:before="0" w:beforeAutospacing="0" w:after="0" w:afterAutospacing="0" w:line="360" w:lineRule="auto"/>
              <w:ind w:left="0" w:right="0" w:firstLine="482" w:firstLineChars="20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（2）</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生产</w:t>
            </w:r>
            <w:r>
              <w:rPr>
                <w:rFonts w:hint="default" w:ascii="Times New Roman" w:hAnsi="Times New Roman" w:cs="Times New Roman"/>
                <w:color w:val="000000" w:themeColor="text1"/>
                <w:kern w:val="2"/>
                <w:sz w:val="24"/>
                <w:szCs w:val="24"/>
                <w:highlight w:val="none"/>
                <w14:textFill>
                  <w14:solidFill>
                    <w14:schemeClr w14:val="tx1"/>
                  </w14:solidFill>
                </w14:textFill>
              </w:rPr>
              <w:t>废水</w:t>
            </w:r>
          </w:p>
          <w:p w14:paraId="6140A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A.水帘柜废水：</w:t>
            </w:r>
            <w:r>
              <w:rPr>
                <w:color w:val="000000" w:themeColor="text1"/>
                <w:sz w:val="24"/>
                <w:szCs w:val="24"/>
                <w14:textFill>
                  <w14:solidFill>
                    <w14:schemeClr w14:val="tx1"/>
                  </w14:solidFill>
                </w14:textFill>
              </w:rPr>
              <w:t>喷漆房内设有水帘</w:t>
            </w:r>
            <w:r>
              <w:rPr>
                <w:rFonts w:hint="eastAsia"/>
                <w:color w:val="000000" w:themeColor="text1"/>
                <w:sz w:val="24"/>
                <w:szCs w:val="24"/>
                <w:lang w:val="en-US" w:eastAsia="zh-CN"/>
                <w14:textFill>
                  <w14:solidFill>
                    <w14:schemeClr w14:val="tx1"/>
                  </w14:solidFill>
                </w14:textFill>
              </w:rPr>
              <w:t>柜</w:t>
            </w:r>
            <w:r>
              <w:rPr>
                <w:color w:val="000000" w:themeColor="text1"/>
                <w:sz w:val="24"/>
                <w:szCs w:val="24"/>
                <w14:textFill>
                  <w14:solidFill>
                    <w14:schemeClr w14:val="tx1"/>
                  </w14:solidFill>
                </w14:textFill>
              </w:rPr>
              <w:t>的循环水池，总有效容积为</w:t>
            </w:r>
            <w:r>
              <w:rPr>
                <w:rFonts w:hint="eastAsia"/>
                <w:color w:val="000000" w:themeColor="text1"/>
                <w:sz w:val="24"/>
                <w:szCs w:val="24"/>
                <w:lang w:val="en-US" w:eastAsia="zh-CN"/>
                <w14:textFill>
                  <w14:solidFill>
                    <w14:schemeClr w14:val="tx1"/>
                  </w14:solidFill>
                </w14:textFill>
              </w:rPr>
              <w:t>16.2</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，每</w:t>
            </w:r>
            <w:r>
              <w:rPr>
                <w:rFonts w:hint="eastAsia"/>
                <w:color w:val="000000" w:themeColor="text1"/>
                <w:sz w:val="24"/>
                <w:szCs w:val="24"/>
                <w:lang w:eastAsia="zh-CN"/>
                <w14:textFill>
                  <w14:solidFill>
                    <w14:schemeClr w14:val="tx1"/>
                  </w14:solidFill>
                </w14:textFill>
              </w:rPr>
              <w:t>月</w:t>
            </w:r>
            <w:r>
              <w:rPr>
                <w:color w:val="000000" w:themeColor="text1"/>
                <w:sz w:val="24"/>
                <w:szCs w:val="24"/>
                <w14:textFill>
                  <w14:solidFill>
                    <w14:schemeClr w14:val="tx1"/>
                  </w14:solidFill>
                </w14:textFill>
              </w:rPr>
              <w:t>更换一次，对应更换补充用水量为</w:t>
            </w:r>
            <w:r>
              <w:rPr>
                <w:rFonts w:hint="eastAsia"/>
                <w:color w:val="000000" w:themeColor="text1"/>
                <w:sz w:val="24"/>
                <w:szCs w:val="24"/>
                <w:lang w:val="en-US" w:eastAsia="zh-CN"/>
                <w14:textFill>
                  <w14:solidFill>
                    <w14:schemeClr w14:val="tx1"/>
                  </w14:solidFill>
                </w14:textFill>
              </w:rPr>
              <w:t>16.2</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12</w:t>
            </w:r>
            <w:r>
              <w:rPr>
                <w:color w:val="000000" w:themeColor="text1"/>
                <w:sz w:val="24"/>
                <w:szCs w:val="24"/>
                <w14:textFill>
                  <w14:solidFill>
                    <w14:schemeClr w14:val="tx1"/>
                  </w14:solidFill>
                </w14:textFill>
              </w:rPr>
              <w:t>次/年=</w:t>
            </w:r>
            <w:r>
              <w:rPr>
                <w:rFonts w:hint="eastAsia"/>
                <w:color w:val="000000" w:themeColor="text1"/>
                <w:sz w:val="24"/>
                <w:szCs w:val="24"/>
                <w:lang w:val="en-US" w:eastAsia="zh-CN"/>
                <w14:textFill>
                  <w14:solidFill>
                    <w14:schemeClr w14:val="tx1"/>
                  </w14:solidFill>
                </w14:textFill>
              </w:rPr>
              <w:t>194.4</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/a，更换后的废水</w:t>
            </w:r>
            <w:r>
              <w:rPr>
                <w:rFonts w:hint="eastAsia"/>
                <w:color w:val="000000" w:themeColor="text1"/>
                <w:sz w:val="24"/>
                <w:szCs w:val="24"/>
                <w:lang w:val="en-US" w:eastAsia="zh-CN"/>
                <w14:textFill>
                  <w14:solidFill>
                    <w14:schemeClr w14:val="tx1"/>
                  </w14:solidFill>
                </w14:textFill>
              </w:rPr>
              <w:t>交由有危险废物处置资质单位</w:t>
            </w:r>
            <w:r>
              <w:rPr>
                <w:color w:val="000000" w:themeColor="text1"/>
                <w:sz w:val="24"/>
                <w:szCs w:val="24"/>
                <w14:textFill>
                  <w14:solidFill>
                    <w14:schemeClr w14:val="tx1"/>
                  </w14:solidFill>
                </w14:textFill>
              </w:rPr>
              <w:t>处理；</w:t>
            </w:r>
          </w:p>
          <w:p w14:paraId="00F295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color w:val="000000" w:themeColor="text1"/>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B.喷淋塔废水：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本项目废气治理设施设置有</w:t>
            </w:r>
            <w:r>
              <w:rPr>
                <w:rFonts w:hint="eastAsia"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台</w:t>
            </w:r>
            <w:r>
              <w:rPr>
                <w:rFonts w:ascii="Times New Roman" w:hAnsi="Times New Roman" w:cs="Times New Roman"/>
                <w:color w:val="000000" w:themeColor="text1"/>
                <w:sz w:val="24"/>
                <w:szCs w:val="24"/>
                <w:highlight w:val="none"/>
                <w14:textFill>
                  <w14:solidFill>
                    <w14:schemeClr w14:val="tx1"/>
                  </w14:solidFill>
                </w14:textFill>
              </w:rPr>
              <w:t>喷淋塔</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喷淋塔循环水吸附漆雾后污染物浓度会增大，需定期更换，预计每周更换1次，一个月更换4次，每次更换量为循环水箱容积，约0.7t，则喷淋塔循环水更换量为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1台×</w:t>
            </w:r>
            <w:r>
              <w:rPr>
                <w:rFonts w:ascii="Times New Roman" w:hAnsi="Times New Roman" w:cs="Times New Roman"/>
                <w:color w:val="000000" w:themeColor="text1"/>
                <w:sz w:val="24"/>
                <w:szCs w:val="24"/>
                <w:highlight w:val="none"/>
                <w14:textFill>
                  <w14:solidFill>
                    <w14:schemeClr w14:val="tx1"/>
                  </w14:solidFill>
                </w14:textFill>
              </w:rPr>
              <w:t>0.7t×4</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8次/年</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33.6</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/a</w:t>
            </w:r>
            <w:r>
              <w:rPr>
                <w:color w:val="000000" w:themeColor="text1"/>
                <w:sz w:val="24"/>
                <w:szCs w:val="24"/>
                <w:highlight w:val="none"/>
                <w14:textFill>
                  <w14:solidFill>
                    <w14:schemeClr w14:val="tx1"/>
                  </w14:solidFill>
                </w14:textFill>
              </w:rPr>
              <w:t>，更换的废水</w:t>
            </w:r>
            <w:r>
              <w:rPr>
                <w:rFonts w:hint="eastAsia"/>
                <w:color w:val="000000" w:themeColor="text1"/>
                <w:sz w:val="24"/>
                <w:szCs w:val="24"/>
                <w:lang w:val="en-US" w:eastAsia="zh-CN"/>
                <w14:textFill>
                  <w14:solidFill>
                    <w14:schemeClr w14:val="tx1"/>
                  </w14:solidFill>
                </w14:textFill>
              </w:rPr>
              <w:t>交由有危险废物处置资质单位</w:t>
            </w:r>
            <w:r>
              <w:rPr>
                <w:color w:val="000000" w:themeColor="text1"/>
                <w:sz w:val="24"/>
                <w:szCs w:val="24"/>
                <w:highlight w:val="none"/>
                <w14:textFill>
                  <w14:solidFill>
                    <w14:schemeClr w14:val="tx1"/>
                  </w14:solidFill>
                </w14:textFill>
              </w:rPr>
              <w:t>处理。</w:t>
            </w:r>
          </w:p>
          <w:p w14:paraId="2F7CD156">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C.前处理废水：</w:t>
            </w:r>
            <w:r>
              <w:rPr>
                <w:rFonts w:hint="default" w:ascii="Times New Roman" w:hAnsi="Times New Roman" w:cs="Times New Roman"/>
                <w:color w:val="000000" w:themeColor="text1"/>
                <w:sz w:val="24"/>
                <w:szCs w:val="24"/>
                <w:highlight w:val="none"/>
                <w14:textFill>
                  <w14:solidFill>
                    <w14:schemeClr w14:val="tx1"/>
                  </w14:solidFill>
                </w14:textFill>
              </w:rPr>
              <w:t>本项目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设置</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条前处理生产线，</w:t>
            </w:r>
            <w:r>
              <w:rPr>
                <w:rFonts w:hint="eastAsia" w:cs="Times New Roman"/>
                <w:color w:val="000000" w:themeColor="text1"/>
                <w:sz w:val="24"/>
                <w:szCs w:val="24"/>
                <w:highlight w:val="none"/>
                <w:lang w:val="en-US" w:eastAsia="zh-CN"/>
                <w14:textFill>
                  <w14:solidFill>
                    <w14:schemeClr w14:val="tx1"/>
                  </w14:solidFill>
                </w14:textFill>
              </w:rPr>
              <w:t>每条</w:t>
            </w:r>
            <w:r>
              <w:rPr>
                <w:rFonts w:hint="default" w:ascii="Times New Roman" w:hAnsi="Times New Roman" w:cs="Times New Roman"/>
                <w:color w:val="000000" w:themeColor="text1"/>
                <w:sz w:val="24"/>
                <w:szCs w:val="24"/>
                <w:highlight w:val="none"/>
                <w14:textFill>
                  <w14:solidFill>
                    <w14:schemeClr w14:val="tx1"/>
                  </w14:solidFill>
                </w14:textFill>
              </w:rPr>
              <w:t>生产线</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共</w:t>
            </w:r>
            <w:r>
              <w:rPr>
                <w:rFonts w:hint="default" w:ascii="Times New Roman" w:hAnsi="Times New Roman" w:cs="Times New Roman"/>
                <w:color w:val="000000" w:themeColor="text1"/>
                <w:sz w:val="24"/>
                <w:szCs w:val="24"/>
                <w:highlight w:val="none"/>
                <w14:textFill>
                  <w14:solidFill>
                    <w14:schemeClr w14:val="tx1"/>
                  </w14:solidFill>
                </w14:textFill>
              </w:rPr>
              <w:t>设置1个预脱脂池</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1个脱脂池</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个水洗池</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以及</w:t>
            </w:r>
            <w:r>
              <w:rPr>
                <w:rFonts w:hint="default" w:ascii="Times New Roman" w:hAnsi="Times New Roman" w:cs="Times New Roman"/>
                <w:color w:val="000000" w:themeColor="text1"/>
                <w:sz w:val="24"/>
                <w:szCs w:val="24"/>
                <w:highlight w:val="none"/>
                <w14:textFill>
                  <w14:solidFill>
                    <w14:schemeClr w14:val="tx1"/>
                  </w14:solidFill>
                </w14:textFill>
              </w:rPr>
              <w:t>1个无铬钝化池。预脱脂池</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脱脂池、无铬钝化池、水洗池的溶液循环使用，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前处理废水主要为</w:t>
            </w:r>
            <w:r>
              <w:rPr>
                <w:rFonts w:hint="default" w:ascii="Times New Roman" w:hAnsi="Times New Roman" w:cs="Times New Roman"/>
                <w:color w:val="000000" w:themeColor="text1"/>
                <w:sz w:val="24"/>
                <w:szCs w:val="24"/>
                <w:highlight w:val="none"/>
                <w14:textFill>
                  <w14:solidFill>
                    <w14:schemeClr w14:val="tx1"/>
                  </w14:solidFill>
                </w14:textFill>
              </w:rPr>
              <w:t>预脱脂池</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和</w:t>
            </w:r>
            <w:r>
              <w:rPr>
                <w:rFonts w:hint="default" w:ascii="Times New Roman" w:hAnsi="Times New Roman" w:cs="Times New Roman"/>
                <w:color w:val="000000" w:themeColor="text1"/>
                <w:sz w:val="24"/>
                <w:szCs w:val="24"/>
                <w:highlight w:val="none"/>
                <w14:textFill>
                  <w14:solidFill>
                    <w14:schemeClr w14:val="tx1"/>
                  </w14:solidFill>
                </w14:textFill>
              </w:rPr>
              <w:t>脱脂池</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整槽更换废水以及水洗池溢流排水。</w:t>
            </w:r>
          </w:p>
          <w:p w14:paraId="2A097EB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根据前文水平衡分析，</w:t>
            </w:r>
            <w:r>
              <w:rPr>
                <w:rFonts w:hint="default" w:ascii="Times New Roman" w:hAnsi="Times New Roman" w:cs="Times New Roman"/>
                <w:color w:val="000000" w:themeColor="text1"/>
                <w:sz w:val="24"/>
                <w:szCs w:val="24"/>
                <w:highlight w:val="none"/>
                <w14:textFill>
                  <w14:solidFill>
                    <w14:schemeClr w14:val="tx1"/>
                  </w14:solidFill>
                </w14:textFill>
              </w:rPr>
              <w:t>项目前处理废水产生情况详见下表。</w:t>
            </w:r>
          </w:p>
          <w:p w14:paraId="47D3E688">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表4-2</w:t>
            </w:r>
            <w:r>
              <w:rPr>
                <w:rFonts w:hint="eastAsia" w:cs="Times New Roman"/>
                <w:b/>
                <w:bCs/>
                <w:color w:val="000000" w:themeColor="text1"/>
                <w:kern w:val="2"/>
                <w:sz w:val="21"/>
                <w:szCs w:val="21"/>
                <w:lang w:val="en-US" w:eastAsia="zh-CN" w:bidi="ar-SA"/>
                <w14:textFill>
                  <w14:solidFill>
                    <w14:schemeClr w14:val="tx1"/>
                  </w14:solidFill>
                </w14:textFill>
              </w:rPr>
              <w:t>1单条前处理线</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整槽更换废水和溢流废水</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一览表 单位t/a</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1368"/>
              <w:gridCol w:w="1131"/>
              <w:gridCol w:w="2479"/>
              <w:gridCol w:w="2517"/>
            </w:tblGrid>
            <w:tr w14:paraId="2DB6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noWrap w:val="0"/>
                  <w:vAlign w:val="center"/>
                </w:tcPr>
                <w:p w14:paraId="0592B0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815" w:type="pct"/>
                  <w:noWrap w:val="0"/>
                  <w:vAlign w:val="center"/>
                </w:tcPr>
                <w:p w14:paraId="2D6F83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槽体名称</w:t>
                  </w:r>
                </w:p>
              </w:tc>
              <w:tc>
                <w:tcPr>
                  <w:tcW w:w="673" w:type="pct"/>
                  <w:noWrap w:val="0"/>
                  <w:vAlign w:val="center"/>
                </w:tcPr>
                <w:p w14:paraId="51A1F2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数量</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个）</w:t>
                  </w:r>
                </w:p>
              </w:tc>
              <w:tc>
                <w:tcPr>
                  <w:tcW w:w="1477" w:type="pct"/>
                  <w:noWrap/>
                  <w:vAlign w:val="center"/>
                </w:tcPr>
                <w:p w14:paraId="46A682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整槽更换废水量(t/a)</w:t>
                  </w:r>
                </w:p>
              </w:tc>
              <w:tc>
                <w:tcPr>
                  <w:tcW w:w="1499" w:type="pct"/>
                  <w:noWrap w:val="0"/>
                  <w:vAlign w:val="center"/>
                </w:tcPr>
                <w:p w14:paraId="4DD781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溢流废水量(t/a)</w:t>
                  </w:r>
                </w:p>
              </w:tc>
            </w:tr>
            <w:tr w14:paraId="20C4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restart"/>
                  <w:noWrap w:val="0"/>
                  <w:vAlign w:val="center"/>
                </w:tcPr>
                <w:p w14:paraId="64F33D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工件表面预处理</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线</w:t>
                  </w:r>
                </w:p>
              </w:tc>
              <w:tc>
                <w:tcPr>
                  <w:tcW w:w="815" w:type="pct"/>
                  <w:noWrap w:val="0"/>
                  <w:vAlign w:val="center"/>
                </w:tcPr>
                <w:p w14:paraId="2ED8EC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预水洗池</w:t>
                  </w:r>
                </w:p>
              </w:tc>
              <w:tc>
                <w:tcPr>
                  <w:tcW w:w="673" w:type="pct"/>
                  <w:noWrap w:val="0"/>
                  <w:vAlign w:val="center"/>
                </w:tcPr>
                <w:p w14:paraId="71D225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477" w:type="pct"/>
                  <w:noWrap/>
                  <w:vAlign w:val="center"/>
                </w:tcPr>
                <w:p w14:paraId="095AE0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38.4</w:t>
                  </w:r>
                </w:p>
              </w:tc>
              <w:tc>
                <w:tcPr>
                  <w:tcW w:w="2583" w:type="dxa"/>
                  <w:noWrap w:val="0"/>
                  <w:vAlign w:val="center"/>
                </w:tcPr>
                <w:p w14:paraId="0CF2E75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1561.68</w:t>
                  </w:r>
                </w:p>
              </w:tc>
            </w:tr>
            <w:tr w14:paraId="3FEF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6C029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15" w:type="pct"/>
                  <w:noWrap w:val="0"/>
                  <w:vAlign w:val="center"/>
                </w:tcPr>
                <w:p w14:paraId="5B4C5D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预脱脂池</w:t>
                  </w:r>
                </w:p>
              </w:tc>
              <w:tc>
                <w:tcPr>
                  <w:tcW w:w="673" w:type="pct"/>
                  <w:noWrap w:val="0"/>
                  <w:vAlign w:val="center"/>
                </w:tcPr>
                <w:p w14:paraId="2A36D3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477" w:type="pct"/>
                  <w:noWrap/>
                  <w:vAlign w:val="center"/>
                </w:tcPr>
                <w:p w14:paraId="73F3AB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44.8</w:t>
                  </w:r>
                </w:p>
              </w:tc>
              <w:tc>
                <w:tcPr>
                  <w:tcW w:w="2583" w:type="dxa"/>
                  <w:noWrap w:val="0"/>
                  <w:vAlign w:val="center"/>
                </w:tcPr>
                <w:p w14:paraId="6C8D9D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5E9D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51CA6A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15" w:type="pct"/>
                  <w:noWrap w:val="0"/>
                  <w:vAlign w:val="center"/>
                </w:tcPr>
                <w:p w14:paraId="1855FC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脱脂池</w:t>
                  </w:r>
                </w:p>
              </w:tc>
              <w:tc>
                <w:tcPr>
                  <w:tcW w:w="673" w:type="pct"/>
                  <w:noWrap w:val="0"/>
                  <w:vAlign w:val="center"/>
                </w:tcPr>
                <w:p w14:paraId="48D788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477" w:type="pct"/>
                  <w:noWrap/>
                  <w:vAlign w:val="center"/>
                </w:tcPr>
                <w:p w14:paraId="1B1F50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44.8</w:t>
                  </w:r>
                </w:p>
              </w:tc>
              <w:tc>
                <w:tcPr>
                  <w:tcW w:w="2583" w:type="dxa"/>
                  <w:noWrap w:val="0"/>
                  <w:vAlign w:val="center"/>
                </w:tcPr>
                <w:p w14:paraId="5B107CD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432B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6FDFDE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15" w:type="pct"/>
                  <w:noWrap w:val="0"/>
                  <w:vAlign w:val="center"/>
                </w:tcPr>
                <w:p w14:paraId="49D1FD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1#水洗池</w:t>
                  </w:r>
                </w:p>
              </w:tc>
              <w:tc>
                <w:tcPr>
                  <w:tcW w:w="673" w:type="pct"/>
                  <w:noWrap w:val="0"/>
                  <w:vAlign w:val="center"/>
                </w:tcPr>
                <w:p w14:paraId="2C5790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477" w:type="pct"/>
                  <w:noWrap/>
                  <w:vAlign w:val="center"/>
                </w:tcPr>
                <w:p w14:paraId="0A6DD3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67.2</w:t>
                  </w:r>
                </w:p>
              </w:tc>
              <w:tc>
                <w:tcPr>
                  <w:tcW w:w="2583" w:type="dxa"/>
                  <w:noWrap w:val="0"/>
                  <w:vAlign w:val="center"/>
                </w:tcPr>
                <w:p w14:paraId="39044E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1561.68</w:t>
                  </w:r>
                </w:p>
              </w:tc>
            </w:tr>
            <w:tr w14:paraId="64BD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pct"/>
                  <w:vMerge w:val="continue"/>
                  <w:noWrap w:val="0"/>
                  <w:vAlign w:val="center"/>
                </w:tcPr>
                <w:p w14:paraId="6C6073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15" w:type="pct"/>
                  <w:noWrap w:val="0"/>
                  <w:vAlign w:val="center"/>
                </w:tcPr>
                <w:p w14:paraId="358F70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2#水洗池</w:t>
                  </w:r>
                </w:p>
              </w:tc>
              <w:tc>
                <w:tcPr>
                  <w:tcW w:w="673" w:type="pct"/>
                  <w:noWrap w:val="0"/>
                  <w:vAlign w:val="center"/>
                </w:tcPr>
                <w:p w14:paraId="0C3C5B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477" w:type="pct"/>
                  <w:noWrap/>
                  <w:vAlign w:val="center"/>
                </w:tcPr>
                <w:p w14:paraId="79928D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67.2</w:t>
                  </w:r>
                </w:p>
              </w:tc>
              <w:tc>
                <w:tcPr>
                  <w:tcW w:w="2583" w:type="dxa"/>
                  <w:noWrap w:val="0"/>
                  <w:vAlign w:val="center"/>
                </w:tcPr>
                <w:p w14:paraId="12A408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4794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0DD8E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15" w:type="pct"/>
                  <w:noWrap w:val="0"/>
                  <w:vAlign w:val="center"/>
                </w:tcPr>
                <w:p w14:paraId="404F92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清水洗池</w:t>
                  </w:r>
                </w:p>
              </w:tc>
              <w:tc>
                <w:tcPr>
                  <w:tcW w:w="673" w:type="pct"/>
                  <w:noWrap w:val="0"/>
                  <w:vAlign w:val="center"/>
                </w:tcPr>
                <w:p w14:paraId="061A38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477" w:type="pct"/>
                  <w:noWrap/>
                  <w:vAlign w:val="center"/>
                </w:tcPr>
                <w:p w14:paraId="489115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19.2</w:t>
                  </w:r>
                </w:p>
              </w:tc>
              <w:tc>
                <w:tcPr>
                  <w:tcW w:w="2583" w:type="dxa"/>
                  <w:noWrap w:val="0"/>
                  <w:vAlign w:val="center"/>
                </w:tcPr>
                <w:p w14:paraId="6907C3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5E53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652A26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15" w:type="pct"/>
                  <w:noWrap w:val="0"/>
                  <w:vAlign w:val="center"/>
                </w:tcPr>
                <w:p w14:paraId="215B8B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无铬钝化池</w:t>
                  </w:r>
                </w:p>
              </w:tc>
              <w:tc>
                <w:tcPr>
                  <w:tcW w:w="673" w:type="pct"/>
                  <w:noWrap w:val="0"/>
                  <w:vAlign w:val="center"/>
                </w:tcPr>
                <w:p w14:paraId="7C8088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477" w:type="pct"/>
                  <w:noWrap/>
                  <w:vAlign w:val="center"/>
                </w:tcPr>
                <w:p w14:paraId="192459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22.4</w:t>
                  </w:r>
                </w:p>
              </w:tc>
              <w:tc>
                <w:tcPr>
                  <w:tcW w:w="2583" w:type="dxa"/>
                  <w:noWrap w:val="0"/>
                  <w:vAlign w:val="center"/>
                </w:tcPr>
                <w:p w14:paraId="7E89C61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239B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D159D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15" w:type="pct"/>
                  <w:noWrap w:val="0"/>
                  <w:vAlign w:val="center"/>
                </w:tcPr>
                <w:p w14:paraId="506E2F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3#水洗池</w:t>
                  </w:r>
                </w:p>
              </w:tc>
              <w:tc>
                <w:tcPr>
                  <w:tcW w:w="673" w:type="pct"/>
                  <w:noWrap w:val="0"/>
                  <w:vAlign w:val="center"/>
                </w:tcPr>
                <w:p w14:paraId="2EA72A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477" w:type="pct"/>
                  <w:noWrap/>
                  <w:vAlign w:val="center"/>
                </w:tcPr>
                <w:p w14:paraId="2C8071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38.4</w:t>
                  </w:r>
                </w:p>
              </w:tc>
              <w:tc>
                <w:tcPr>
                  <w:tcW w:w="2583" w:type="dxa"/>
                  <w:noWrap w:val="0"/>
                  <w:vAlign w:val="center"/>
                </w:tcPr>
                <w:p w14:paraId="1EA18E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1561.68</w:t>
                  </w:r>
                </w:p>
              </w:tc>
            </w:tr>
            <w:tr w14:paraId="0D7D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23" w:type="pct"/>
                  <w:gridSpan w:val="3"/>
                  <w:noWrap w:val="0"/>
                  <w:vAlign w:val="center"/>
                </w:tcPr>
                <w:p w14:paraId="0C042E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1477" w:type="pct"/>
                  <w:noWrap/>
                  <w:vAlign w:val="center"/>
                </w:tcPr>
                <w:p w14:paraId="7990D3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320*</w:t>
                  </w:r>
                </w:p>
              </w:tc>
              <w:tc>
                <w:tcPr>
                  <w:tcW w:w="2583" w:type="dxa"/>
                  <w:noWrap w:val="0"/>
                  <w:vAlign w:val="center"/>
                </w:tcPr>
                <w:p w14:paraId="00861F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4685.04</w:t>
                  </w:r>
                </w:p>
              </w:tc>
            </w:tr>
            <w:tr w14:paraId="0890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5"/>
                  <w:noWrap w:val="0"/>
                  <w:vAlign w:val="center"/>
                </w:tcPr>
                <w:p w14:paraId="5556C1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备注：①整槽更换槽液=槽液量×更换频率（槽液更换不考虑损耗）；</w:t>
                  </w:r>
                </w:p>
                <w:p w14:paraId="7F6E59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②溢流废水产生量=溢流用水×排污系数，排污系数按0.9计算；</w:t>
                  </w:r>
                </w:p>
                <w:p w14:paraId="5D432E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③无铬钝化工序产生的废槽液按危废处置，故整池更换产生的废水量=342.4-22.4=320m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/a。</w:t>
                  </w:r>
                </w:p>
              </w:tc>
            </w:tr>
          </w:tbl>
          <w:p w14:paraId="61C44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p w14:paraId="4E9476D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根据表4-14的计算，本项目前处理用水和废水产生情况如下所示。</w:t>
            </w:r>
          </w:p>
          <w:p w14:paraId="2ED99319">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表4-2</w:t>
            </w:r>
            <w:r>
              <w:rPr>
                <w:rFonts w:hint="eastAsia" w:cs="Times New Roman"/>
                <w:b/>
                <w:bCs/>
                <w:color w:val="000000" w:themeColor="text1"/>
                <w:kern w:val="2"/>
                <w:sz w:val="21"/>
                <w:szCs w:val="21"/>
                <w:lang w:val="en-US" w:eastAsia="zh-CN" w:bidi="ar-SA"/>
                <w14:textFill>
                  <w14:solidFill>
                    <w14:schemeClr w14:val="tx1"/>
                  </w14:solidFill>
                </w14:textFill>
              </w:rPr>
              <w:t xml:space="preserve">2 </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前处理用水和废水产生一览表 单位：m</w:t>
            </w:r>
            <w:r>
              <w:rPr>
                <w:rFonts w:hint="default"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/a</w:t>
            </w:r>
          </w:p>
          <w:tbl>
            <w:tblPr>
              <w:tblStyle w:val="4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1"/>
              <w:gridCol w:w="5333"/>
            </w:tblGrid>
            <w:tr w14:paraId="1FDBB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72BA1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项目</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6082A3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废水</w:t>
                  </w:r>
                </w:p>
              </w:tc>
            </w:tr>
            <w:tr w14:paraId="2F241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2FCBE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整池更换</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废水</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4CC8BE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320</w:t>
                  </w:r>
                </w:p>
              </w:tc>
            </w:tr>
            <w:tr w14:paraId="36E4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0ABF52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溢流</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废水</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503CD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4685.04</w:t>
                  </w:r>
                </w:p>
              </w:tc>
            </w:tr>
            <w:tr w14:paraId="3E3EA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126CB0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单条前处理线</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合计</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0AD6AC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5005.04</w:t>
                  </w:r>
                </w:p>
              </w:tc>
            </w:tr>
            <w:tr w14:paraId="7DF4F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21191C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合计</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662A70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10010.08（2条生产线）</w:t>
                  </w:r>
                </w:p>
              </w:tc>
            </w:tr>
          </w:tbl>
          <w:p w14:paraId="204FC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p w14:paraId="55D04B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综上，项目</w:t>
            </w:r>
            <w:r>
              <w:rPr>
                <w:rFonts w:hint="eastAsia" w:cs="Times New Roman"/>
                <w:color w:val="000000" w:themeColor="text1"/>
                <w:sz w:val="24"/>
                <w:szCs w:val="24"/>
                <w:highlight w:val="none"/>
                <w:lang w:val="en-US" w:eastAsia="zh-CN"/>
                <w14:textFill>
                  <w14:solidFill>
                    <w14:schemeClr w14:val="tx1"/>
                  </w14:solidFill>
                </w14:textFill>
              </w:rPr>
              <w:t>2条</w:t>
            </w:r>
            <w:r>
              <w:rPr>
                <w:rFonts w:hint="default" w:ascii="Times New Roman" w:hAnsi="Times New Roman" w:cs="Times New Roman"/>
                <w:color w:val="000000" w:themeColor="text1"/>
                <w:sz w:val="24"/>
                <w:szCs w:val="24"/>
                <w:highlight w:val="none"/>
                <w14:textFill>
                  <w14:solidFill>
                    <w14:schemeClr w14:val="tx1"/>
                  </w14:solidFill>
                </w14:textFill>
              </w:rPr>
              <w:t>前处理生产线共产生废水</w:t>
            </w:r>
            <w:r>
              <w:rPr>
                <w:rFonts w:hint="eastAsia" w:cs="Times New Roman"/>
                <w:i w:val="0"/>
                <w:iCs w:val="0"/>
                <w:color w:val="000000" w:themeColor="text1"/>
                <w:kern w:val="0"/>
                <w:sz w:val="24"/>
                <w:szCs w:val="24"/>
                <w:highlight w:val="none"/>
                <w:u w:val="none"/>
                <w:lang w:val="en-US" w:eastAsia="zh-CN" w:bidi="ar"/>
                <w14:textFill>
                  <w14:solidFill>
                    <w14:schemeClr w14:val="tx1"/>
                  </w14:solidFill>
                </w14:textFill>
              </w:rPr>
              <w:t>10010.08</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p>
          <w:p w14:paraId="7029A28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（3）前处理废水源强核算</w:t>
            </w:r>
          </w:p>
          <w:p w14:paraId="1FEAB8FE">
            <w:pPr>
              <w:keepNext w:val="0"/>
              <w:keepLines w:val="0"/>
              <w:suppressLineNumbers w:val="0"/>
              <w:spacing w:before="0" w:beforeAutospacing="0" w:after="0" w:afterAutospacing="0" w:line="360" w:lineRule="auto"/>
              <w:ind w:left="0" w:right="0" w:firstLine="480" w:firstLineChars="200"/>
              <w:rPr>
                <w:rFonts w:hint="default"/>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4"/>
                <w:szCs w:val="24"/>
                <w:highlight w:val="none"/>
                <w14:textFill>
                  <w14:solidFill>
                    <w14:schemeClr w14:val="tx1"/>
                  </w14:solidFill>
                </w14:textFill>
              </w:rPr>
              <w:t>主要污染物为pH、COD</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Cr</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BOD</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SS、</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NH</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-N、</w:t>
            </w:r>
            <w:r>
              <w:rPr>
                <w:rFonts w:hint="default" w:ascii="Times New Roman" w:hAnsi="Times New Roman" w:cs="Times New Roman"/>
                <w:color w:val="000000" w:themeColor="text1"/>
                <w:sz w:val="24"/>
                <w:szCs w:val="24"/>
                <w:highlight w:val="none"/>
                <w14:textFill>
                  <w14:solidFill>
                    <w14:schemeClr w14:val="tx1"/>
                  </w14:solidFill>
                </w14:textFill>
              </w:rPr>
              <w:t>氟化物</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TP、TN、</w:t>
            </w:r>
            <w:r>
              <w:rPr>
                <w:rFonts w:hint="default" w:ascii="Times New Roman" w:hAnsi="Times New Roman" w:cs="Times New Roman"/>
                <w:color w:val="000000" w:themeColor="text1"/>
                <w:sz w:val="24"/>
                <w:szCs w:val="24"/>
                <w:highlight w:val="none"/>
                <w14:textFill>
                  <w14:solidFill>
                    <w14:schemeClr w14:val="tx1"/>
                  </w14:solidFill>
                </w14:textFill>
              </w:rPr>
              <w:t>LAS</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总铝</w:t>
            </w:r>
            <w:r>
              <w:rPr>
                <w:rFonts w:hint="default" w:ascii="Times New Roman" w:hAnsi="Times New Roman" w:cs="Times New Roman"/>
                <w:color w:val="000000" w:themeColor="text1"/>
                <w:sz w:val="24"/>
                <w:szCs w:val="24"/>
                <w:highlight w:val="none"/>
                <w14:textFill>
                  <w14:solidFill>
                    <w14:schemeClr w14:val="tx1"/>
                  </w14:solidFill>
                </w14:textFill>
              </w:rPr>
              <w:t>和石油类</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05B08D8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本项目生产废水各污染物产生浓度类比项目《佛山市亿鑫创金属科技有限责任公司铝型材制造项目（一期）验收检测报告》（报告编号：弗雷德检字(2025)第 0425B19 号）</w:t>
            </w:r>
            <w:r>
              <w:rPr>
                <w:rFonts w:hint="eastAsia" w:cs="Times New Roman"/>
                <w:color w:val="000000" w:themeColor="text1"/>
                <w:sz w:val="24"/>
                <w:szCs w:val="24"/>
                <w:highlight w:val="none"/>
                <w:lang w:val="en-US" w:eastAsia="zh-CN"/>
                <w14:textFill>
                  <w14:solidFill>
                    <w14:schemeClr w14:val="tx1"/>
                  </w14:solidFill>
                </w14:textFill>
              </w:rPr>
              <w:t>和《佛山市现泰铝业有限公司建设项目》（批复文号佛环南审[2026]25号）</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，佛山市亿鑫创金属科技有限责任公司</w:t>
            </w:r>
            <w:r>
              <w:rPr>
                <w:rFonts w:hint="eastAsia" w:cs="Times New Roman"/>
                <w:color w:val="000000" w:themeColor="text1"/>
                <w:sz w:val="24"/>
                <w:szCs w:val="24"/>
                <w:highlight w:val="none"/>
                <w:lang w:val="en-US" w:eastAsia="zh-CN"/>
                <w14:textFill>
                  <w14:solidFill>
                    <w14:schemeClr w14:val="tx1"/>
                  </w14:solidFill>
                </w14:textFill>
              </w:rPr>
              <w:t>、佛山市现泰铝业有限公司建设项目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其生产工艺与本项目基本一致，废水产生及处理工艺类似，因此具有可类比性，类比结果详见下表。</w:t>
            </w:r>
          </w:p>
          <w:p w14:paraId="76EDE699">
            <w:pPr>
              <w:keepNext w:val="0"/>
              <w:keepLines w:val="0"/>
              <w:widowControl/>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表4-2</w:t>
            </w:r>
            <w:r>
              <w:rPr>
                <w:rFonts w:hint="eastAsia" w:cs="Times New Roman"/>
                <w:b/>
                <w:bCs/>
                <w:color w:val="000000" w:themeColor="text1"/>
                <w:kern w:val="0"/>
                <w:sz w:val="21"/>
                <w:szCs w:val="21"/>
                <w:lang w:val="en-US" w:eastAsia="zh-CN" w:bidi="ar"/>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前处理</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废水水质类比可行性</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569"/>
              <w:gridCol w:w="2475"/>
              <w:gridCol w:w="2245"/>
              <w:gridCol w:w="2480"/>
              <w:gridCol w:w="844"/>
            </w:tblGrid>
            <w:tr w14:paraId="6C4E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569" w:type="dxa"/>
                  <w:shd w:val="clear" w:color="auto" w:fill="auto"/>
                  <w:tcMar>
                    <w:top w:w="0" w:type="dxa"/>
                    <w:left w:w="0" w:type="dxa"/>
                    <w:bottom w:w="0" w:type="dxa"/>
                    <w:right w:w="0" w:type="dxa"/>
                  </w:tcMar>
                  <w:vAlign w:val="center"/>
                </w:tcPr>
                <w:p w14:paraId="4DA29621">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项目</w:t>
                  </w:r>
                </w:p>
              </w:tc>
              <w:tc>
                <w:tcPr>
                  <w:tcW w:w="2475" w:type="dxa"/>
                  <w:shd w:val="clear" w:color="auto" w:fill="auto"/>
                  <w:tcMar>
                    <w:top w:w="0" w:type="dxa"/>
                    <w:left w:w="0" w:type="dxa"/>
                    <w:bottom w:w="0" w:type="dxa"/>
                    <w:right w:w="0" w:type="dxa"/>
                  </w:tcMar>
                  <w:vAlign w:val="center"/>
                </w:tcPr>
                <w:p w14:paraId="1ED8904A">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本项目</w:t>
                  </w:r>
                </w:p>
              </w:tc>
              <w:tc>
                <w:tcPr>
                  <w:tcW w:w="2245" w:type="dxa"/>
                  <w:shd w:val="clear" w:color="auto" w:fill="auto"/>
                  <w:tcMar>
                    <w:top w:w="0" w:type="dxa"/>
                    <w:left w:w="0" w:type="dxa"/>
                    <w:bottom w:w="0" w:type="dxa"/>
                    <w:right w:w="0" w:type="dxa"/>
                  </w:tcMar>
                  <w:vAlign w:val="center"/>
                </w:tcPr>
                <w:p w14:paraId="4DE11AC0">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佛山市亿鑫创金属科技有限责任公司铝型材制造项目（一期）</w:t>
                  </w:r>
                </w:p>
              </w:tc>
              <w:tc>
                <w:tcPr>
                  <w:tcW w:w="2480" w:type="dxa"/>
                  <w:shd w:val="clear" w:color="auto" w:fill="auto"/>
                  <w:tcMar>
                    <w:top w:w="0" w:type="dxa"/>
                    <w:left w:w="0" w:type="dxa"/>
                    <w:bottom w:w="0" w:type="dxa"/>
                    <w:right w:w="0" w:type="dxa"/>
                  </w:tcMar>
                  <w:vAlign w:val="center"/>
                </w:tcPr>
                <w:p w14:paraId="60DFA92E">
                  <w:pPr>
                    <w:keepNext w:val="0"/>
                    <w:keepLines w:val="0"/>
                    <w:widowControl/>
                    <w:suppressLineNumbers w:val="0"/>
                    <w:spacing w:line="240" w:lineRule="auto"/>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佛山市现泰铝业有限公司建设项目</w:t>
                  </w:r>
                </w:p>
              </w:tc>
              <w:tc>
                <w:tcPr>
                  <w:tcW w:w="844" w:type="dxa"/>
                  <w:shd w:val="clear" w:color="auto" w:fill="auto"/>
                  <w:tcMar>
                    <w:top w:w="0" w:type="dxa"/>
                    <w:left w:w="0" w:type="dxa"/>
                    <w:bottom w:w="0" w:type="dxa"/>
                    <w:right w:w="0" w:type="dxa"/>
                  </w:tcMar>
                  <w:vAlign w:val="center"/>
                </w:tcPr>
                <w:p w14:paraId="5AE33BAC">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对比情况</w:t>
                  </w:r>
                </w:p>
              </w:tc>
            </w:tr>
            <w:tr w14:paraId="546C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2EDB8252">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产品</w:t>
                  </w:r>
                </w:p>
              </w:tc>
              <w:tc>
                <w:tcPr>
                  <w:tcW w:w="2475" w:type="dxa"/>
                  <w:shd w:val="clear" w:color="auto" w:fill="auto"/>
                  <w:tcMar>
                    <w:top w:w="0" w:type="dxa"/>
                    <w:left w:w="0" w:type="dxa"/>
                    <w:bottom w:w="0" w:type="dxa"/>
                    <w:right w:w="0" w:type="dxa"/>
                  </w:tcMar>
                  <w:vAlign w:val="center"/>
                </w:tcPr>
                <w:p w14:paraId="6A9C4EF8">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铝型材</w:t>
                  </w:r>
                </w:p>
              </w:tc>
              <w:tc>
                <w:tcPr>
                  <w:tcW w:w="2245" w:type="dxa"/>
                  <w:shd w:val="clear" w:color="auto" w:fill="auto"/>
                  <w:tcMar>
                    <w:top w:w="0" w:type="dxa"/>
                    <w:left w:w="0" w:type="dxa"/>
                    <w:bottom w:w="0" w:type="dxa"/>
                    <w:right w:w="0" w:type="dxa"/>
                  </w:tcMar>
                  <w:vAlign w:val="center"/>
                </w:tcPr>
                <w:p w14:paraId="7C83E3C8">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铝型材</w:t>
                  </w:r>
                </w:p>
              </w:tc>
              <w:tc>
                <w:tcPr>
                  <w:tcW w:w="2480" w:type="dxa"/>
                  <w:shd w:val="clear" w:color="auto" w:fill="auto"/>
                  <w:tcMar>
                    <w:top w:w="0" w:type="dxa"/>
                    <w:left w:w="0" w:type="dxa"/>
                    <w:bottom w:w="0" w:type="dxa"/>
                    <w:right w:w="0" w:type="dxa"/>
                  </w:tcMar>
                  <w:vAlign w:val="center"/>
                </w:tcPr>
                <w:p w14:paraId="66773F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铝制品</w:t>
                  </w:r>
                </w:p>
              </w:tc>
              <w:tc>
                <w:tcPr>
                  <w:tcW w:w="844" w:type="dxa"/>
                  <w:shd w:val="clear" w:color="auto" w:fill="auto"/>
                  <w:tcMar>
                    <w:top w:w="0" w:type="dxa"/>
                    <w:left w:w="0" w:type="dxa"/>
                    <w:bottom w:w="0" w:type="dxa"/>
                    <w:right w:w="0" w:type="dxa"/>
                  </w:tcMar>
                  <w:vAlign w:val="center"/>
                </w:tcPr>
                <w:p w14:paraId="5FAB06E4">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均为金属类的产品</w:t>
                  </w:r>
                </w:p>
              </w:tc>
            </w:tr>
            <w:tr w14:paraId="49EB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08D5C265">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表面处理工艺</w:t>
                  </w:r>
                </w:p>
              </w:tc>
              <w:tc>
                <w:tcPr>
                  <w:tcW w:w="2475" w:type="dxa"/>
                  <w:shd w:val="clear" w:color="auto" w:fill="auto"/>
                  <w:tcMar>
                    <w:top w:w="0" w:type="dxa"/>
                    <w:left w:w="0" w:type="dxa"/>
                    <w:bottom w:w="0" w:type="dxa"/>
                    <w:right w:w="0" w:type="dxa"/>
                  </w:tcMar>
                  <w:vAlign w:val="center"/>
                </w:tcPr>
                <w:p w14:paraId="7728781B">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清水→脱脂除油→清水→脱脂除油→清水→无铬钝化→清水</w:t>
                  </w:r>
                </w:p>
              </w:tc>
              <w:tc>
                <w:tcPr>
                  <w:tcW w:w="2245" w:type="dxa"/>
                  <w:shd w:val="clear" w:color="auto" w:fill="auto"/>
                  <w:tcMar>
                    <w:top w:w="0" w:type="dxa"/>
                    <w:left w:w="0" w:type="dxa"/>
                    <w:bottom w:w="0" w:type="dxa"/>
                    <w:right w:w="0" w:type="dxa"/>
                  </w:tcMar>
                  <w:vAlign w:val="center"/>
                </w:tcPr>
                <w:p w14:paraId="5BAE5051">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铝→除油→除油→水洗→水洗→皮膜→水洗</w:t>
                  </w:r>
                </w:p>
              </w:tc>
              <w:tc>
                <w:tcPr>
                  <w:tcW w:w="2480" w:type="dxa"/>
                  <w:shd w:val="clear" w:color="auto" w:fill="auto"/>
                  <w:tcMar>
                    <w:top w:w="0" w:type="dxa"/>
                    <w:left w:w="0" w:type="dxa"/>
                    <w:bottom w:w="0" w:type="dxa"/>
                    <w:right w:w="0" w:type="dxa"/>
                  </w:tcMar>
                  <w:vAlign w:val="center"/>
                </w:tcPr>
                <w:p w14:paraId="5EAC57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预脱脂</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脱脂</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无铬钝化</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烘干</w:t>
                  </w:r>
                </w:p>
              </w:tc>
              <w:tc>
                <w:tcPr>
                  <w:tcW w:w="844" w:type="dxa"/>
                  <w:shd w:val="clear" w:color="auto" w:fill="auto"/>
                  <w:tcMar>
                    <w:top w:w="0" w:type="dxa"/>
                    <w:left w:w="0" w:type="dxa"/>
                    <w:bottom w:w="0" w:type="dxa"/>
                    <w:right w:w="0" w:type="dxa"/>
                  </w:tcMar>
                  <w:vAlign w:val="center"/>
                </w:tcPr>
                <w:p w14:paraId="042B45B7">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相似</w:t>
                  </w:r>
                </w:p>
              </w:tc>
            </w:tr>
            <w:tr w14:paraId="4E3A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1E347663">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原辅材料</w:t>
                  </w:r>
                </w:p>
              </w:tc>
              <w:tc>
                <w:tcPr>
                  <w:tcW w:w="2475" w:type="dxa"/>
                  <w:shd w:val="clear" w:color="auto" w:fill="auto"/>
                  <w:tcMar>
                    <w:top w:w="0" w:type="dxa"/>
                    <w:left w:w="0" w:type="dxa"/>
                    <w:bottom w:w="0" w:type="dxa"/>
                    <w:right w:w="0" w:type="dxa"/>
                  </w:tcMar>
                  <w:vAlign w:val="center"/>
                </w:tcPr>
                <w:p w14:paraId="20D4F42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酸性除油剂：</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磷酸5%</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醋酸</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除油分子</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抗氧化剂10%</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柠檬酸</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活性剂</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氢氟酸</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1%其他（水）</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55%</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br w:type="textWrapping"/>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无铬钝化剂：</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氟锆酸5~10%</w:t>
                  </w:r>
                </w:p>
                <w:p w14:paraId="4843BC1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氟钛酸5~10%</w:t>
                  </w:r>
                </w:p>
                <w:p w14:paraId="4DBF07A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环氧改性丙烯酸树脂15~20%</w:t>
                  </w:r>
                  <w:r>
                    <w:rPr>
                      <w:rFonts w:hint="eastAsia" w:ascii="Times New Roman" w:hAnsi="Times New Roman" w:eastAsia="宋体"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一水合柠檬酸45~55%</w:t>
                  </w:r>
                </w:p>
              </w:tc>
              <w:tc>
                <w:tcPr>
                  <w:tcW w:w="2245" w:type="dxa"/>
                  <w:shd w:val="clear" w:color="auto" w:fill="auto"/>
                  <w:tcMar>
                    <w:top w:w="0" w:type="dxa"/>
                    <w:left w:w="0" w:type="dxa"/>
                    <w:bottom w:w="0" w:type="dxa"/>
                    <w:right w:w="0" w:type="dxa"/>
                  </w:tcMar>
                  <w:vAlign w:val="center"/>
                </w:tcPr>
                <w:p w14:paraId="754ED12C">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除油剂：硫酸 1%~20%、表面活性剂 1%~20%，剩余部分为水无铬铝皮膜剂：锆酸盐 1~20%、柠檬酸盐 1~15%、聚丙烯树脂 5~15%，剩余成分为纯水</w:t>
                  </w:r>
                </w:p>
              </w:tc>
              <w:tc>
                <w:tcPr>
                  <w:tcW w:w="2480" w:type="dxa"/>
                  <w:shd w:val="clear" w:color="auto" w:fill="auto"/>
                  <w:tcMar>
                    <w:top w:w="0" w:type="dxa"/>
                    <w:left w:w="0" w:type="dxa"/>
                    <w:bottom w:w="0" w:type="dxa"/>
                    <w:right w:w="0" w:type="dxa"/>
                  </w:tcMar>
                  <w:vAlign w:val="center"/>
                </w:tcPr>
                <w:p w14:paraId="48BF15E1">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除油剂：碳酸盐、脂肪醇聚氧乙烯醚、添加剂（盐酸）等；无铬钝化剂：氟锆酸铵、柠檬酸（有机酸）、EDTA 钠（络合剂）；氟锆酸、氟钛酸、环氧改性丙烯酸树脂、一水合柠檬酸等</w:t>
                  </w:r>
                </w:p>
              </w:tc>
              <w:tc>
                <w:tcPr>
                  <w:tcW w:w="844" w:type="dxa"/>
                  <w:shd w:val="clear" w:color="auto" w:fill="auto"/>
                  <w:tcMar>
                    <w:top w:w="0" w:type="dxa"/>
                    <w:left w:w="0" w:type="dxa"/>
                    <w:bottom w:w="0" w:type="dxa"/>
                    <w:right w:w="0" w:type="dxa"/>
                  </w:tcMar>
                  <w:vAlign w:val="center"/>
                </w:tcPr>
                <w:p w14:paraId="7328B111">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相似</w:t>
                  </w:r>
                </w:p>
              </w:tc>
            </w:tr>
            <w:tr w14:paraId="77F5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3068B6FD">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废水情况</w:t>
                  </w:r>
                </w:p>
              </w:tc>
              <w:tc>
                <w:tcPr>
                  <w:tcW w:w="2475" w:type="dxa"/>
                  <w:shd w:val="clear" w:color="auto" w:fill="auto"/>
                  <w:tcMar>
                    <w:top w:w="0" w:type="dxa"/>
                    <w:left w:w="0" w:type="dxa"/>
                    <w:bottom w:w="0" w:type="dxa"/>
                    <w:right w:w="0" w:type="dxa"/>
                  </w:tcMar>
                  <w:vAlign w:val="center"/>
                </w:tcPr>
                <w:p w14:paraId="07B09105">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清洗废水</w:t>
                  </w:r>
                </w:p>
              </w:tc>
              <w:tc>
                <w:tcPr>
                  <w:tcW w:w="2245" w:type="dxa"/>
                  <w:shd w:val="clear" w:color="auto" w:fill="auto"/>
                  <w:tcMar>
                    <w:top w:w="0" w:type="dxa"/>
                    <w:left w:w="0" w:type="dxa"/>
                    <w:bottom w:w="0" w:type="dxa"/>
                    <w:right w:w="0" w:type="dxa"/>
                  </w:tcMar>
                  <w:vAlign w:val="center"/>
                </w:tcPr>
                <w:p w14:paraId="3345D1C2">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喷淋废水、水帘柜废水、清洗废水</w:t>
                  </w:r>
                </w:p>
              </w:tc>
              <w:tc>
                <w:tcPr>
                  <w:tcW w:w="2480" w:type="dxa"/>
                  <w:shd w:val="clear" w:color="auto" w:fill="auto"/>
                  <w:tcMar>
                    <w:top w:w="0" w:type="dxa"/>
                    <w:left w:w="0" w:type="dxa"/>
                    <w:bottom w:w="0" w:type="dxa"/>
                    <w:right w:w="0" w:type="dxa"/>
                  </w:tcMar>
                  <w:vAlign w:val="center"/>
                </w:tcPr>
                <w:p w14:paraId="2101B55F">
                  <w:pPr>
                    <w:keepNext w:val="0"/>
                    <w:keepLines w:val="0"/>
                    <w:widowControl/>
                    <w:suppressLineNumbers w:val="0"/>
                    <w:spacing w:line="240" w:lineRule="auto"/>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清洗废水</w:t>
                  </w:r>
                </w:p>
              </w:tc>
              <w:tc>
                <w:tcPr>
                  <w:tcW w:w="844" w:type="dxa"/>
                  <w:shd w:val="clear" w:color="auto" w:fill="auto"/>
                  <w:tcMar>
                    <w:top w:w="0" w:type="dxa"/>
                    <w:left w:w="0" w:type="dxa"/>
                    <w:bottom w:w="0" w:type="dxa"/>
                    <w:right w:w="0" w:type="dxa"/>
                  </w:tcMar>
                  <w:vAlign w:val="center"/>
                </w:tcPr>
                <w:p w14:paraId="4C36C4F3">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相似</w:t>
                  </w:r>
                </w:p>
              </w:tc>
            </w:tr>
          </w:tbl>
          <w:p w14:paraId="67153E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p w14:paraId="01C089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《佛山市现泰铝业有限公司建设项目》（批复文号佛环南审[2026]25号）、</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《佛山市亿鑫创金属科技有限责任公司铝型材制造项目（一期）验收检测报告》（报告编号：弗雷德检字(2025)第 0425B19 号）</w:t>
            </w:r>
            <w:r>
              <w:rPr>
                <w:rFonts w:hint="eastAsia" w:cs="Times New Roman"/>
                <w:color w:val="000000" w:themeColor="text1"/>
                <w:sz w:val="24"/>
                <w:szCs w:val="24"/>
                <w:highlight w:val="none"/>
                <w:lang w:val="en-US" w:eastAsia="zh-CN"/>
                <w14:textFill>
                  <w14:solidFill>
                    <w14:schemeClr w14:val="tx1"/>
                  </w14:solidFill>
                </w14:textFill>
              </w:rPr>
              <w:t>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类比项目前处理废水</w:t>
            </w:r>
            <w:r>
              <w:rPr>
                <w:rFonts w:hint="eastAsia" w:cs="Times New Roman"/>
                <w:color w:val="000000" w:themeColor="text1"/>
                <w:sz w:val="24"/>
                <w:szCs w:val="24"/>
                <w:highlight w:val="none"/>
                <w:lang w:val="en-US" w:eastAsia="zh-CN"/>
                <w14:textFill>
                  <w14:solidFill>
                    <w14:schemeClr w14:val="tx1"/>
                  </w14:solidFill>
                </w14:textFill>
              </w:rPr>
              <w:t>源强水质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数据如下表。</w:t>
            </w:r>
          </w:p>
          <w:p w14:paraId="6A394224">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表4-2</w:t>
            </w:r>
            <w:r>
              <w:rPr>
                <w:rFonts w:hint="eastAsia" w:cs="Times New Roman"/>
                <w:b/>
                <w:bCs/>
                <w:color w:val="000000" w:themeColor="text1"/>
                <w:kern w:val="2"/>
                <w:sz w:val="21"/>
                <w:szCs w:val="21"/>
                <w:lang w:val="en-US" w:eastAsia="zh-CN" w:bidi="ar-SA"/>
                <w14:textFill>
                  <w14:solidFill>
                    <w14:schemeClr w14:val="tx1"/>
                  </w14:solidFill>
                </w14:textFill>
              </w:rPr>
              <w:t xml:space="preserve">4 </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类比项目前处理废水</w:t>
            </w:r>
            <w:r>
              <w:rPr>
                <w:rFonts w:hint="eastAsia" w:cs="Times New Roman"/>
                <w:b/>
                <w:bCs/>
                <w:color w:val="000000" w:themeColor="text1"/>
                <w:sz w:val="21"/>
                <w:szCs w:val="21"/>
                <w:highlight w:val="none"/>
                <w:lang w:val="en-US" w:eastAsia="zh-CN"/>
                <w14:textFill>
                  <w14:solidFill>
                    <w14:schemeClr w14:val="tx1"/>
                  </w14:solidFill>
                </w14:textFill>
              </w:rPr>
              <w:t>源强水质数据</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（单位：mg/L）</w:t>
            </w:r>
          </w:p>
          <w:tbl>
            <w:tblPr>
              <w:tblStyle w:val="44"/>
              <w:tblW w:w="861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95"/>
              <w:gridCol w:w="1781"/>
              <w:gridCol w:w="1674"/>
              <w:gridCol w:w="1674"/>
              <w:gridCol w:w="1280"/>
            </w:tblGrid>
            <w:tr w14:paraId="2B647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20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F3E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污染物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6B5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佛山市亿鑫创金属科技有限责任公司</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9416">
                  <w:pPr>
                    <w:keepNext w:val="0"/>
                    <w:keepLines w:val="0"/>
                    <w:widowControl/>
                    <w:suppressLineNumbers w:val="0"/>
                    <w:jc w:val="left"/>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佛山市现泰铝业有限公司建设项目</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06A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本项目取值</w:t>
                  </w:r>
                </w:p>
              </w:tc>
              <w:tc>
                <w:tcPr>
                  <w:tcW w:w="13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7D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单位</w:t>
                  </w:r>
                </w:p>
              </w:tc>
            </w:tr>
            <w:tr w14:paraId="55DC2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09D0">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FDF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污染物浓度范围</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335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污染物浓度值</w:t>
                  </w: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8AAF">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13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F8E0">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3199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407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pH值</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F3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10.9~11.0</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1B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5B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08C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无量纲</w:t>
                  </w:r>
                </w:p>
              </w:tc>
            </w:tr>
            <w:tr w14:paraId="29C1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E61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化学需氧量</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0D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307~339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8C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372</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C2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372</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B8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663FA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24B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五日生化需氧量</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4A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117~129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9C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E6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CE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25B5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688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悬浮物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40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39~49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4D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C7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42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54F5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CF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氨氮</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F2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3.51~3.95</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33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E9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B1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3A7E0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8BE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氟化物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B3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101~109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69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5C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02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2D900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8CC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总磷</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21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0.46~0.58</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71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79D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66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34E7A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0A4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总氮</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AE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11.6~14.2</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45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0F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37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27A45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B58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阴离子表面活性剂</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B5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0.119~0.161</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40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54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6E3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1EFF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745D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总铝</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49F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37.8~42.6</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36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18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42.6</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2B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r w14:paraId="628FA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E180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石油类</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2B6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1.11~1.41</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3E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89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9D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r>
          </w:tbl>
          <w:p w14:paraId="72C8D3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p w14:paraId="337CE21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结合本项目生产情况，</w:t>
            </w:r>
            <w:r>
              <w:rPr>
                <w:rFonts w:hint="default" w:ascii="Times New Roman" w:hAnsi="Times New Roman" w:cs="Times New Roman"/>
                <w:color w:val="000000" w:themeColor="text1"/>
                <w:sz w:val="24"/>
                <w:highlight w:val="none"/>
                <w:lang w:val="en-US" w:eastAsia="zh-CN"/>
                <w14:textFill>
                  <w14:solidFill>
                    <w14:schemeClr w14:val="tx1"/>
                  </w14:solidFill>
                </w14:textFill>
              </w:rPr>
              <w:t>前处理废水</w:t>
            </w:r>
            <w:r>
              <w:rPr>
                <w:rFonts w:hint="eastAsia" w:cs="Times New Roman"/>
                <w:color w:val="000000" w:themeColor="text1"/>
                <w:sz w:val="24"/>
                <w:highlight w:val="none"/>
                <w:lang w:val="en-US" w:eastAsia="zh-CN"/>
                <w14:textFill>
                  <w14:solidFill>
                    <w14:schemeClr w14:val="tx1"/>
                  </w14:solidFill>
                </w14:textFill>
              </w:rPr>
              <w:t>送入自建污水处理站处理，废水</w:t>
            </w:r>
            <w:r>
              <w:rPr>
                <w:rFonts w:hint="default" w:ascii="Times New Roman" w:hAnsi="Times New Roman" w:cs="Times New Roman"/>
                <w:color w:val="000000" w:themeColor="text1"/>
                <w:sz w:val="24"/>
                <w:highlight w:val="none"/>
                <w14:textFill>
                  <w14:solidFill>
                    <w14:schemeClr w14:val="tx1"/>
                  </w14:solidFill>
                </w14:textFill>
              </w:rPr>
              <w:t>产排情况详见下表。</w:t>
            </w:r>
          </w:p>
          <w:p w14:paraId="358C82F2">
            <w:pPr>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0" w:afterAutospacing="0"/>
              <w:ind w:left="0" w:leftChars="0" w:right="0" w:rightChars="0" w:firstLine="40" w:firstLine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bookmarkStart w:id="26" w:name="OLE_LINK1"/>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表4-2</w:t>
            </w:r>
            <w:r>
              <w:rPr>
                <w:rFonts w:hint="eastAsia" w:cs="Times New Roman"/>
                <w:b/>
                <w:bCs/>
                <w:color w:val="000000" w:themeColor="text1"/>
                <w:kern w:val="2"/>
                <w:sz w:val="21"/>
                <w:szCs w:val="21"/>
                <w:lang w:val="en-US" w:eastAsia="zh-CN" w:bidi="ar-SA"/>
                <w14:textFill>
                  <w14:solidFill>
                    <w14:schemeClr w14:val="tx1"/>
                  </w14:solidFill>
                </w14:textFill>
              </w:rPr>
              <w:t xml:space="preserve">5 </w:t>
            </w:r>
            <w:r>
              <w:rPr>
                <w:rFonts w:hint="default" w:ascii="Times New Roman" w:hAnsi="Times New Roman" w:cs="Times New Roman"/>
                <w:b/>
                <w:bCs/>
                <w:color w:val="000000" w:themeColor="text1"/>
                <w:sz w:val="21"/>
                <w:szCs w:val="21"/>
                <w:highlight w:val="none"/>
                <w14:textFill>
                  <w14:solidFill>
                    <w14:schemeClr w14:val="tx1"/>
                  </w14:solidFill>
                </w14:textFill>
              </w:rPr>
              <w:t>本项目</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生产</w:t>
            </w:r>
            <w:r>
              <w:rPr>
                <w:rFonts w:hint="default" w:ascii="Times New Roman" w:hAnsi="Times New Roman" w:cs="Times New Roman"/>
                <w:b/>
                <w:bCs/>
                <w:color w:val="000000" w:themeColor="text1"/>
                <w:sz w:val="21"/>
                <w:szCs w:val="21"/>
                <w:highlight w:val="none"/>
                <w14:textFill>
                  <w14:solidFill>
                    <w14:schemeClr w14:val="tx1"/>
                  </w14:solidFill>
                </w14:textFill>
              </w:rPr>
              <w:t>废水产排情况一览表</w:t>
            </w:r>
            <w:bookmarkEnd w:id="26"/>
          </w:p>
          <w:tbl>
            <w:tblPr>
              <w:tblStyle w:val="44"/>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4"/>
              <w:gridCol w:w="1066"/>
              <w:gridCol w:w="616"/>
              <w:gridCol w:w="814"/>
              <w:gridCol w:w="715"/>
              <w:gridCol w:w="477"/>
              <w:gridCol w:w="477"/>
              <w:gridCol w:w="477"/>
              <w:gridCol w:w="479"/>
              <w:gridCol w:w="499"/>
              <w:gridCol w:w="604"/>
              <w:gridCol w:w="572"/>
              <w:gridCol w:w="573"/>
            </w:tblGrid>
            <w:tr w14:paraId="4CCDC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1" w:hRule="atLeast"/>
              </w:trPr>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6A0E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废水种类</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725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pH</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（无量纲）</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32C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COD</w:t>
                  </w:r>
                  <w:r>
                    <w:rPr>
                      <w:rFonts w:hint="default" w:ascii="Times New Roman" w:hAnsi="Times New Roman" w:eastAsia="宋体" w:cs="Times New Roman"/>
                      <w:b/>
                      <w:bCs/>
                      <w:i w:val="0"/>
                      <w:iCs w:val="0"/>
                      <w:color w:val="000000" w:themeColor="text1"/>
                      <w:kern w:val="0"/>
                      <w:sz w:val="21"/>
                      <w:szCs w:val="21"/>
                      <w:u w:val="none"/>
                      <w:vertAlign w:val="subscript"/>
                      <w:lang w:val="en-US" w:eastAsia="zh-CN" w:bidi="ar"/>
                      <w14:textFill>
                        <w14:solidFill>
                          <w14:schemeClr w14:val="tx1"/>
                        </w14:solidFill>
                      </w14:textFill>
                    </w:rPr>
                    <w:t>Cr</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E82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BOD</w:t>
                  </w:r>
                  <w:r>
                    <w:rPr>
                      <w:rFonts w:hint="default" w:ascii="Times New Roman" w:hAnsi="Times New Roman" w:eastAsia="宋体" w:cs="Times New Roman"/>
                      <w:b/>
                      <w:bCs/>
                      <w:i w:val="0"/>
                      <w:iCs w:val="0"/>
                      <w:color w:val="000000" w:themeColor="text1"/>
                      <w:kern w:val="0"/>
                      <w:sz w:val="21"/>
                      <w:szCs w:val="21"/>
                      <w:u w:val="none"/>
                      <w:vertAlign w:val="subscript"/>
                      <w:lang w:val="en-US" w:eastAsia="zh-CN" w:bidi="ar"/>
                      <w14:textFill>
                        <w14:solidFill>
                          <w14:schemeClr w14:val="tx1"/>
                        </w14:solidFill>
                      </w14:textFill>
                    </w:rPr>
                    <w:t>5</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7A9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SS</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DD3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氨氮</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74B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氟化物</w:t>
                  </w:r>
                </w:p>
              </w:tc>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4489">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TP</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1886">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TN</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72E8">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LAS</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2A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总铝</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7BA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石油类</w:t>
                  </w:r>
                </w:p>
              </w:tc>
            </w:tr>
            <w:tr w14:paraId="47D03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5AC5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生产废水</w:t>
                  </w:r>
                  <w:r>
                    <w:rPr>
                      <w:rFonts w:hint="eastAsia" w:cs="Times New Roman"/>
                      <w:i w:val="0"/>
                      <w:iCs w:val="0"/>
                      <w:color w:val="000000" w:themeColor="text1"/>
                      <w:kern w:val="0"/>
                      <w:sz w:val="21"/>
                      <w:szCs w:val="21"/>
                      <w:u w:val="none"/>
                      <w:lang w:val="en-US" w:eastAsia="zh-CN" w:bidi="ar"/>
                      <w14:textFill>
                        <w14:solidFill>
                          <w14:schemeClr w14:val="tx1"/>
                        </w14:solidFill>
                      </w14:textFill>
                    </w:rPr>
                    <w:t>10010.08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D33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产生浓度</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c>
                <w:tcPr>
                  <w:tcW w:w="61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71BA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F012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372</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503B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D885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629ED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AE62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1850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7F0F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9E6D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196A9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42.6</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84BC0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w:t>
                  </w:r>
                </w:p>
              </w:tc>
            </w:tr>
            <w:tr w14:paraId="1BC8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06204">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38C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产生量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61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BFD6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AB27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3.724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BA6C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1.291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D6C0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0.671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42F42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0.154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6FD8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1.091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5A06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A393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0.462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751D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609E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0.426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5706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0.321 </w:t>
                  </w:r>
                </w:p>
              </w:tc>
            </w:tr>
            <w:tr w14:paraId="631AB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9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CB9AE">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63B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治理工艺</w:t>
                  </w:r>
                </w:p>
              </w:tc>
              <w:tc>
                <w:tcPr>
                  <w:tcW w:w="6303" w:type="dxa"/>
                  <w:gridSpan w:val="11"/>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9FEC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中和调节+混凝沉淀+气浮</w:t>
                  </w:r>
                  <w:r>
                    <w:rPr>
                      <w:rFonts w:hint="eastAsia" w:cs="Times New Roman"/>
                      <w:i w:val="0"/>
                      <w:iCs w:val="0"/>
                      <w:color w:val="000000" w:themeColor="text1"/>
                      <w:kern w:val="0"/>
                      <w:sz w:val="21"/>
                      <w:szCs w:val="21"/>
                      <w:u w:val="none"/>
                      <w:lang w:val="en-US" w:eastAsia="zh-CN" w:bidi="ar"/>
                      <w14:textFill>
                        <w14:solidFill>
                          <w14:schemeClr w14:val="tx1"/>
                        </w14:solidFill>
                      </w14:textFill>
                    </w:rPr>
                    <w:t>+化学除氟</w:t>
                  </w:r>
                </w:p>
              </w:tc>
            </w:tr>
            <w:tr w14:paraId="60A12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9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0E3F9">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EE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处理效率</w:t>
                  </w:r>
                </w:p>
              </w:tc>
              <w:tc>
                <w:tcPr>
                  <w:tcW w:w="61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D0FD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3415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DC24C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ABD46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E25A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6151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F1CD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3222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B05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4F6B8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r>
                    <w:rPr>
                      <w:rFonts w:hint="eastAsia" w:cs="Times New Roman"/>
                      <w:i w:val="0"/>
                      <w:iCs w:val="0"/>
                      <w:color w:val="000000" w:themeColor="text1"/>
                      <w:kern w:val="0"/>
                      <w:sz w:val="21"/>
                      <w:szCs w:val="21"/>
                      <w:u w:val="none"/>
                      <w:lang w:val="en-US" w:eastAsia="zh-CN" w:bidi="ar"/>
                      <w14:textFill>
                        <w14:solidFill>
                          <w14:schemeClr w14:val="tx1"/>
                        </w14:solidFill>
                      </w14:textFill>
                    </w:rPr>
                    <w:t>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4BBE5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w:t>
                  </w:r>
                </w:p>
              </w:tc>
            </w:tr>
            <w:tr w14:paraId="3279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705C0">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70A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排放浓度</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c>
                <w:tcPr>
                  <w:tcW w:w="61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A3F1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E3BF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126.5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E2FC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53.2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4CFE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D12E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12.5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820B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9.8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5C12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7D81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37.6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3D18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CA4A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F246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4.1 </w:t>
                  </w:r>
                </w:p>
              </w:tc>
            </w:tr>
            <w:tr w14:paraId="1732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AB07D">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0C0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浓度标准</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mg/L</w:t>
                  </w:r>
                </w:p>
              </w:tc>
              <w:tc>
                <w:tcPr>
                  <w:tcW w:w="61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2FE9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39EB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9AA0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8C1B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C051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B9DC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B553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BFF8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1C7C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07BF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r>
                    <w:rPr>
                      <w:rFonts w:hint="eastAsia" w:cs="Times New Roman"/>
                      <w:i w:val="0"/>
                      <w:iCs w:val="0"/>
                      <w:color w:val="000000" w:themeColor="text1"/>
                      <w:kern w:val="0"/>
                      <w:sz w:val="21"/>
                      <w:szCs w:val="21"/>
                      <w:u w:val="none"/>
                      <w:vertAlign w:val="superscript"/>
                      <w:lang w:val="en-US" w:eastAsia="zh-CN" w:bidi="ar"/>
                      <w14:textFill>
                        <w14:solidFill>
                          <w14:schemeClr w14:val="tx1"/>
                        </w14:solidFill>
                      </w14:textFill>
                    </w:rPr>
                    <w:t>①</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933C2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r>
            <w:tr w14:paraId="3236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9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20C4A">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E7D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排放量</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w:t>
                  </w:r>
                </w:p>
              </w:tc>
              <w:tc>
                <w:tcPr>
                  <w:tcW w:w="616"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EB0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844B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1.266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15CC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0.533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9DA7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76A3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0.126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A04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0.098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1DA5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0.001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FB3E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0.377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F9E5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0.002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A855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4AA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r>
            <w:tr w14:paraId="5409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833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C14207E">
                  <w:pPr>
                    <w:keepNext w:val="0"/>
                    <w:keepLines w:val="0"/>
                    <w:widowControl/>
                    <w:numPr>
                      <w:ilvl w:val="0"/>
                      <w:numId w:val="0"/>
                    </w:numPr>
                    <w:suppressLineNumbers w:val="0"/>
                    <w:jc w:val="both"/>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注：</w:t>
                  </w:r>
                  <w:r>
                    <w:rPr>
                      <w:rFonts w:hint="eastAsia" w:ascii="宋体" w:hAnsi="宋体" w:cs="宋体"/>
                      <w:color w:val="000000" w:themeColor="text1"/>
                      <w:kern w:val="0"/>
                      <w:sz w:val="20"/>
                      <w:szCs w:val="20"/>
                      <w:lang w:val="en-US" w:eastAsia="zh-CN" w:bidi="ar"/>
                      <w14:textFill>
                        <w14:solidFill>
                          <w14:schemeClr w14:val="tx1"/>
                        </w14:solidFill>
                      </w14:textFill>
                    </w:rPr>
                    <w:t>①</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项目废水排放执行园区污水处理厂接管水质要求、广东省《水污染物排放限值》（</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DB44/26-2001</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）第二时段三级标准以及《电镀水污染物排放标准》（</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DB44/1597-2015</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表现有项目水污染物非珠三角排放限值200%（其中总铝按表2新建项目水污染物排放限值-非珠三角地区执行）</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三者较严值要求。</w:t>
                  </w:r>
                </w:p>
                <w:p w14:paraId="0594AE44">
                  <w:pPr>
                    <w:keepNext w:val="0"/>
                    <w:keepLines w:val="0"/>
                    <w:widowControl/>
                    <w:suppressLineNumbers w:val="0"/>
                    <w:jc w:val="left"/>
                    <w:rPr>
                      <w:rFonts w:hint="eastAsia" w:ascii="宋体" w:hAnsi="宋体" w:eastAsia="宋体" w:cs="宋体"/>
                      <w:color w:val="000000" w:themeColor="text1"/>
                      <w:kern w:val="0"/>
                      <w:sz w:val="20"/>
                      <w:szCs w:val="20"/>
                      <w:lang w:val="en-US" w:eastAsia="zh-CN" w:bidi="ar"/>
                      <w14:textFill>
                        <w14:solidFill>
                          <w14:schemeClr w14:val="tx1"/>
                        </w14:solidFill>
                      </w14:textFill>
                    </w:rPr>
                  </w:pPr>
                </w:p>
              </w:tc>
            </w:tr>
          </w:tbl>
          <w:p w14:paraId="19129F92">
            <w:pPr>
              <w:pStyle w:val="2"/>
              <w:rPr>
                <w:rFonts w:hint="default" w:ascii="Times New Roman" w:hAnsi="Times New Roman" w:cs="Times New Roman"/>
                <w:b/>
                <w:bCs/>
                <w:color w:val="000000" w:themeColor="text1"/>
                <w:sz w:val="21"/>
                <w:szCs w:val="21"/>
                <w:highlight w:val="none"/>
                <w14:textFill>
                  <w14:solidFill>
                    <w14:schemeClr w14:val="tx1"/>
                  </w14:solidFill>
                </w14:textFill>
              </w:rPr>
            </w:pPr>
          </w:p>
          <w:p w14:paraId="14E0ED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2"/>
                <w:sz w:val="24"/>
                <w:szCs w:val="24"/>
                <w:highlight w:val="none"/>
                <w14:textFill>
                  <w14:solidFill>
                    <w14:schemeClr w14:val="tx1"/>
                  </w14:solidFill>
                </w14:textFill>
              </w:rPr>
              <w:t>综上，</w:t>
            </w:r>
            <w:r>
              <w:rPr>
                <w:rFonts w:hint="default" w:ascii="Times New Roman" w:hAnsi="Times New Roman" w:cs="Times New Roman"/>
                <w:color w:val="000000" w:themeColor="text1"/>
                <w:sz w:val="24"/>
                <w:szCs w:val="24"/>
                <w:highlight w:val="none"/>
                <w14:textFill>
                  <w14:solidFill>
                    <w14:schemeClr w14:val="tx1"/>
                  </w14:solidFill>
                </w14:textFill>
              </w:rPr>
              <w:t>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生活污水经“三级化粪池+隔油隔渣池”处理达到广东省地方标准《水污染物排放限值》（DB44/26-2001）第二时段三级标准以及园区污水处理厂接管水质要求两者较严值后，</w:t>
            </w:r>
            <w:r>
              <w:rPr>
                <w:rFonts w:hint="default" w:ascii="Times New Roman" w:hAnsi="Times New Roman" w:cs="Times New Roman"/>
                <w:color w:val="000000" w:themeColor="text1"/>
                <w:sz w:val="24"/>
                <w:szCs w:val="24"/>
                <w:highlight w:val="none"/>
                <w14:textFill>
                  <w14:solidFill>
                    <w14:schemeClr w14:val="tx1"/>
                  </w14:solidFill>
                </w14:textFill>
              </w:rPr>
              <w:t>排入园区污水处理厂处理</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生产废水经“</w:t>
            </w:r>
            <w:r>
              <w:rPr>
                <w:rFonts w:hint="eastAsia" w:cs="Times New Roman"/>
                <w:color w:val="000000" w:themeColor="text1"/>
                <w:sz w:val="24"/>
                <w:szCs w:val="24"/>
                <w:highlight w:val="none"/>
                <w:lang w:eastAsia="zh-CN"/>
                <w14:textFill>
                  <w14:solidFill>
                    <w14:schemeClr w14:val="tx1"/>
                  </w14:solidFill>
                </w14:textFill>
              </w:rPr>
              <w:t>中和调节+混凝沉淀+气浮+化学除氟</w:t>
            </w:r>
            <w:r>
              <w:rPr>
                <w:rFonts w:hint="default" w:ascii="Times New Roman" w:hAnsi="Times New Roman" w:cs="Times New Roman"/>
                <w:color w:val="000000" w:themeColor="text1"/>
                <w:sz w:val="24"/>
                <w:szCs w:val="24"/>
                <w:highlight w:val="none"/>
                <w14:textFill>
                  <w14:solidFill>
                    <w14:schemeClr w14:val="tx1"/>
                  </w14:solidFill>
                </w14:textFill>
              </w:rPr>
              <w:t>”处理</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达到园区污水处理厂接管水质要求、广东省《水污染物排放限值》（DB44/26-2001）第二时段三级标准以及《电镀水污染物排放标准》（DB44/1597-2015）</w:t>
            </w:r>
            <w:r>
              <w:rPr>
                <w:rFonts w:hint="eastAsia" w:cs="Times New Roman"/>
                <w:color w:val="000000" w:themeColor="text1"/>
                <w:sz w:val="24"/>
                <w:szCs w:val="24"/>
                <w:highlight w:val="none"/>
                <w:lang w:val="en-US" w:eastAsia="zh-CN"/>
                <w14:textFill>
                  <w14:solidFill>
                    <w14:schemeClr w14:val="tx1"/>
                  </w14:solidFill>
                </w14:textFill>
              </w:rPr>
              <w:t>表1现有项目水污染物非珠三角排放限值200%（其中总铝按表2新建项目水污染物排放限值-非珠三角地区执行）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三者较严值要求，</w:t>
            </w:r>
            <w:r>
              <w:rPr>
                <w:rFonts w:hint="default" w:ascii="Times New Roman" w:hAnsi="Times New Roman" w:cs="Times New Roman"/>
                <w:color w:val="000000" w:themeColor="text1"/>
                <w:sz w:val="24"/>
                <w:szCs w:val="24"/>
                <w:highlight w:val="none"/>
                <w14:textFill>
                  <w14:solidFill>
                    <w14:schemeClr w14:val="tx1"/>
                  </w14:solidFill>
                </w14:textFill>
              </w:rPr>
              <w:t>排入园区污水处理厂处理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项目设置两个废水排放口，生活污水和生产废水各自处理后接入同一个市政污水井然后排入园区污水处理厂，项目废水排放情况如下表所示。</w:t>
            </w:r>
          </w:p>
          <w:p w14:paraId="14B1E67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表4-2</w:t>
            </w:r>
            <w:r>
              <w:rPr>
                <w:rFonts w:hint="eastAsia" w:cs="Times New Roman"/>
                <w:b/>
                <w:bCs/>
                <w:color w:val="000000" w:themeColor="text1"/>
                <w:kern w:val="2"/>
                <w:sz w:val="21"/>
                <w:szCs w:val="21"/>
                <w:lang w:val="en-US" w:eastAsia="zh-CN" w:bidi="ar-SA"/>
                <w14:textFill>
                  <w14:solidFill>
                    <w14:schemeClr w14:val="tx1"/>
                  </w14:solidFill>
                </w14:textFill>
              </w:rPr>
              <w:t>6</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本项目</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废水污染物排放信息表</w:t>
            </w:r>
          </w:p>
          <w:tbl>
            <w:tblPr>
              <w:tblStyle w:val="44"/>
              <w:tblW w:w="821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1"/>
              <w:gridCol w:w="1451"/>
              <w:gridCol w:w="1174"/>
              <w:gridCol w:w="1223"/>
              <w:gridCol w:w="1451"/>
              <w:gridCol w:w="1467"/>
            </w:tblGrid>
            <w:tr w14:paraId="5EF7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5710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序号</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EE09C">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排放口编号</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87F7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污染物种类</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1246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排放浓度</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mg/L</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7E0C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全厂日排放量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kg/d</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1990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全厂年排放量</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t/a</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w:t>
                  </w:r>
                </w:p>
              </w:tc>
            </w:tr>
            <w:tr w14:paraId="3CD0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D0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E568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DW001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36C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COD</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Cr</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53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0B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1.718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1F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0.414</w:t>
                  </w:r>
                </w:p>
              </w:tc>
            </w:tr>
            <w:tr w14:paraId="07B2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7C6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92FFF">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AB6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BOD</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A5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142.5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B9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1.224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71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0.295</w:t>
                  </w:r>
                </w:p>
              </w:tc>
            </w:tr>
            <w:tr w14:paraId="37B2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7C9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C94F1">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851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CC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104.8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9A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0.900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EB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0.217</w:t>
                  </w:r>
                </w:p>
              </w:tc>
            </w:tr>
            <w:tr w14:paraId="50413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0AB4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7BF5C">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6C3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5E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30.0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BB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0.257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7B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0.062</w:t>
                  </w:r>
                </w:p>
              </w:tc>
            </w:tr>
            <w:tr w14:paraId="33CAC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DB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6A045">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C9F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总磷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0B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3.9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3E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0.033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2E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0.008</w:t>
                  </w:r>
                </w:p>
              </w:tc>
            </w:tr>
            <w:tr w14:paraId="4CF86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37E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B782C">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73D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动植物油</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EB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19.8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AD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8B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0.041</w:t>
                  </w:r>
                </w:p>
              </w:tc>
            </w:tr>
            <w:tr w14:paraId="12303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ABA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8EF9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DW002</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107B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COD</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Cr</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F5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126.5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5D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5.254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D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1.266 </w:t>
                  </w:r>
                </w:p>
              </w:tc>
            </w:tr>
            <w:tr w14:paraId="140E7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BF0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4EDF7">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CD0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BOD</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6B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53.2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02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2.210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BF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0.533 </w:t>
                  </w:r>
                </w:p>
              </w:tc>
            </w:tr>
            <w:tr w14:paraId="2E284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B37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D8CBF">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2E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DB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0.9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D0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0.038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B8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r>
            <w:tr w14:paraId="690E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CC9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E1958">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C731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665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12.5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BA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0.521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A5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0.126 </w:t>
                  </w:r>
                </w:p>
              </w:tc>
            </w:tr>
            <w:tr w14:paraId="2C28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786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B3315">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9BA8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氟化物</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8F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D3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0.407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1C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0.098 </w:t>
                  </w:r>
                </w:p>
              </w:tc>
            </w:tr>
            <w:tr w14:paraId="4C902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9E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2F5F4A">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088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C9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0A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0.003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50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0.001 </w:t>
                  </w:r>
                </w:p>
              </w:tc>
            </w:tr>
            <w:tr w14:paraId="50DD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539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378A5">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72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95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37.6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468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1.563 </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0BD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0.377 </w:t>
                  </w:r>
                </w:p>
              </w:tc>
            </w:tr>
            <w:tr w14:paraId="75CBB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605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A133B">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9C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阴离子表面活性剂</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26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5A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74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0.002 </w:t>
                  </w:r>
                </w:p>
              </w:tc>
            </w:tr>
            <w:tr w14:paraId="0821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300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D766E">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A00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总铝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609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B7B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0.077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B5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0.018 </w:t>
                  </w:r>
                </w:p>
              </w:tc>
            </w:tr>
            <w:tr w14:paraId="1D28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29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3610C">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AA9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石油类</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E4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4.1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409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5E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r>
            <w:tr w14:paraId="451C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B132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全厂排放口合计</w:t>
                  </w: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52F1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COD</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Cr</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1FD0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1.680 </w:t>
                  </w:r>
                </w:p>
              </w:tc>
            </w:tr>
            <w:tr w14:paraId="0A3DC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B58C3">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0628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BOD</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7DD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0.828 </w:t>
                  </w:r>
                </w:p>
              </w:tc>
            </w:tr>
            <w:tr w14:paraId="6FF85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FF404">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F131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DCE9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0.226 </w:t>
                  </w:r>
                </w:p>
              </w:tc>
            </w:tr>
            <w:tr w14:paraId="0D197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0C4EB">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0FDC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546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0.188 </w:t>
                  </w:r>
                </w:p>
              </w:tc>
            </w:tr>
            <w:tr w14:paraId="5DD2D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C365E1">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1CFE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氟化物</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A59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0.098 </w:t>
                  </w:r>
                </w:p>
              </w:tc>
            </w:tr>
            <w:tr w14:paraId="5DA32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477E87">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AFBA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TP</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F5E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r>
            <w:tr w14:paraId="51028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CA0F9">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57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TN</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7A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0.377 </w:t>
                  </w:r>
                </w:p>
              </w:tc>
            </w:tr>
            <w:tr w14:paraId="7210D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0645E">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BC26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阴离子表面活性剂</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62C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0.002 </w:t>
                  </w:r>
                </w:p>
              </w:tc>
            </w:tr>
            <w:tr w14:paraId="21C3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0D20B">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37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总铝</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3E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650D5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498AA">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E2F4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石油类</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8A1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r>
            <w:tr w14:paraId="0621D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3D550">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9739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动植物油</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F0C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r>
          </w:tbl>
          <w:p w14:paraId="55A8F004">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0B131558">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（4）锆、钛离子影响分析</w:t>
            </w:r>
          </w:p>
          <w:p w14:paraId="7EAFB0B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由于项目无铬钝化剂中含氟锆酸和氟钛酸，会有少量锆离子和钛离子产生，但目前锆、钛未有相关排放标准要求，且项目钝化剂使用量较少，本项目不将锆和钛作为控制标准，但为进一步考虑环境影响，本项目将锆、钛定量分析，论证本项目废水处理工艺是否能对上述污染物进行有效处理。本项目无铬钝化剂用量为</w:t>
            </w:r>
            <w:r>
              <w:rPr>
                <w:rFonts w:hint="eastAsia" w:cs="Times New Roman"/>
                <w:color w:val="000000" w:themeColor="text1"/>
                <w:sz w:val="24"/>
                <w:szCs w:val="24"/>
                <w:highlight w:val="none"/>
                <w:lang w:val="en-US" w:eastAsia="zh-CN"/>
                <w14:textFill>
                  <w14:solidFill>
                    <w14:schemeClr w14:val="tx1"/>
                  </w14:solidFill>
                </w14:textFill>
              </w:rPr>
              <w:t>3.2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t/a，氟锆酸和氟钛酸含量均为5%～10%，项目按最大占比10%计算，分子式分别为H</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F</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Zr、H</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TiF</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，按照原子质量占比</w:t>
            </w:r>
            <w:r>
              <w:rPr>
                <w:rFonts w:hint="eastAsia" w:cs="Times New Roman"/>
                <w:color w:val="000000" w:themeColor="text1"/>
                <w:sz w:val="24"/>
                <w:szCs w:val="24"/>
                <w:highlight w:val="none"/>
                <w:vertAlign w:val="baseline"/>
                <w:lang w:val="en-US" w:eastAsia="zh-CN"/>
                <w14:textFill>
                  <w14:solidFill>
                    <w14:schemeClr w14:val="tx1"/>
                  </w14:solidFill>
                </w14:textFill>
              </w:rPr>
              <w:t>分别为44.02%、29.21%。项目无铬钝化槽槽液不外排，仅定期更换槽液，因此进入废水中的钝化剂仅来自钝化槽工件带出废水。</w:t>
            </w:r>
            <w:r>
              <w:rPr>
                <w:rFonts w:hint="eastAsia"/>
                <w:color w:val="000000" w:themeColor="text1"/>
                <w:sz w:val="24"/>
                <w:szCs w:val="24"/>
                <w:lang w:val="en-US" w:eastAsia="zh-CN"/>
                <w14:textFill>
                  <w14:solidFill>
                    <w14:schemeClr w14:val="tx1"/>
                  </w14:solidFill>
                </w14:textFill>
              </w:rPr>
              <w:t>参考《污染源源强核算技术指南 电镀》（HJ984-2018）中附录 D 不同形状镀件镀液带出量参考值一览表中简单镀件形状的自动线挂镀的镀液带出量＜0.1L/m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 xml:space="preserve"> ， 取 值 0.1L/m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 xml:space="preserve"> 。根据建设单位提供数据，钝化工艺浓度为1%，</w:t>
            </w:r>
            <w:r>
              <w:rPr>
                <w:rFonts w:hint="eastAsia"/>
                <w:color w:val="000000" w:themeColor="text1"/>
                <w:sz w:val="24"/>
                <w:szCs w:val="24"/>
                <w:vertAlign w:val="baseline"/>
                <w:lang w:val="en-US" w:eastAsia="zh-CN"/>
                <w14:textFill>
                  <w14:solidFill>
                    <w14:schemeClr w14:val="tx1"/>
                  </w14:solidFill>
                </w14:textFill>
              </w:rPr>
              <w:t>需钝化处理的工件面积为550000m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vertAlign w:val="baseline"/>
                <w:lang w:val="en-US" w:eastAsia="zh-CN"/>
                <w14:textFill>
                  <w14:solidFill>
                    <w14:schemeClr w14:val="tx1"/>
                  </w14:solidFill>
                </w14:textFill>
              </w:rPr>
              <w:t>，则</w:t>
            </w:r>
            <w:r>
              <w:rPr>
                <w:rFonts w:hint="eastAsia"/>
                <w:color w:val="000000" w:themeColor="text1"/>
                <w:sz w:val="24"/>
                <w:szCs w:val="24"/>
                <w:lang w:val="en-US" w:eastAsia="zh-CN"/>
                <w14:textFill>
                  <w14:solidFill>
                    <w14:schemeClr w14:val="tx1"/>
                  </w14:solidFill>
                </w14:textFill>
              </w:rPr>
              <w:t>工件带出无铬钝化剂量为0.1L/m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 xml:space="preserve"> × 550000m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 xml:space="preserve"> × 10</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vertAlign w:val="baseline"/>
                <w:lang w:val="en-US" w:eastAsia="zh-CN"/>
                <w14:textFill>
                  <w14:solidFill>
                    <w14:schemeClr w14:val="tx1"/>
                  </w14:solidFill>
                </w14:textFill>
              </w:rPr>
              <w:t>×1%×1.003t/m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lang w:val="en-US" w:eastAsia="zh-CN"/>
                <w14:textFill>
                  <w14:solidFill>
                    <w14:schemeClr w14:val="tx1"/>
                  </w14:solidFill>
                </w14:textFill>
              </w:rPr>
              <w:t>= 0.551t/a。由此</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计算得</w:t>
            </w:r>
            <w:r>
              <w:rPr>
                <w:rFonts w:hint="eastAsia" w:cs="Times New Roman"/>
                <w:color w:val="000000" w:themeColor="text1"/>
                <w:sz w:val="24"/>
                <w:szCs w:val="24"/>
                <w:highlight w:val="none"/>
                <w:vertAlign w:val="baseline"/>
                <w:lang w:val="en-US" w:eastAsia="zh-CN"/>
                <w14:textFill>
                  <w14:solidFill>
                    <w14:schemeClr w14:val="tx1"/>
                  </w14:solidFill>
                </w14:textFill>
              </w:rPr>
              <w:t>废水中</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Zr产生量为</w:t>
            </w:r>
            <w:r>
              <w:rPr>
                <w:rFonts w:hint="eastAsia" w:cs="Times New Roman"/>
                <w:color w:val="000000" w:themeColor="text1"/>
                <w:sz w:val="24"/>
                <w:szCs w:val="24"/>
                <w:highlight w:val="none"/>
                <w:vertAlign w:val="baseline"/>
                <w:lang w:val="en-US" w:eastAsia="zh-CN"/>
                <w14:textFill>
                  <w14:solidFill>
                    <w14:schemeClr w14:val="tx1"/>
                  </w14:solidFill>
                </w14:textFill>
              </w:rPr>
              <w:t>0.551×10%×44.02%=</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0.</w:t>
            </w:r>
            <w:r>
              <w:rPr>
                <w:rFonts w:hint="eastAsia" w:cs="Times New Roman"/>
                <w:color w:val="000000" w:themeColor="text1"/>
                <w:sz w:val="24"/>
                <w:szCs w:val="24"/>
                <w:highlight w:val="none"/>
                <w:vertAlign w:val="baseline"/>
                <w:lang w:val="en-US" w:eastAsia="zh-CN"/>
                <w14:textFill>
                  <w14:solidFill>
                    <w14:schemeClr w14:val="tx1"/>
                  </w14:solidFill>
                </w14:textFill>
              </w:rPr>
              <w:t>024</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t/a，Ti产生量为</w:t>
            </w:r>
            <w:bookmarkStart w:id="27" w:name="OLE_LINK42"/>
            <w:r>
              <w:rPr>
                <w:rFonts w:hint="eastAsia" w:cs="Times New Roman"/>
                <w:color w:val="000000" w:themeColor="text1"/>
                <w:sz w:val="24"/>
                <w:szCs w:val="24"/>
                <w:highlight w:val="none"/>
                <w:vertAlign w:val="baseline"/>
                <w:lang w:val="en-US" w:eastAsia="zh-CN"/>
                <w14:textFill>
                  <w14:solidFill>
                    <w14:schemeClr w14:val="tx1"/>
                  </w14:solidFill>
                </w14:textFill>
              </w:rPr>
              <w:t>0.551×10%×29.21%=0.</w:t>
            </w:r>
            <w:bookmarkEnd w:id="27"/>
            <w:r>
              <w:rPr>
                <w:rFonts w:hint="eastAsia" w:cs="Times New Roman"/>
                <w:color w:val="000000" w:themeColor="text1"/>
                <w:sz w:val="24"/>
                <w:szCs w:val="24"/>
                <w:highlight w:val="none"/>
                <w:vertAlign w:val="baseline"/>
                <w:lang w:val="en-US" w:eastAsia="zh-CN"/>
                <w14:textFill>
                  <w14:solidFill>
                    <w14:schemeClr w14:val="tx1"/>
                  </w14:solidFill>
                </w14:textFill>
              </w:rPr>
              <w:t>016</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t/a，本项目</w:t>
            </w:r>
            <w:r>
              <w:rPr>
                <w:rFonts w:hint="eastAsia" w:cs="Times New Roman"/>
                <w:color w:val="000000" w:themeColor="text1"/>
                <w:sz w:val="24"/>
                <w:szCs w:val="24"/>
                <w:highlight w:val="none"/>
                <w:vertAlign w:val="baseline"/>
                <w:lang w:val="en-US" w:eastAsia="zh-CN"/>
                <w14:textFill>
                  <w14:solidFill>
                    <w14:schemeClr w14:val="tx1"/>
                  </w14:solidFill>
                </w14:textFill>
              </w:rPr>
              <w:t>前处理</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废水产生量为</w:t>
            </w:r>
            <w:r>
              <w:rPr>
                <w:rFonts w:hint="eastAsia" w:cs="Times New Roman"/>
                <w:color w:val="000000" w:themeColor="text1"/>
                <w:sz w:val="24"/>
                <w:szCs w:val="24"/>
                <w:highlight w:val="none"/>
                <w:vertAlign w:val="baseline"/>
                <w:lang w:val="en-US" w:eastAsia="zh-CN"/>
                <w14:textFill>
                  <w14:solidFill>
                    <w14:schemeClr w14:val="tx1"/>
                  </w14:solidFill>
                </w14:textFill>
              </w:rPr>
              <w:t>10010.08</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t/a，</w:t>
            </w:r>
            <w:r>
              <w:rPr>
                <w:rFonts w:hint="eastAsia" w:cs="Times New Roman"/>
                <w:color w:val="000000" w:themeColor="text1"/>
                <w:sz w:val="24"/>
                <w:szCs w:val="24"/>
                <w:highlight w:val="none"/>
                <w:vertAlign w:val="baseline"/>
                <w:lang w:val="en-US" w:eastAsia="zh-CN"/>
                <w14:textFill>
                  <w14:solidFill>
                    <w14:schemeClr w14:val="tx1"/>
                  </w14:solidFill>
                </w14:textFill>
              </w:rPr>
              <w:t>得</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出Zr和Ti产生浓度分别为</w:t>
            </w:r>
            <w:r>
              <w:rPr>
                <w:rFonts w:hint="eastAsia" w:cs="Times New Roman"/>
                <w:color w:val="000000" w:themeColor="text1"/>
                <w:sz w:val="24"/>
                <w:szCs w:val="24"/>
                <w:highlight w:val="none"/>
                <w:vertAlign w:val="baseline"/>
                <w:lang w:val="en-US" w:eastAsia="zh-CN"/>
                <w14:textFill>
                  <w14:solidFill>
                    <w14:schemeClr w14:val="tx1"/>
                  </w14:solidFill>
                </w14:textFill>
              </w:rPr>
              <w:t>2.42</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mg/L和</w:t>
            </w:r>
            <w:r>
              <w:rPr>
                <w:rFonts w:hint="eastAsia" w:cs="Times New Roman"/>
                <w:color w:val="000000" w:themeColor="text1"/>
                <w:sz w:val="24"/>
                <w:szCs w:val="24"/>
                <w:highlight w:val="none"/>
                <w:vertAlign w:val="baseline"/>
                <w:lang w:val="en-US" w:eastAsia="zh-CN"/>
                <w14:textFill>
                  <w14:solidFill>
                    <w14:schemeClr w14:val="tx1"/>
                  </w14:solidFill>
                </w14:textFill>
              </w:rPr>
              <w:t>1.60</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mg/L。</w:t>
            </w:r>
          </w:p>
          <w:p w14:paraId="52EDED3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t>“</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中和调节+混凝沉淀+气浮+化学除氟</w:t>
            </w:r>
            <w:r>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t>”组合工艺对锆（Zr）和钛（Ti）的处理效率预计可达85%</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t>95%。中和调节通过精准控制pH（Zr:8~10，Ti:6~8），促使Zr⁴⁺和Ti⁴⁺形成难溶氢氧化物沉淀（如Zr(OH)₄、Ti(OH)₄），初步去除率约50%</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t>80%，类比氟化钙沉淀的pH依赖性（pH6.5~7.0时氟去除率&gt;90%）；混凝沉淀中铝盐（PAC）或铁盐（聚合硫酸铁）水解生成Al(OH)₃/Fe(OH)₃胶体，通过电荷中和与共沉淀吸附残留金属离子，提升效率10%</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t>30%（参考铁盐对氟的去除率&gt;96%）；气浮利用微小气泡（如电凝聚产生的H₂/O₂）强化絮体分离，减少悬浮物残留（国家科技支撑项目验证其分离优化效果），提升总去除率5%</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t>15%。</w:t>
            </w:r>
          </w:p>
          <w:p w14:paraId="3E14858C">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①</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pH控制与氢氧化物生成及溶解度特性</w:t>
            </w:r>
          </w:p>
          <w:p w14:paraId="4F2074F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中和调节单元通过精准控制pH（Zr控制8~10、Ti控制6~8），促使废水中Zr</w:t>
            </w:r>
            <w:r>
              <w:rPr>
                <w:rFonts w:hint="default" w:ascii="Times New Roman" w:hAnsi="Times New Roman" w:cs="Times New Roman"/>
                <w:b w:val="0"/>
                <w:bCs w:val="0"/>
                <w:color w:val="000000" w:themeColor="text1"/>
                <w:sz w:val="24"/>
                <w:szCs w:val="24"/>
                <w:highlight w:val="none"/>
                <w:vertAlign w:val="superscript"/>
                <w:lang w:val="en-US"/>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、Ti</w:t>
            </w:r>
            <w:r>
              <w:rPr>
                <w:rFonts w:hint="default" w:ascii="Times New Roman" w:hAnsi="Times New Roman" w:cs="Times New Roman"/>
                <w:b w:val="0"/>
                <w:bCs w:val="0"/>
                <w:color w:val="000000" w:themeColor="text1"/>
                <w:sz w:val="24"/>
                <w:szCs w:val="24"/>
                <w:highlight w:val="none"/>
                <w:vertAlign w:val="superscript"/>
                <w:lang w:val="en-US"/>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水解生成难溶氢氧化物Zr(OH)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、Ti(OH)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w:t>
            </w:r>
          </w:p>
          <w:p w14:paraId="6DC24557">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溶解度关键参数：</w:t>
            </w:r>
          </w:p>
          <w:p w14:paraId="4B5D649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Zr(OH)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溶度积K</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sp</w:t>
            </w: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10</w:t>
            </w:r>
            <w:r>
              <w:rPr>
                <w:rFonts w:hint="default" w:ascii="Times New Roman" w:hAnsi="Times New Roman" w:cs="Times New Roman"/>
                <w:b w:val="0"/>
                <w:bCs w:val="0"/>
                <w:color w:val="000000" w:themeColor="text1"/>
                <w:sz w:val="24"/>
                <w:szCs w:val="24"/>
                <w:highlight w:val="none"/>
                <w:vertAlign w:val="superscript"/>
                <w:lang w:val="en-US"/>
                <w14:textFill>
                  <w14:solidFill>
                    <w14:schemeClr w14:val="tx1"/>
                  </w14:solidFill>
                </w14:textFill>
              </w:rPr>
              <w:t>-54</w:t>
            </w: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10</w:t>
            </w:r>
            <w:r>
              <w:rPr>
                <w:rFonts w:hint="default" w:ascii="Times New Roman" w:hAnsi="Times New Roman" w:cs="Times New Roman"/>
                <w:b w:val="0"/>
                <w:bCs w:val="0"/>
                <w:color w:val="000000" w:themeColor="text1"/>
                <w:sz w:val="24"/>
                <w:szCs w:val="24"/>
                <w:highlight w:val="none"/>
                <w:vertAlign w:val="superscript"/>
                <w:lang w:val="en-US"/>
                <w14:textFill>
                  <w14:solidFill>
                    <w14:schemeClr w14:val="tx1"/>
                  </w14:solidFill>
                </w14:textFill>
              </w:rPr>
              <w:t>-56</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，中性至弱碱性条件下溶解度极低，饱和残留浓度＜0.1 mg/L；</w:t>
            </w:r>
          </w:p>
          <w:p w14:paraId="6B9BAEE7">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Ti(OH)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溶度积K</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sp</w:t>
            </w: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10</w:t>
            </w:r>
            <w:r>
              <w:rPr>
                <w:rFonts w:hint="default" w:ascii="Times New Roman" w:hAnsi="Times New Roman" w:cs="Times New Roman"/>
                <w:b w:val="0"/>
                <w:bCs w:val="0"/>
                <w:color w:val="000000" w:themeColor="text1"/>
                <w:sz w:val="24"/>
                <w:szCs w:val="24"/>
                <w:highlight w:val="none"/>
                <w:vertAlign w:val="superscript"/>
                <w:lang w:val="en-US"/>
                <w14:textFill>
                  <w14:solidFill>
                    <w14:schemeClr w14:val="tx1"/>
                  </w14:solidFill>
                </w14:textFill>
              </w:rPr>
              <w:t>-5</w:t>
            </w:r>
            <w:r>
              <w:rPr>
                <w:rFonts w:hint="eastAsia"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0</w:t>
            </w: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10</w:t>
            </w:r>
            <w:r>
              <w:rPr>
                <w:rFonts w:hint="default" w:ascii="Times New Roman" w:hAnsi="Times New Roman" w:cs="Times New Roman"/>
                <w:b w:val="0"/>
                <w:bCs w:val="0"/>
                <w:color w:val="000000" w:themeColor="text1"/>
                <w:sz w:val="24"/>
                <w:szCs w:val="24"/>
                <w:highlight w:val="none"/>
                <w:vertAlign w:val="superscript"/>
                <w:lang w:val="en-US"/>
                <w14:textFill>
                  <w14:solidFill>
                    <w14:schemeClr w14:val="tx1"/>
                  </w14:solidFill>
                </w14:textFill>
              </w:rPr>
              <w:t>-5</w:t>
            </w:r>
            <w:r>
              <w:rPr>
                <w:rFonts w:hint="eastAsia"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，在pH 6~8范围内几乎完全以固相沉淀形式存在，水溶性可忽略。</w:t>
            </w:r>
          </w:p>
          <w:p w14:paraId="45F133FF">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二者均属于高难溶金属氢氧化物，pH调控达标后具备自发沉淀分离的物化基础，该单元对Zr、Ti初步去除率约50%～80%，可类比氟化钙沉淀pH依赖性（pH6.5~7.0时氟去除率＞90%）。</w:t>
            </w:r>
          </w:p>
          <w:p w14:paraId="3E39BA23">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 xml:space="preserve"> </w:t>
            </w: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②</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结合水力停留时间，明确氢氧化物沉淀时长匹配性</w:t>
            </w:r>
          </w:p>
          <w:p w14:paraId="06A0056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 xml:space="preserve"> 整套工艺各单元水力停留时间（HRT） 按沉淀分离需求优化配置，保障氢氧化物絮体充分沉降： </w:t>
            </w:r>
          </w:p>
          <w:p w14:paraId="7D84B74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a</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.中和调节池HRT：设置30～40 min，满足Zr⁴⁺、Ti⁴⁺充分水解络合、生成微细氢氧化物晶核及初生絮体的反应时间；</w:t>
            </w:r>
          </w:p>
          <w:p w14:paraId="514590E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b</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.混凝沉淀池HRT：总停留时间60～90 min，其中絮凝反应段15～20 min、斜管沉淀段静置沉降45～70 min，给Zr(OH)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、Ti(OH)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微细絮体提供充足的重力沉降时长，避免因停留时间不足导致细微颗粒随出水流失；</w:t>
            </w:r>
          </w:p>
          <w:p w14:paraId="2D00984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c</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.后续气浮单元HRT 20～30 min，针对未完全沉降的超细氢氧化物絮体进行气泡粘附上浮分离，作为沉淀工序的补充保障。</w:t>
            </w:r>
          </w:p>
          <w:p w14:paraId="64FDAAF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整体工艺HRT配置可完全匹配Zr(OH)₄、Ti(OH)₄的沉降动力学要求，不存在生成氢氧化物后因停留时间不足无法有效沉淀的问题。</w:t>
            </w:r>
          </w:p>
          <w:p w14:paraId="06CCD6A5">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③</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后续工段协同去除机理</w:t>
            </w:r>
          </w:p>
          <w:p w14:paraId="447ED8C9">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混凝沉淀中投加铝盐（PAC）或铁盐（聚合硫酸铁），水解生成Al(OH)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3</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、Fe(OH)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3</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无机高分子胶体，通过电荷中和、网捕卷扫及共沉淀作用，吸附水体中残留微量Zr、Ti离子及未沉降微细氢氧化物颗粒，进一步提升去除效率10%～30%（参考铁盐对氟的去除率＞96%）；</w:t>
            </w:r>
          </w:p>
          <w:p w14:paraId="5F18B922">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气浮单元利用电凝聚产生H</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2</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O</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2</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微小气泡，粘附轻质超细金属氢氧化物絮体强化固液分离，大幅减少出水悬浮物与残留金属含量（国家科技支撑项目已验证其对微细絮体的分离优化效果），提升总去除率5%～15%；</w:t>
            </w:r>
          </w:p>
          <w:p w14:paraId="386CDC3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化学除氟单元投加钙盐（CaO、CaCl₂），解离释放Ca</w:t>
            </w:r>
            <w:r>
              <w:rPr>
                <w:rFonts w:hint="default" w:ascii="Times New Roman" w:hAnsi="Times New Roman" w:cs="Times New Roman"/>
                <w:b w:val="0"/>
                <w:bCs w:val="0"/>
                <w:color w:val="000000" w:themeColor="text1"/>
                <w:sz w:val="24"/>
                <w:szCs w:val="24"/>
                <w:highlight w:val="none"/>
                <w:vertAlign w:val="superscript"/>
                <w:lang w:val="en-US"/>
                <w14:textFill>
                  <w14:solidFill>
                    <w14:schemeClr w14:val="tx1"/>
                  </w14:solidFill>
                </w14:textFill>
              </w:rPr>
              <w:t>2+</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与F</w:t>
            </w:r>
            <w:r>
              <w:rPr>
                <w:rFonts w:hint="default" w:ascii="Times New Roman" w:hAnsi="Times New Roman" w:cs="Times New Roman"/>
                <w:b w:val="0"/>
                <w:bCs w:val="0"/>
                <w:color w:val="000000" w:themeColor="text1"/>
                <w:sz w:val="24"/>
                <w:szCs w:val="24"/>
                <w:highlight w:val="none"/>
                <w:vertAlign w:val="superscript"/>
                <w:lang w:val="en-US"/>
                <w14:textFill>
                  <w14:solidFill>
                    <w14:schemeClr w14:val="tx1"/>
                  </w14:solidFill>
                </w14:textFill>
              </w:rPr>
              <w:t>-</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生成CaF</w:t>
            </w:r>
            <w:r>
              <w:rPr>
                <w:rFonts w:hint="default" w:ascii="Times New Roman" w:hAnsi="Times New Roman" w:cs="Times New Roman"/>
                <w:b w:val="0"/>
                <w:bCs w:val="0"/>
                <w:color w:val="000000" w:themeColor="text1"/>
                <w:sz w:val="24"/>
                <w:szCs w:val="24"/>
                <w:highlight w:val="none"/>
                <w:vertAlign w:val="subscript"/>
                <w:lang w:val="en-US"/>
                <w14:textFill>
                  <w14:solidFill>
                    <w14:schemeClr w14:val="tx1"/>
                  </w14:solidFill>
                </w14:textFill>
              </w:rPr>
              <w:t>2</w:t>
            </w:r>
            <w:r>
              <w:rPr>
                <w:rFonts w:hint="default" w:ascii="Times New Roman" w:hAnsi="Times New Roman" w:cs="Times New Roman"/>
                <w:b w:val="0"/>
                <w:bCs w:val="0"/>
                <w:color w:val="000000" w:themeColor="text1"/>
                <w:sz w:val="24"/>
                <w:szCs w:val="24"/>
                <w:highlight w:val="none"/>
                <w:vertAlign w:val="baseline"/>
                <w:lang w:val="en-US"/>
                <w14:textFill>
                  <w14:solidFill>
                    <w14:schemeClr w14:val="tx1"/>
                  </w14:solidFill>
                </w14:textFill>
              </w:rPr>
              <w:t>沉淀，同时体系维持弱碱性环境，进一步稳定剩余微量Zr、Ti氢氧化物沉淀形态，深度削减污染物浓度5%～10%，依托钙盐体系对氟及重金属氢氧化物的同步稳定去除能力，保障整体出水稳定达标。</w:t>
            </w:r>
          </w:p>
          <w:p w14:paraId="016B3A7E">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本项目</w:t>
            </w:r>
            <w:r>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t>“</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中和调节+混凝沉淀+气浮+化学除氟</w:t>
            </w:r>
            <w:r>
              <w:rPr>
                <w:rFonts w:hint="default" w:ascii="Times New Roman" w:hAnsi="Times New Roman" w:eastAsia="宋体" w:cs="Times New Roman"/>
                <w:b w:val="0"/>
                <w:bCs w:val="0"/>
                <w:color w:val="000000" w:themeColor="text1"/>
                <w:sz w:val="24"/>
                <w:szCs w:val="24"/>
                <w:highlight w:val="none"/>
                <w:vertAlign w:val="baseline"/>
                <w:lang w:val="en-US"/>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对Zr和Ti保守按80%处理效率计算。计算得出Zr和Ti排放浓度分别为</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0.48</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mg/L和</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0.32</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mg/L，此排放浓度较低，经过与其他废水混合稀释后排入园区污水处理厂再进一步处理，对外环境影响很小。</w:t>
            </w:r>
          </w:p>
          <w:p w14:paraId="2CCFAE1F">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为确保环境安全，并满足园区环保管理要求，建设单位应：</w:t>
            </w:r>
          </w:p>
          <w:p w14:paraId="54B1B76D">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 xml:space="preserve"> 1.  加强自建污水处理站运行管理，确保“</w:t>
            </w:r>
            <w:r>
              <w:rPr>
                <w:rFonts w:hint="eastAsia"/>
                <w:color w:val="000000" w:themeColor="text1"/>
                <w:sz w:val="24"/>
                <w:szCs w:val="32"/>
                <w:lang w:val="en-US" w:eastAsia="zh-CN"/>
                <w14:textFill>
                  <w14:solidFill>
                    <w14:schemeClr w14:val="tx1"/>
                  </w14:solidFill>
                </w14:textFill>
              </w:rPr>
              <w:t>中和调节+混凝沉淀+气浮+化学除氟</w:t>
            </w:r>
            <w:r>
              <w:rPr>
                <w:rFonts w:hint="default"/>
                <w:color w:val="000000" w:themeColor="text1"/>
                <w:sz w:val="24"/>
                <w:szCs w:val="32"/>
                <w:lang w:val="en-US" w:eastAsia="zh-CN"/>
                <w14:textFill>
                  <w14:solidFill>
                    <w14:schemeClr w14:val="tx1"/>
                  </w14:solidFill>
                </w14:textFill>
              </w:rPr>
              <w:t>”工艺对重金属的去除效率稳定在80%以上。</w:t>
            </w:r>
          </w:p>
          <w:p w14:paraId="724C0736">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 xml:space="preserve"> 2.  定期委托有资质的单位对废水排放口进行Zr、Ti的检测，并建立相关数据台账，以备日后环保检查或标准更新时追溯。</w:t>
            </w:r>
          </w:p>
          <w:p w14:paraId="3CC9E411">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000000" w:themeColor="text1"/>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 xml:space="preserve"> 3.  将Zr、Ti纳入企业应急预案和日常环境风险管理范畴，关注其在土壤和地下水中的潜在累积风险</w:t>
            </w:r>
            <w:r>
              <w:rPr>
                <w:rFonts w:hint="default"/>
                <w:color w:val="000000" w:themeColor="text1"/>
                <w:lang w:val="en-US" w:eastAsia="zh-CN"/>
                <w14:textFill>
                  <w14:solidFill>
                    <w14:schemeClr w14:val="tx1"/>
                  </w14:solidFill>
                </w14:textFill>
              </w:rPr>
              <w:t>。</w:t>
            </w:r>
          </w:p>
          <w:p w14:paraId="46C98467">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2.2</w:t>
            </w:r>
            <w:r>
              <w:rPr>
                <w:rFonts w:hint="default" w:ascii="Times New Roman" w:hAnsi="Times New Roman" w:cs="Times New Roman"/>
                <w:b/>
                <w:bCs/>
                <w:color w:val="000000" w:themeColor="text1"/>
                <w:sz w:val="24"/>
                <w:szCs w:val="24"/>
                <w:highlight w:val="none"/>
                <w14:textFill>
                  <w14:solidFill>
                    <w14:schemeClr w14:val="tx1"/>
                  </w14:solidFill>
                </w14:textFill>
              </w:rPr>
              <w:t>废水收集处理情况</w:t>
            </w:r>
          </w:p>
          <w:p w14:paraId="58261276">
            <w:pPr>
              <w:pStyle w:val="2"/>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w:t>
            </w:r>
            <w:r>
              <w:rPr>
                <w:rFonts w:hint="default" w:ascii="Times New Roman" w:hAnsi="Times New Roman" w:cs="Times New Roman"/>
                <w:color w:val="000000" w:themeColor="text1"/>
                <w:highlight w:val="none"/>
                <w:lang w:val="en-US" w:eastAsia="zh-CN"/>
                <w14:textFill>
                  <w14:solidFill>
                    <w14:schemeClr w14:val="tx1"/>
                  </w14:solidFill>
                </w14:textFill>
              </w:rPr>
              <w:t>生活污水经“三级化粪池、隔油隔渣池”处理</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达到广东省地方标准《水污染物排放限值》（DB44/26-2001）第二时段三级标准以及园区污水处理厂接管水质要求两者较严值后，</w:t>
            </w:r>
            <w:r>
              <w:rPr>
                <w:rFonts w:hint="default" w:ascii="Times New Roman" w:hAnsi="Times New Roman" w:cs="Times New Roman"/>
                <w:color w:val="000000" w:themeColor="text1"/>
                <w:sz w:val="24"/>
                <w:szCs w:val="24"/>
                <w:highlight w:val="none"/>
                <w14:textFill>
                  <w14:solidFill>
                    <w14:schemeClr w14:val="tx1"/>
                  </w14:solidFill>
                </w14:textFill>
              </w:rPr>
              <w:t>排入园区污水处理厂处理</w:t>
            </w:r>
            <w:r>
              <w:rPr>
                <w:rFonts w:hint="default" w:ascii="Times New Roman" w:hAnsi="Times New Roman" w:eastAsia="宋体" w:cs="Times New Roman"/>
                <w:snapToGrid w:val="0"/>
                <w:color w:val="000000" w:themeColor="text1"/>
                <w:kern w:val="0"/>
                <w:sz w:val="24"/>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生产废水经“</w:t>
            </w:r>
            <w:r>
              <w:rPr>
                <w:rFonts w:hint="eastAsia" w:ascii="Times New Roman" w:cs="Times New Roman"/>
                <w:color w:val="000000" w:themeColor="text1"/>
                <w:highlight w:val="none"/>
                <w:lang w:eastAsia="zh-CN"/>
                <w14:textFill>
                  <w14:solidFill>
                    <w14:schemeClr w14:val="tx1"/>
                  </w14:solidFill>
                </w14:textFill>
              </w:rPr>
              <w:t>中和调节+混凝沉淀+气浮+化学除氟</w:t>
            </w:r>
            <w:r>
              <w:rPr>
                <w:rFonts w:hint="default" w:ascii="Times New Roman" w:hAnsi="Times New Roman" w:cs="Times New Roman"/>
                <w:color w:val="000000" w:themeColor="text1"/>
                <w:highlight w:val="none"/>
                <w14:textFill>
                  <w14:solidFill>
                    <w14:schemeClr w14:val="tx1"/>
                  </w14:solidFill>
                </w14:textFill>
              </w:rPr>
              <w:t>”处理</w:t>
            </w:r>
            <w:r>
              <w:rPr>
                <w:rFonts w:hint="default" w:ascii="Times New Roman" w:hAnsi="Times New Roman" w:cs="Times New Roman"/>
                <w:color w:val="000000" w:themeColor="text1"/>
                <w:highlight w:val="none"/>
                <w:lang w:val="en-US" w:eastAsia="zh-CN"/>
                <w14:textFill>
                  <w14:solidFill>
                    <w14:schemeClr w14:val="tx1"/>
                  </w14:solidFill>
                </w14:textFill>
              </w:rPr>
              <w:t>达到园区污水处理厂接管水质要求、广东省《水污染物排放限值》（DB44/26-2001）第二时段三级标准以及《电镀水污染物排放标准》（DB44/1597-2015）</w:t>
            </w:r>
            <w:r>
              <w:rPr>
                <w:rFonts w:hint="eastAsia" w:ascii="Times New Roman" w:cs="Times New Roman"/>
                <w:color w:val="000000" w:themeColor="text1"/>
                <w:highlight w:val="none"/>
                <w:lang w:val="en-US" w:eastAsia="zh-CN"/>
                <w14:textFill>
                  <w14:solidFill>
                    <w14:schemeClr w14:val="tx1"/>
                  </w14:solidFill>
                </w14:textFill>
              </w:rPr>
              <w:t>表1现有项目水污染物非珠三角排放限值200%</w:t>
            </w:r>
            <w:r>
              <w:rPr>
                <w:rFonts w:hint="default" w:ascii="Times New Roman" w:hAnsi="Times New Roman" w:cs="Times New Roman"/>
                <w:color w:val="000000" w:themeColor="text1"/>
                <w:highlight w:val="none"/>
                <w:lang w:val="en-US" w:eastAsia="zh-CN"/>
                <w14:textFill>
                  <w14:solidFill>
                    <w14:schemeClr w14:val="tx1"/>
                  </w14:solidFill>
                </w14:textFill>
              </w:rPr>
              <w:t>三者（其中总铝按表2新建项目水污染物排放限值-非珠三角地区执行）较严值要求，</w:t>
            </w:r>
            <w:r>
              <w:rPr>
                <w:rFonts w:hint="default" w:ascii="Times New Roman" w:hAnsi="Times New Roman" w:cs="Times New Roman"/>
                <w:color w:val="000000" w:themeColor="text1"/>
                <w:highlight w:val="none"/>
                <w14:textFill>
                  <w14:solidFill>
                    <w14:schemeClr w14:val="tx1"/>
                  </w14:solidFill>
                </w14:textFill>
              </w:rPr>
              <w:t>排入园区污水处理厂处理</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废水经</w:t>
            </w:r>
            <w:r>
              <w:rPr>
                <w:rFonts w:hint="default" w:ascii="Times New Roman" w:hAnsi="Times New Roman" w:cs="Times New Roman"/>
                <w:color w:val="000000" w:themeColor="text1"/>
                <w:highlight w:val="none"/>
                <w14:textFill>
                  <w14:solidFill>
                    <w14:schemeClr w14:val="tx1"/>
                  </w14:solidFill>
                </w14:textFill>
              </w:rPr>
              <w:t>园区污水处理厂处理后达到广东省《</w:t>
            </w:r>
            <w:r>
              <w:rPr>
                <w:rFonts w:hint="default" w:ascii="Times New Roman" w:hAnsi="Times New Roman" w:cs="Times New Roman"/>
                <w:color w:val="000000" w:themeColor="text1"/>
                <w:highlight w:val="none"/>
                <w:lang w:eastAsia="zh-CN"/>
                <w14:textFill>
                  <w14:solidFill>
                    <w14:schemeClr w14:val="tx1"/>
                  </w14:solidFill>
                </w14:textFill>
              </w:rPr>
              <w:t>水污染物排放限值</w:t>
            </w:r>
            <w:r>
              <w:rPr>
                <w:rFonts w:hint="default" w:ascii="Times New Roman" w:hAnsi="Times New Roman" w:cs="Times New Roman"/>
                <w:color w:val="000000" w:themeColor="text1"/>
                <w:highlight w:val="none"/>
                <w14:textFill>
                  <w14:solidFill>
                    <w14:schemeClr w14:val="tx1"/>
                  </w14:solidFill>
                </w14:textFill>
              </w:rPr>
              <w:t>》（DB44/26-2001）第二时段一级标准和《城镇污水处理厂污染物排放标准》（</w:t>
            </w:r>
            <w:r>
              <w:rPr>
                <w:rFonts w:hint="eastAsia" w:ascii="Times New Roman" w:cs="Times New Roman"/>
                <w:color w:val="000000" w:themeColor="text1"/>
                <w:highlight w:val="none"/>
                <w:lang w:eastAsia="zh-CN"/>
                <w14:textFill>
                  <w14:solidFill>
                    <w14:schemeClr w14:val="tx1"/>
                  </w14:solidFill>
                </w14:textFill>
              </w:rPr>
              <w:t>GB18918-2002</w:t>
            </w:r>
            <w:r>
              <w:rPr>
                <w:rFonts w:hint="default" w:ascii="Times New Roman" w:hAnsi="Times New Roman" w:cs="Times New Roman"/>
                <w:color w:val="000000" w:themeColor="text1"/>
                <w:highlight w:val="none"/>
                <w14:textFill>
                  <w14:solidFill>
                    <w14:schemeClr w14:val="tx1"/>
                  </w14:solidFill>
                </w14:textFill>
              </w:rPr>
              <w:t>）一级B标准中严者后</w:t>
            </w:r>
            <w:r>
              <w:rPr>
                <w:rFonts w:hint="default" w:ascii="Times New Roman" w:hAnsi="Times New Roman" w:cs="Times New Roman"/>
                <w:color w:val="000000" w:themeColor="text1"/>
                <w:highlight w:val="none"/>
                <w:lang w:eastAsia="zh-CN"/>
                <w14:textFill>
                  <w14:solidFill>
                    <w14:schemeClr w14:val="tx1"/>
                  </w14:solidFill>
                </w14:textFill>
              </w:rPr>
              <w:t>排</w:t>
            </w:r>
            <w:r>
              <w:rPr>
                <w:rFonts w:hint="default" w:ascii="Times New Roman" w:hAnsi="Times New Roman" w:cs="Times New Roman"/>
                <w:color w:val="000000" w:themeColor="text1"/>
                <w:highlight w:val="none"/>
                <w14:textFill>
                  <w14:solidFill>
                    <w14:schemeClr w14:val="tx1"/>
                  </w14:solidFill>
                </w14:textFill>
              </w:rPr>
              <w:t>入武江。</w:t>
            </w:r>
          </w:p>
          <w:p w14:paraId="4D3D8F43">
            <w:pPr>
              <w:pStyle w:val="2"/>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生产废水处理工艺流程如下图所示：</w:t>
            </w:r>
          </w:p>
          <w:p w14:paraId="7E841026">
            <w:pPr>
              <w:pStyle w:val="2"/>
              <w:keepNext w:val="0"/>
              <w:keepLines w:val="0"/>
              <w:pageBreakBefore w:val="0"/>
              <w:widowControl w:val="0"/>
              <w:suppressLineNumbers w:val="0"/>
              <w:kinsoku/>
              <w:wordWrap/>
              <w:overflowPunct/>
              <w:topLinePunct w:val="0"/>
              <w:bidi w:val="0"/>
              <w:snapToGrid w:val="0"/>
              <w:spacing w:before="0" w:beforeAutospacing="0" w:after="0" w:afterAutospacing="0"/>
              <w:ind w:left="0" w:right="0"/>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object>
                <v:shape id="_x0000_i1029" o:spt="75" type="#_x0000_t75" style="height:77.05pt;width:420.1pt;" o:ole="t" filled="f" o:preferrelative="t" stroked="f" coordsize="21600,21600">
                  <v:path/>
                  <v:fill on="f" focussize="0,0"/>
                  <v:stroke on="f"/>
                  <v:imagedata r:id="rId31" o:title=""/>
                  <o:lock v:ext="edit" aspectratio="f"/>
                  <w10:wrap type="none"/>
                  <w10:anchorlock/>
                </v:shape>
                <o:OLEObject Type="Embed" ProgID="Visio.Drawing.15" ShapeID="_x0000_i1029" DrawAspect="Content" ObjectID="_1468075729" r:id="rId30">
                  <o:LockedField>false</o:LockedField>
                </o:OLEObject>
              </w:object>
            </w:r>
          </w:p>
          <w:p w14:paraId="0287B256">
            <w:pPr>
              <w:keepNext/>
              <w:keepLines/>
              <w:pageBreakBefore w:val="0"/>
              <w:widowControl w:val="0"/>
              <w:numPr>
                <w:ilvl w:val="0"/>
                <w:numId w:val="0"/>
              </w:numPr>
              <w:suppressLineNumbers w:val="0"/>
              <w:tabs>
                <w:tab w:val="left" w:pos="0"/>
              </w:tabs>
              <w:kinsoku/>
              <w:wordWrap/>
              <w:overflowPunct/>
              <w:topLinePunct w:val="0"/>
              <w:bidi w:val="0"/>
              <w:snapToGrid w:val="0"/>
              <w:spacing w:before="0" w:beforeAutospacing="0" w:after="0" w:afterAutospacing="0"/>
              <w:ind w:left="0" w:leftChars="0" w:right="0" w:rightChars="0" w:firstLine="0" w:firstLineChars="0"/>
              <w:jc w:val="center"/>
              <w:textAlignment w:val="auto"/>
              <w:outlineLvl w:val="3"/>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图4-</w:t>
            </w:r>
            <w:r>
              <w:rPr>
                <w:rFonts w:hint="eastAsia" w:cs="Times New Roman"/>
                <w:b/>
                <w:bCs/>
                <w:color w:val="000000" w:themeColor="text1"/>
                <w:kern w:val="2"/>
                <w:sz w:val="21"/>
                <w:szCs w:val="21"/>
                <w:lang w:val="en-US" w:eastAsia="zh-CN" w:bidi="ar-SA"/>
                <w14:textFill>
                  <w14:solidFill>
                    <w14:schemeClr w14:val="tx1"/>
                  </w14:solidFill>
                </w14:textFill>
              </w:rPr>
              <w:t xml:space="preserve">3 </w:t>
            </w:r>
            <w:r>
              <w:rPr>
                <w:rFonts w:hint="default" w:ascii="Times New Roman" w:hAnsi="Times New Roman" w:cs="Times New Roman"/>
                <w:b/>
                <w:bCs/>
                <w:color w:val="000000" w:themeColor="text1"/>
                <w:sz w:val="21"/>
                <w:szCs w:val="21"/>
                <w:highlight w:val="none"/>
                <w14:textFill>
                  <w14:solidFill>
                    <w14:schemeClr w14:val="tx1"/>
                  </w14:solidFill>
                </w14:textFill>
              </w:rPr>
              <w:t>项目生产废水处理</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工艺</w:t>
            </w:r>
            <w:r>
              <w:rPr>
                <w:rFonts w:hint="default" w:ascii="Times New Roman" w:hAnsi="Times New Roman" w:cs="Times New Roman"/>
                <w:b/>
                <w:bCs/>
                <w:color w:val="000000" w:themeColor="text1"/>
                <w:sz w:val="21"/>
                <w:szCs w:val="21"/>
                <w:highlight w:val="none"/>
                <w14:textFill>
                  <w14:solidFill>
                    <w14:schemeClr w14:val="tx1"/>
                  </w14:solidFill>
                </w14:textFill>
              </w:rPr>
              <w:t>流程图</w:t>
            </w:r>
          </w:p>
          <w:p w14:paraId="140D5326">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工艺说明：</w:t>
            </w:r>
          </w:p>
          <w:p w14:paraId="38294239">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①中和调节池</w:t>
            </w:r>
          </w:p>
          <w:p w14:paraId="442AF820">
            <w:pPr>
              <w:keepNext/>
              <w:keepLines/>
              <w:pageBreakBefore w:val="0"/>
              <w:widowControl w:val="0"/>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3"/>
              <w:rPr>
                <w:rFonts w:hint="default" w:ascii="Times New Roman" w:hAnsi="Times New Roman" w:eastAsia="宋体"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pPr>
            <w:r>
              <w:rPr>
                <w:rFonts w:hint="default" w:ascii="Times New Roman" w:hAnsi="Times New Roman" w:eastAsia="Segoe UI" w:cs="Times New Roman"/>
                <w:i w:val="0"/>
                <w:iCs w:val="0"/>
                <w:caps w:val="0"/>
                <w:color w:val="000000" w:themeColor="text1"/>
                <w:spacing w:val="0"/>
                <w:sz w:val="24"/>
                <w:szCs w:val="24"/>
                <w:highlight w:val="none"/>
                <w:shd w:val="clear" w:color="auto" w:fill="FFFFFF"/>
                <w14:textFill>
                  <w14:solidFill>
                    <w14:schemeClr w14:val="tx1"/>
                  </w14:solidFill>
                </w14:textFill>
              </w:rPr>
              <w:t>生产废水进入中和调节池，通过8-12小时水力停留实现水质水量均衡。池内配备机械搅拌装置和pH在线监测系统，自动投加H₂SO₄或NaOH调节pH至6-9范围，液位控制器联动提升泵稳定输送均质废水至后续单元。</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t>本项目前处理废水主要来自预脱脂、脱脂池排出的槽液以及水洗池排出的水洗废水，其中预脱脂、脱脂池排出的槽液为高浓度的酸性废水，</w:t>
            </w:r>
            <w:r>
              <w:rPr>
                <w:rFonts w:hint="default" w:ascii="Times New Roman" w:hAnsi="Times New Roman" w:eastAsia="Segoe UI"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t>参考</w:t>
            </w:r>
            <w:r>
              <w:rPr>
                <w:rFonts w:hint="default" w:ascii="Times New Roman" w:hAnsi="Times New Roman" w:eastAsia="Segoe UI" w:cs="Times New Roman"/>
                <w:i w:val="0"/>
                <w:iCs w:val="0"/>
                <w:caps w:val="0"/>
                <w:color w:val="000000" w:themeColor="text1"/>
                <w:spacing w:val="0"/>
                <w:sz w:val="24"/>
                <w:szCs w:val="24"/>
                <w:highlight w:val="none"/>
                <w:shd w:val="clear" w:color="auto" w:fill="FFFFFF"/>
                <w14:textFill>
                  <w14:solidFill>
                    <w14:schemeClr w14:val="tx1"/>
                  </w14:solidFill>
                </w14:textFill>
              </w:rPr>
              <w:t>《电镀废水处理技术规范》</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eastAsia="zh-CN"/>
                <w14:textFill>
                  <w14:solidFill>
                    <w14:schemeClr w14:val="tx1"/>
                  </w14:solidFill>
                </w14:textFill>
              </w:rPr>
              <w:t>（</w:t>
            </w:r>
            <w:r>
              <w:rPr>
                <w:rFonts w:hint="default" w:ascii="Times New Roman" w:hAnsi="Times New Roman" w:eastAsia="Segoe UI" w:cs="Times New Roman"/>
                <w:i w:val="0"/>
                <w:iCs w:val="0"/>
                <w:caps w:val="0"/>
                <w:color w:val="000000" w:themeColor="text1"/>
                <w:spacing w:val="0"/>
                <w:sz w:val="24"/>
                <w:szCs w:val="24"/>
                <w:highlight w:val="none"/>
                <w:shd w:val="clear" w:color="auto" w:fill="FFFFFF"/>
                <w14:textFill>
                  <w14:solidFill>
                    <w14:schemeClr w14:val="tx1"/>
                  </w14:solidFill>
                </w14:textFill>
              </w:rPr>
              <w:t>HJ 2002-2010</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eastAsia="zh-CN"/>
                <w14:textFill>
                  <w14:solidFill>
                    <w14:schemeClr w14:val="tx1"/>
                  </w14:solidFill>
                </w14:textFill>
              </w:rPr>
              <w:t>）</w:t>
            </w:r>
            <w:r>
              <w:rPr>
                <w:rFonts w:hint="default" w:ascii="Times New Roman" w:hAnsi="Times New Roman" w:eastAsia="Segoe UI" w:cs="Times New Roman"/>
                <w:i w:val="0"/>
                <w:iCs w:val="0"/>
                <w:caps w:val="0"/>
                <w:color w:val="000000" w:themeColor="text1"/>
                <w:spacing w:val="0"/>
                <w:sz w:val="24"/>
                <w:szCs w:val="24"/>
                <w:highlight w:val="none"/>
                <w:shd w:val="clear" w:color="auto" w:fill="FFFFFF"/>
                <w14:textFill>
                  <w14:solidFill>
                    <w14:schemeClr w14:val="tx1"/>
                  </w14:solidFill>
                </w14:textFill>
              </w:rPr>
              <w:t>附录案例</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eastAsia="zh-CN"/>
                <w14:textFill>
                  <w14:solidFill>
                    <w14:schemeClr w14:val="tx1"/>
                  </w14:solidFill>
                </w14:textFill>
              </w:rPr>
              <w:t>，</w:t>
            </w:r>
            <w:r>
              <w:rPr>
                <w:rFonts w:hint="default" w:ascii="Times New Roman" w:hAnsi="Times New Roman" w:eastAsia="Segoe UI" w:cs="Times New Roman"/>
                <w:i w:val="0"/>
                <w:iCs w:val="0"/>
                <w:caps w:val="0"/>
                <w:color w:val="000000" w:themeColor="text1"/>
                <w:spacing w:val="0"/>
                <w:sz w:val="24"/>
                <w:szCs w:val="24"/>
                <w:highlight w:val="none"/>
                <w:shd w:val="clear" w:color="auto" w:fill="FFFFFF"/>
                <w14:textFill>
                  <w14:solidFill>
                    <w14:schemeClr w14:val="tx1"/>
                  </w14:solidFill>
                </w14:textFill>
              </w:rPr>
              <w:t>中和</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t>调节</w:t>
            </w:r>
            <w:r>
              <w:rPr>
                <w:rFonts w:hint="default" w:ascii="Times New Roman" w:hAnsi="Times New Roman" w:eastAsia="Segoe UI" w:cs="Times New Roman"/>
                <w:i w:val="0"/>
                <w:iCs w:val="0"/>
                <w:caps w:val="0"/>
                <w:color w:val="000000" w:themeColor="text1"/>
                <w:spacing w:val="0"/>
                <w:sz w:val="24"/>
                <w:szCs w:val="24"/>
                <w:highlight w:val="none"/>
                <w:shd w:val="clear" w:color="auto" w:fill="FFFFFF"/>
                <w14:textFill>
                  <w14:solidFill>
                    <w14:schemeClr w14:val="tx1"/>
                  </w14:solidFill>
                </w14:textFill>
              </w:rPr>
              <w:t>后COD去除率约12%～18%</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t>。</w:t>
            </w:r>
          </w:p>
          <w:p w14:paraId="237083A7">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②混凝沉淀</w:t>
            </w:r>
          </w:p>
          <w:p w14:paraId="443C63A8">
            <w:pPr>
              <w:keepNext/>
              <w:keepLines/>
              <w:pageBreakBefore w:val="0"/>
              <w:widowControl w:val="0"/>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3"/>
              <w:rPr>
                <w:rFonts w:hint="default" w:ascii="Times New Roman" w:hAnsi="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eastAsia="Segoe UI" w:cs="Times New Roman"/>
                <w:i w:val="0"/>
                <w:iCs w:val="0"/>
                <w:caps w:val="0"/>
                <w:color w:val="000000" w:themeColor="text1"/>
                <w:spacing w:val="0"/>
                <w:sz w:val="24"/>
                <w:szCs w:val="24"/>
                <w:highlight w:val="none"/>
                <w:shd w:val="clear" w:color="auto" w:fill="FFFFFF"/>
                <w14:textFill>
                  <w14:solidFill>
                    <w14:schemeClr w14:val="tx1"/>
                  </w14:solidFill>
                </w14:textFill>
              </w:rPr>
              <w:t>均质废水经提升泵进入混凝反应池，依次投加PAC和PAM，快混阶段实现胶体脱稳，慢混阶段形成毫米级矾花。混合液进入斜板沉淀池，污泥沉降至泥斗定期排放</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t>根据《污水处理工程技术规范》（HJ 2008-2010）中“5.3.2 混凝沉淀工艺的设计参数及处理效率”提到污染物去除效率分别为SS：70%、COD</w:t>
            </w:r>
            <w:r>
              <w:rPr>
                <w:rFonts w:hint="default" w:ascii="Times New Roman" w:hAnsi="Times New Roman" w:eastAsia="宋体" w:cs="Times New Roman"/>
                <w:i w:val="0"/>
                <w:iCs w:val="0"/>
                <w:caps w:val="0"/>
                <w:color w:val="000000" w:themeColor="text1"/>
                <w:spacing w:val="0"/>
                <w:sz w:val="24"/>
                <w:szCs w:val="24"/>
                <w:highlight w:val="none"/>
                <w:shd w:val="clear" w:color="auto" w:fill="FFFFFF"/>
                <w:vertAlign w:val="subscript"/>
                <w:lang w:val="en-US" w:eastAsia="zh-CN"/>
                <w14:textFill>
                  <w14:solidFill>
                    <w14:schemeClr w14:val="tx1"/>
                  </w14:solidFill>
                </w14:textFill>
              </w:rPr>
              <w:t>Cr</w:t>
            </w:r>
            <w:r>
              <w:rPr>
                <w:rFonts w:hint="default" w:ascii="Times New Roman" w:hAnsi="Times New Roman" w:eastAsia="宋体"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t>：40%。</w:t>
            </w:r>
          </w:p>
          <w:p w14:paraId="4651CDA4">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③气浮单元</w:t>
            </w:r>
          </w:p>
          <w:p w14:paraId="4522243C">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混凝出水进入溶气气浮系统（DAF），溶气水压力0.3-0.5MPa，回流比30%-50%，释放30-50μm微气泡吸附石油类及LAS。浮渣由刮渣机清除。根据《气浮设备技术条件》（JB/T 11645-2013）：石油类去除率60%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80%，本项目取60%，气浮工艺对悬浮物（SS）的去除效率通常为50%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70%，本项目取80%；《污水气浮处理工程技术规范》（T/CECS 548-2018）：LAS去除率20%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30%。</w:t>
            </w:r>
          </w:p>
          <w:p w14:paraId="09B314F5">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④污泥处理系统</w:t>
            </w:r>
          </w:p>
          <w:p w14:paraId="07CAD54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各单元污泥（SS污泥、浮渣、含氟污泥）汇集至浓缩池，投加0.1%-0.3%PAM改性后通过板框压滤脱水</w:t>
            </w:r>
            <w:r>
              <w:rPr>
                <w:rFonts w:hint="default"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，脱水后污泥含水率按60%计算，污泥按作危险废物交由有处理资质的单位处理。</w:t>
            </w:r>
          </w:p>
          <w:p w14:paraId="4A76B854">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根据建设单位提供的废水处理方案，本项目废水处理设施处理能力为</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50</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m</w:t>
            </w:r>
            <w:r>
              <w:rPr>
                <w:rFonts w:hint="default" w:ascii="Times New Roman" w:hAnsi="Times New Roman" w:eastAsia="宋体" w:cs="Times New Roman"/>
                <w:b w:val="0"/>
                <w:bCs w:val="0"/>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/d，项目废水处理设施主要构筑物参数：</w:t>
            </w:r>
          </w:p>
          <w:p w14:paraId="75FEA409">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eastAsia"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表4-2</w:t>
            </w:r>
            <w:r>
              <w:rPr>
                <w:rFonts w:hint="eastAsia" w:cs="Times New Roman"/>
                <w:b/>
                <w:bCs/>
                <w:color w:val="000000" w:themeColor="text1"/>
                <w:kern w:val="2"/>
                <w:sz w:val="21"/>
                <w:szCs w:val="21"/>
                <w:lang w:val="en-US" w:eastAsia="zh-CN" w:bidi="ar-SA"/>
                <w14:textFill>
                  <w14:solidFill>
                    <w14:schemeClr w14:val="tx1"/>
                  </w14:solidFill>
                </w14:textFill>
              </w:rPr>
              <w:t xml:space="preserve">7 </w:t>
            </w:r>
            <w:r>
              <w:rPr>
                <w:rFonts w:hint="default" w:ascii="Times New Roman" w:hAnsi="Times New Roman" w:cs="Times New Roman"/>
                <w:b/>
                <w:bCs/>
                <w:color w:val="000000" w:themeColor="text1"/>
                <w:sz w:val="21"/>
                <w:szCs w:val="21"/>
                <w:highlight w:val="none"/>
                <w14:textFill>
                  <w14:solidFill>
                    <w14:schemeClr w14:val="tx1"/>
                  </w14:solidFill>
                </w14:textFill>
              </w:rPr>
              <w:t>项目污水处理站废水处理</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单元</w:t>
            </w:r>
            <w:r>
              <w:rPr>
                <w:rFonts w:hint="eastAsia" w:cs="Times New Roman"/>
                <w:b/>
                <w:bCs/>
                <w:color w:val="000000" w:themeColor="text1"/>
                <w:sz w:val="21"/>
                <w:szCs w:val="21"/>
                <w:highlight w:val="none"/>
                <w:lang w:val="en-US" w:eastAsia="zh-CN"/>
                <w14:textFill>
                  <w14:solidFill>
                    <w14:schemeClr w14:val="tx1"/>
                  </w14:solidFill>
                </w14:textFill>
              </w:rPr>
              <w:t>去除效率</w:t>
            </w:r>
          </w:p>
          <w:tbl>
            <w:tblPr>
              <w:tblStyle w:val="44"/>
              <w:tblW w:w="1414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8"/>
              <w:gridCol w:w="1081"/>
              <w:gridCol w:w="719"/>
              <w:gridCol w:w="666"/>
              <w:gridCol w:w="734"/>
              <w:gridCol w:w="869"/>
              <w:gridCol w:w="719"/>
              <w:gridCol w:w="651"/>
              <w:gridCol w:w="779"/>
              <w:gridCol w:w="651"/>
              <w:gridCol w:w="651"/>
              <w:gridCol w:w="666"/>
            </w:tblGrid>
            <w:tr w14:paraId="1763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694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各级处理效果各项指标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9C6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CODCr</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D9F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BOD5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F37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SS</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A52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氨氮</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924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氟化物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497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TP</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A73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TN</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7D6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LAS</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976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总铝</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563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石油类</w:t>
                  </w:r>
                </w:p>
              </w:tc>
            </w:tr>
            <w:tr w14:paraId="44C13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29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生产废水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0F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进水（</w:t>
                  </w: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mg/L</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C5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A3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86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77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15.4</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165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FF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8D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60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07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06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32.1</w:t>
                  </w:r>
                </w:p>
              </w:tc>
            </w:tr>
            <w:tr w14:paraId="2BD62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F1A2">
                  <w:pPr>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33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中和调节池去除效率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2F67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68A9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51A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98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707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20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794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F26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64A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17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w:t>
                  </w:r>
                </w:p>
              </w:tc>
            </w:tr>
            <w:tr w14:paraId="66026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EA6E">
                  <w:pPr>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F49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处理后浓度（</w:t>
                  </w: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mg/L</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65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342.2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06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121.3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39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60.3 </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59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14.6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E2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105.7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4F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0.8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02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43.9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5ED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1.0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B88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38.3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27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31.1 </w:t>
                  </w:r>
                </w:p>
              </w:tc>
            </w:tr>
            <w:tr w14:paraId="35A2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F1507">
                  <w:pPr>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A4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气浮去除效率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FA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27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A1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21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EB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8B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92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A5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C09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36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w:t>
                  </w:r>
                </w:p>
              </w:tc>
            </w:tr>
            <w:tr w14:paraId="065F6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84F0">
                  <w:pPr>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D4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处理后浓度（</w:t>
                  </w: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mg/L</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2B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205.3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018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78.8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8D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9.0 </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E95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13.9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4AA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100.4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21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0.5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AA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41.7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FC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1D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21.1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C4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4.7 </w:t>
                  </w:r>
                </w:p>
              </w:tc>
            </w:tr>
            <w:tr w14:paraId="54824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EE03">
                  <w:pPr>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0F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化学除氟去除效率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5F02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BE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C4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71B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69C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CB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5A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03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01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4FA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w:t>
                  </w:r>
                </w:p>
              </w:tc>
            </w:tr>
            <w:tr w14:paraId="02980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AE5A8">
                  <w:pPr>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F7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处理后浓度（</w:t>
                  </w: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mg/L</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8E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180.7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58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70.9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C4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3.6 </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F9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13.2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2A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15.1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57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0.1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AB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39.6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09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0.3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B7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7.4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E54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4.3 </w:t>
                  </w:r>
                </w:p>
              </w:tc>
            </w:tr>
            <w:tr w14:paraId="4152A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4140">
                  <w:pPr>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180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混凝沉淀去除效率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B5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8A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4B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33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F78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EC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FC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E6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E55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B4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r>
            <w:tr w14:paraId="5F0F4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242F">
                  <w:pPr>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8D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处理后浓度（</w:t>
                  </w: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mg/L</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778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126.5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A8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53.2 </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6D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0.9 </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8B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12.5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03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9.8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D23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0.1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940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37.6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460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0.2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9C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1.8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7D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4.1 </w:t>
                  </w:r>
                </w:p>
              </w:tc>
            </w:tr>
            <w:tr w14:paraId="6859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13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综合治理效率</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742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72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861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CC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045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8B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7E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B05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06C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96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w:t>
                  </w:r>
                </w:p>
              </w:tc>
            </w:tr>
            <w:tr w14:paraId="60990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71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执行标准排放限值（</w:t>
                  </w: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mg/L</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AA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397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≤150</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97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1C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2F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78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54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06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A7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E56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w:t>
                  </w:r>
                </w:p>
              </w:tc>
            </w:tr>
          </w:tbl>
          <w:p w14:paraId="176A81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p w14:paraId="5EB79C25">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根据上表计算，本项目生产废水经</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eastAsia="zh-CN"/>
                <w14:textFill>
                  <w14:solidFill>
                    <w14:schemeClr w14:val="tx1"/>
                  </w14:solidFill>
                </w14:textFill>
              </w:rPr>
              <w:t>中和调节+混凝沉淀+气浮+化学除氟</w:t>
            </w:r>
            <w:r>
              <w:rPr>
                <w:rFonts w:hint="default" w:ascii="Times New Roman" w:hAnsi="Times New Roman" w:cs="Times New Roman"/>
                <w:color w:val="000000" w:themeColor="text1"/>
                <w:sz w:val="24"/>
                <w:szCs w:val="24"/>
                <w:highlight w:val="none"/>
                <w14:textFill>
                  <w14:solidFill>
                    <w14:schemeClr w14:val="tx1"/>
                  </w14:solidFill>
                </w14:textFill>
              </w:rPr>
              <w:t>”处理</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后达到园区污水处理厂接管水质要求、广东省《水污染物排放限值》（DB44/26-2001）第二时段三级标准以及《电镀水污染物排放标准》（DB44/1597-2015）</w:t>
            </w:r>
            <w:r>
              <w:rPr>
                <w:rFonts w:hint="eastAsia" w:cs="Times New Roman"/>
                <w:color w:val="000000" w:themeColor="text1"/>
                <w:sz w:val="24"/>
                <w:szCs w:val="24"/>
                <w:highlight w:val="none"/>
                <w:lang w:val="en-US" w:eastAsia="zh-CN"/>
                <w14:textFill>
                  <w14:solidFill>
                    <w14:schemeClr w14:val="tx1"/>
                  </w14:solidFill>
                </w14:textFill>
              </w:rPr>
              <w:t>表1现有项目水污染物非珠三角排放限值200%（其中总铝按表2新建项目水污染物排放限值-非珠三角地区执行）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三者较严值要求，满足进入园区污水处理厂的要求。</w:t>
            </w:r>
          </w:p>
          <w:p w14:paraId="0771B96A">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2.3项目水污染物排放信息</w:t>
            </w:r>
          </w:p>
          <w:p w14:paraId="42CEEBF4">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表4-2</w:t>
            </w:r>
            <w:r>
              <w:rPr>
                <w:rFonts w:hint="eastAsia" w:cs="Times New Roman"/>
                <w:b/>
                <w:bCs/>
                <w:color w:val="000000" w:themeColor="text1"/>
                <w:kern w:val="2"/>
                <w:sz w:val="21"/>
                <w:szCs w:val="21"/>
                <w:lang w:val="en-US" w:eastAsia="zh-CN" w:bidi="ar-SA"/>
                <w14:textFill>
                  <w14:solidFill>
                    <w14:schemeClr w14:val="tx1"/>
                  </w14:solidFill>
                </w14:textFill>
              </w:rPr>
              <w:t>8</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废水类别、污染物及污染治理设施信息表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1151"/>
              <w:gridCol w:w="543"/>
              <w:gridCol w:w="944"/>
              <w:gridCol w:w="710"/>
              <w:gridCol w:w="833"/>
              <w:gridCol w:w="794"/>
              <w:gridCol w:w="556"/>
              <w:gridCol w:w="821"/>
              <w:gridCol w:w="1475"/>
            </w:tblGrid>
            <w:tr w14:paraId="3F6D86B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36" w:type="pct"/>
                  <w:vMerge w:val="restart"/>
                  <w:noWrap w:val="0"/>
                  <w:vAlign w:val="center"/>
                </w:tcPr>
                <w:p w14:paraId="7361959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废水类别</w:t>
                  </w:r>
                </w:p>
              </w:tc>
              <w:tc>
                <w:tcPr>
                  <w:tcW w:w="685" w:type="pct"/>
                  <w:vMerge w:val="restart"/>
                  <w:noWrap w:val="0"/>
                  <w:vAlign w:val="center"/>
                </w:tcPr>
                <w:p w14:paraId="0D8BB78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污染物种类</w:t>
                  </w:r>
                </w:p>
              </w:tc>
              <w:tc>
                <w:tcPr>
                  <w:tcW w:w="323" w:type="pct"/>
                  <w:vMerge w:val="restart"/>
                  <w:noWrap w:val="0"/>
                  <w:vAlign w:val="center"/>
                </w:tcPr>
                <w:p w14:paraId="1DD7AC5F">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排放去向</w:t>
                  </w:r>
                </w:p>
              </w:tc>
              <w:tc>
                <w:tcPr>
                  <w:tcW w:w="562" w:type="pct"/>
                  <w:vMerge w:val="restart"/>
                  <w:noWrap w:val="0"/>
                  <w:vAlign w:val="center"/>
                </w:tcPr>
                <w:p w14:paraId="5A4A0002">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排放规律</w:t>
                  </w:r>
                </w:p>
              </w:tc>
              <w:tc>
                <w:tcPr>
                  <w:tcW w:w="1392" w:type="pct"/>
                  <w:gridSpan w:val="3"/>
                  <w:noWrap w:val="0"/>
                  <w:vAlign w:val="center"/>
                </w:tcPr>
                <w:p w14:paraId="17AA1EF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污染治理设施</w:t>
                  </w:r>
                </w:p>
              </w:tc>
              <w:tc>
                <w:tcPr>
                  <w:tcW w:w="331" w:type="pct"/>
                  <w:vMerge w:val="restart"/>
                  <w:noWrap w:val="0"/>
                  <w:vAlign w:val="center"/>
                </w:tcPr>
                <w:p w14:paraId="5150D35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排放口编号</w:t>
                  </w:r>
                </w:p>
              </w:tc>
              <w:tc>
                <w:tcPr>
                  <w:tcW w:w="489" w:type="pct"/>
                  <w:vMerge w:val="restart"/>
                  <w:noWrap w:val="0"/>
                  <w:vAlign w:val="center"/>
                </w:tcPr>
                <w:p w14:paraId="6E13199E">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排放口设置是否符合要求</w:t>
                  </w:r>
                </w:p>
              </w:tc>
              <w:tc>
                <w:tcPr>
                  <w:tcW w:w="878" w:type="pct"/>
                  <w:vMerge w:val="restart"/>
                  <w:noWrap w:val="0"/>
                  <w:vAlign w:val="center"/>
                </w:tcPr>
                <w:p w14:paraId="031891A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排放口类型</w:t>
                  </w:r>
                </w:p>
              </w:tc>
            </w:tr>
            <w:tr w14:paraId="5EEF7AC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vMerge w:val="continue"/>
                  <w:noWrap w:val="0"/>
                  <w:vAlign w:val="center"/>
                </w:tcPr>
                <w:p w14:paraId="47B305D7">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85" w:type="pct"/>
                  <w:vMerge w:val="continue"/>
                  <w:noWrap w:val="0"/>
                  <w:vAlign w:val="center"/>
                </w:tcPr>
                <w:p w14:paraId="34B00446">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323" w:type="pct"/>
                  <w:vMerge w:val="continue"/>
                  <w:noWrap w:val="0"/>
                  <w:vAlign w:val="center"/>
                </w:tcPr>
                <w:p w14:paraId="18DF28D1">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62" w:type="pct"/>
                  <w:vMerge w:val="continue"/>
                  <w:noWrap w:val="0"/>
                  <w:vAlign w:val="center"/>
                </w:tcPr>
                <w:p w14:paraId="1FA80599">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423" w:type="pct"/>
                  <w:noWrap w:val="0"/>
                  <w:vAlign w:val="center"/>
                </w:tcPr>
                <w:p w14:paraId="7A34D9A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污染治理设施编号</w:t>
                  </w:r>
                </w:p>
              </w:tc>
              <w:tc>
                <w:tcPr>
                  <w:tcW w:w="496" w:type="pct"/>
                  <w:noWrap w:val="0"/>
                  <w:vAlign w:val="center"/>
                </w:tcPr>
                <w:p w14:paraId="1806237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污染治理设施名称</w:t>
                  </w:r>
                </w:p>
              </w:tc>
              <w:tc>
                <w:tcPr>
                  <w:tcW w:w="473" w:type="pct"/>
                  <w:noWrap w:val="0"/>
                  <w:vAlign w:val="center"/>
                </w:tcPr>
                <w:p w14:paraId="16BC7EE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污染治理设施工艺</w:t>
                  </w:r>
                </w:p>
              </w:tc>
              <w:tc>
                <w:tcPr>
                  <w:tcW w:w="331" w:type="pct"/>
                  <w:vMerge w:val="continue"/>
                  <w:noWrap w:val="0"/>
                  <w:vAlign w:val="center"/>
                </w:tcPr>
                <w:p w14:paraId="0CC9D02F">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489" w:type="pct"/>
                  <w:vMerge w:val="continue"/>
                  <w:noWrap w:val="0"/>
                  <w:vAlign w:val="center"/>
                </w:tcPr>
                <w:p w14:paraId="21B9814E">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878" w:type="pct"/>
                  <w:vMerge w:val="continue"/>
                  <w:noWrap w:val="0"/>
                  <w:vAlign w:val="center"/>
                </w:tcPr>
                <w:p w14:paraId="11986A8E">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r w14:paraId="1996CD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noWrap w:val="0"/>
                  <w:vAlign w:val="center"/>
                </w:tcPr>
                <w:p w14:paraId="4E4E683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生活污水</w:t>
                  </w:r>
                </w:p>
              </w:tc>
              <w:tc>
                <w:tcPr>
                  <w:tcW w:w="685" w:type="pct"/>
                  <w:noWrap w:val="0"/>
                  <w:vAlign w:val="center"/>
                </w:tcPr>
                <w:p w14:paraId="106953C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pH、COD</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Cr</w:t>
                  </w:r>
                  <w:r>
                    <w:rPr>
                      <w:rFonts w:hint="default" w:ascii="Times New Roman" w:hAnsi="Times New Roman" w:cs="Times New Roman"/>
                      <w:color w:val="000000" w:themeColor="text1"/>
                      <w:kern w:val="2"/>
                      <w:sz w:val="21"/>
                      <w:szCs w:val="21"/>
                      <w:highlight w:val="none"/>
                      <w14:textFill>
                        <w14:solidFill>
                          <w14:schemeClr w14:val="tx1"/>
                        </w14:solidFill>
                      </w14:textFill>
                    </w:rPr>
                    <w:t>、BOD</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5</w:t>
                  </w:r>
                  <w:r>
                    <w:rPr>
                      <w:rFonts w:hint="default" w:ascii="Times New Roman" w:hAnsi="Times New Roman" w:cs="Times New Roman"/>
                      <w:color w:val="000000" w:themeColor="text1"/>
                      <w:kern w:val="2"/>
                      <w:sz w:val="21"/>
                      <w:szCs w:val="21"/>
                      <w:highlight w:val="none"/>
                      <w14:textFill>
                        <w14:solidFill>
                          <w14:schemeClr w14:val="tx1"/>
                        </w14:solidFill>
                      </w14:textFill>
                    </w:rPr>
                    <w:t>、SS、氨氮</w:t>
                  </w:r>
                  <w:r>
                    <w:rPr>
                      <w:rFonts w:hint="default"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总磷、动植物油</w:t>
                  </w:r>
                </w:p>
              </w:tc>
              <w:tc>
                <w:tcPr>
                  <w:tcW w:w="323" w:type="pct"/>
                  <w:vMerge w:val="restart"/>
                  <w:noWrap w:val="0"/>
                  <w:vAlign w:val="center"/>
                </w:tcPr>
                <w:p w14:paraId="019A2EE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进入</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城镇</w:t>
                  </w:r>
                  <w:r>
                    <w:rPr>
                      <w:rFonts w:hint="default" w:ascii="Times New Roman" w:hAnsi="Times New Roman" w:cs="Times New Roman"/>
                      <w:color w:val="000000" w:themeColor="text1"/>
                      <w:kern w:val="2"/>
                      <w:sz w:val="21"/>
                      <w:szCs w:val="21"/>
                      <w:highlight w:val="none"/>
                      <w14:textFill>
                        <w14:solidFill>
                          <w14:schemeClr w14:val="tx1"/>
                        </w14:solidFill>
                      </w14:textFill>
                    </w:rPr>
                    <w:t>污水处理厂</w:t>
                  </w:r>
                </w:p>
              </w:tc>
              <w:tc>
                <w:tcPr>
                  <w:tcW w:w="562" w:type="pct"/>
                  <w:vMerge w:val="restart"/>
                  <w:noWrap w:val="0"/>
                  <w:vAlign w:val="center"/>
                </w:tcPr>
                <w:p w14:paraId="2915A113">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间歇排放，流量不稳定，但不属于冲击型排放</w:t>
                  </w:r>
                </w:p>
              </w:tc>
              <w:tc>
                <w:tcPr>
                  <w:tcW w:w="423" w:type="pct"/>
                  <w:noWrap w:val="0"/>
                  <w:vAlign w:val="center"/>
                </w:tcPr>
                <w:p w14:paraId="1029C36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TW001</w:t>
                  </w:r>
                </w:p>
              </w:tc>
              <w:tc>
                <w:tcPr>
                  <w:tcW w:w="496" w:type="pct"/>
                  <w:noWrap w:val="0"/>
                  <w:vAlign w:val="center"/>
                </w:tcPr>
                <w:p w14:paraId="2F22DE83">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三级化粪池</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+隔油隔渣池</w:t>
                  </w:r>
                </w:p>
              </w:tc>
              <w:tc>
                <w:tcPr>
                  <w:tcW w:w="473" w:type="pct"/>
                  <w:noWrap w:val="0"/>
                  <w:vAlign w:val="center"/>
                </w:tcPr>
                <w:p w14:paraId="398CAA17">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化粪池</w:t>
                  </w:r>
                </w:p>
              </w:tc>
              <w:tc>
                <w:tcPr>
                  <w:tcW w:w="331" w:type="pct"/>
                  <w:noWrap w:val="0"/>
                  <w:vAlign w:val="center"/>
                </w:tcPr>
                <w:p w14:paraId="31B1684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DW001</w:t>
                  </w:r>
                </w:p>
              </w:tc>
              <w:tc>
                <w:tcPr>
                  <w:tcW w:w="489" w:type="pct"/>
                  <w:noWrap w:val="0"/>
                  <w:vAlign w:val="center"/>
                </w:tcPr>
                <w:p w14:paraId="3170A6FA">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52"/>
                  </w:r>
                  <w:r>
                    <w:rPr>
                      <w:rFonts w:hint="default" w:ascii="Times New Roman" w:hAnsi="Times New Roman" w:cs="Times New Roman"/>
                      <w:color w:val="000000" w:themeColor="text1"/>
                      <w:sz w:val="21"/>
                      <w:szCs w:val="21"/>
                      <w:highlight w:val="none"/>
                      <w14:textFill>
                        <w14:solidFill>
                          <w14:schemeClr w14:val="tx1"/>
                        </w14:solidFill>
                      </w14:textFill>
                    </w:rPr>
                    <w:t>是</w:t>
                  </w:r>
                </w:p>
                <w:p w14:paraId="72C9F0BA">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否</w:t>
                  </w:r>
                </w:p>
              </w:tc>
              <w:tc>
                <w:tcPr>
                  <w:tcW w:w="878" w:type="pct"/>
                  <w:noWrap w:val="0"/>
                  <w:vAlign w:val="center"/>
                </w:tcPr>
                <w:p w14:paraId="674C26E4">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52"/>
                  </w:r>
                  <w:r>
                    <w:rPr>
                      <w:rFonts w:hint="default" w:ascii="Times New Roman" w:hAnsi="Times New Roman" w:cs="Times New Roman"/>
                      <w:color w:val="000000" w:themeColor="text1"/>
                      <w:sz w:val="21"/>
                      <w:szCs w:val="21"/>
                      <w:highlight w:val="none"/>
                      <w14:textFill>
                        <w14:solidFill>
                          <w14:schemeClr w14:val="tx1"/>
                        </w14:solidFill>
                      </w14:textFill>
                    </w:rPr>
                    <w:t>企业总排</w:t>
                  </w:r>
                </w:p>
                <w:p w14:paraId="669A4099">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雨水排放</w:t>
                  </w:r>
                </w:p>
                <w:p w14:paraId="097FC8F0">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清净下水排放</w:t>
                  </w:r>
                </w:p>
                <w:p w14:paraId="77C68917">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温排水排放</w:t>
                  </w:r>
                </w:p>
                <w:p w14:paraId="7B45540F">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车间或车间处理设施排放口</w:t>
                  </w:r>
                </w:p>
              </w:tc>
            </w:tr>
            <w:tr w14:paraId="3BCEC6D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tcBorders>
                    <w:bottom w:val="single" w:color="auto" w:sz="4" w:space="0"/>
                  </w:tcBorders>
                  <w:noWrap w:val="0"/>
                  <w:vAlign w:val="center"/>
                </w:tcPr>
                <w:p w14:paraId="189E0DF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生产废水</w:t>
                  </w:r>
                </w:p>
              </w:tc>
              <w:tc>
                <w:tcPr>
                  <w:tcW w:w="685" w:type="pct"/>
                  <w:tcBorders>
                    <w:bottom w:val="single" w:color="auto" w:sz="4" w:space="0"/>
                  </w:tcBorders>
                  <w:noWrap w:val="0"/>
                  <w:vAlign w:val="center"/>
                </w:tcPr>
                <w:p w14:paraId="11CE2D58">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pH、COD</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Cr</w:t>
                  </w:r>
                  <w:r>
                    <w:rPr>
                      <w:rFonts w:hint="default" w:ascii="Times New Roman" w:hAnsi="Times New Roman" w:cs="Times New Roman"/>
                      <w:color w:val="000000" w:themeColor="text1"/>
                      <w:kern w:val="2"/>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BOD</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、NH</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w:t>
                  </w:r>
                  <w:r>
                    <w:rPr>
                      <w:rFonts w:hint="default" w:ascii="Times New Roman" w:hAnsi="Times New Roman" w:cs="Times New Roman"/>
                      <w:color w:val="000000" w:themeColor="text1"/>
                      <w:kern w:val="2"/>
                      <w:sz w:val="21"/>
                      <w:szCs w:val="21"/>
                      <w:highlight w:val="none"/>
                      <w14:textFill>
                        <w14:solidFill>
                          <w14:schemeClr w14:val="tx1"/>
                        </w14:solidFill>
                      </w14:textFill>
                    </w:rPr>
                    <w:t>SS、阴离子表面活性剂、氟化物、石油类</w:t>
                  </w:r>
                </w:p>
              </w:tc>
              <w:tc>
                <w:tcPr>
                  <w:tcW w:w="323" w:type="pct"/>
                  <w:vMerge w:val="continue"/>
                  <w:tcBorders>
                    <w:bottom w:val="single" w:color="auto" w:sz="4" w:space="0"/>
                  </w:tcBorders>
                  <w:noWrap w:val="0"/>
                  <w:vAlign w:val="center"/>
                </w:tcPr>
                <w:p w14:paraId="4713FE6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562" w:type="pct"/>
                  <w:vMerge w:val="continue"/>
                  <w:tcBorders>
                    <w:bottom w:val="single" w:color="auto" w:sz="4" w:space="0"/>
                  </w:tcBorders>
                  <w:noWrap w:val="0"/>
                  <w:vAlign w:val="center"/>
                </w:tcPr>
                <w:p w14:paraId="6EAB513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423" w:type="pct"/>
                  <w:tcBorders>
                    <w:bottom w:val="single" w:color="auto" w:sz="4" w:space="0"/>
                  </w:tcBorders>
                  <w:noWrap w:val="0"/>
                  <w:vAlign w:val="center"/>
                </w:tcPr>
                <w:p w14:paraId="4DD074C6">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TW002</w:t>
                  </w:r>
                </w:p>
              </w:tc>
              <w:tc>
                <w:tcPr>
                  <w:tcW w:w="496" w:type="pct"/>
                  <w:tcBorders>
                    <w:bottom w:val="single" w:color="auto" w:sz="4" w:space="0"/>
                  </w:tcBorders>
                  <w:noWrap w:val="0"/>
                  <w:vAlign w:val="center"/>
                </w:tcPr>
                <w:p w14:paraId="71A2246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废水处理站</w:t>
                  </w:r>
                </w:p>
              </w:tc>
              <w:tc>
                <w:tcPr>
                  <w:tcW w:w="473" w:type="pct"/>
                  <w:tcBorders>
                    <w:bottom w:val="single" w:color="auto" w:sz="4" w:space="0"/>
                  </w:tcBorders>
                  <w:noWrap w:val="0"/>
                  <w:vAlign w:val="center"/>
                </w:tcPr>
                <w:p w14:paraId="27B9F55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eastAsia" w:ascii="Times New Roman" w:hAnsi="Times New Roman" w:eastAsia="宋体" w:cs="Times New Roman"/>
                      <w:color w:val="000000" w:themeColor="text1"/>
                      <w:kern w:val="2"/>
                      <w:sz w:val="21"/>
                      <w:szCs w:val="21"/>
                      <w:highlight w:val="none"/>
                      <w:lang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中和调节+混凝沉淀+气浮+化学除氟</w:t>
                  </w:r>
                </w:p>
              </w:tc>
              <w:tc>
                <w:tcPr>
                  <w:tcW w:w="331" w:type="pct"/>
                  <w:tcBorders>
                    <w:bottom w:val="single" w:color="auto" w:sz="4" w:space="0"/>
                  </w:tcBorders>
                  <w:noWrap w:val="0"/>
                  <w:vAlign w:val="center"/>
                </w:tcPr>
                <w:p w14:paraId="066B6CD5">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DW00</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2</w:t>
                  </w:r>
                </w:p>
              </w:tc>
              <w:tc>
                <w:tcPr>
                  <w:tcW w:w="489" w:type="pct"/>
                  <w:tcBorders>
                    <w:bottom w:val="single" w:color="auto" w:sz="4" w:space="0"/>
                  </w:tcBorders>
                  <w:noWrap w:val="0"/>
                  <w:vAlign w:val="center"/>
                </w:tcPr>
                <w:p w14:paraId="28108464">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52"/>
                  </w:r>
                  <w:r>
                    <w:rPr>
                      <w:rFonts w:hint="default" w:ascii="Times New Roman" w:hAnsi="Times New Roman" w:cs="Times New Roman"/>
                      <w:color w:val="000000" w:themeColor="text1"/>
                      <w:sz w:val="21"/>
                      <w:szCs w:val="21"/>
                      <w:highlight w:val="none"/>
                      <w14:textFill>
                        <w14:solidFill>
                          <w14:schemeClr w14:val="tx1"/>
                        </w14:solidFill>
                      </w14:textFill>
                    </w:rPr>
                    <w:t>是</w:t>
                  </w:r>
                </w:p>
                <w:p w14:paraId="4D670C1D">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否</w:t>
                  </w:r>
                </w:p>
              </w:tc>
              <w:tc>
                <w:tcPr>
                  <w:tcW w:w="878" w:type="pct"/>
                  <w:tcBorders>
                    <w:bottom w:val="single" w:color="auto" w:sz="4" w:space="0"/>
                  </w:tcBorders>
                  <w:noWrap w:val="0"/>
                  <w:vAlign w:val="center"/>
                </w:tcPr>
                <w:p w14:paraId="4386997C">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52"/>
                  </w:r>
                  <w:r>
                    <w:rPr>
                      <w:rFonts w:hint="default" w:ascii="Times New Roman" w:hAnsi="Times New Roman" w:cs="Times New Roman"/>
                      <w:color w:val="000000" w:themeColor="text1"/>
                      <w:sz w:val="21"/>
                      <w:szCs w:val="21"/>
                      <w:highlight w:val="none"/>
                      <w14:textFill>
                        <w14:solidFill>
                          <w14:schemeClr w14:val="tx1"/>
                        </w14:solidFill>
                      </w14:textFill>
                    </w:rPr>
                    <w:t>企业总排</w:t>
                  </w:r>
                </w:p>
                <w:p w14:paraId="0EE4ED93">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雨水排放</w:t>
                  </w:r>
                </w:p>
                <w:p w14:paraId="2DB4AF8D">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清净下水排放</w:t>
                  </w:r>
                </w:p>
                <w:p w14:paraId="0FD2A979">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温排水排放</w:t>
                  </w:r>
                </w:p>
                <w:p w14:paraId="5E997A3F">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车间或车间处理设施排放口</w:t>
                  </w:r>
                </w:p>
              </w:tc>
            </w:tr>
          </w:tbl>
          <w:p w14:paraId="4FE1FB87">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p w14:paraId="676A3A3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29</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废水污染物排放执行标准表</w:t>
            </w:r>
          </w:p>
          <w:tbl>
            <w:tblPr>
              <w:tblStyle w:val="44"/>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10" w:type="dxa"/>
                <w:bottom w:w="0" w:type="dxa"/>
                <w:right w:w="10" w:type="dxa"/>
              </w:tblCellMar>
            </w:tblPr>
            <w:tblGrid>
              <w:gridCol w:w="386"/>
              <w:gridCol w:w="836"/>
              <w:gridCol w:w="1419"/>
              <w:gridCol w:w="3203"/>
              <w:gridCol w:w="2542"/>
            </w:tblGrid>
            <w:tr w14:paraId="28270E0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vMerge w:val="restart"/>
                  <w:tcBorders>
                    <w:tl2br w:val="nil"/>
                    <w:tr2bl w:val="nil"/>
                  </w:tcBorders>
                  <w:noWrap w:val="0"/>
                  <w:vAlign w:val="center"/>
                </w:tcPr>
                <w:p w14:paraId="19AF57D4">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t>序号</w:t>
                  </w:r>
                </w:p>
              </w:tc>
              <w:tc>
                <w:tcPr>
                  <w:tcW w:w="498" w:type="pct"/>
                  <w:vMerge w:val="restart"/>
                  <w:tcBorders>
                    <w:tl2br w:val="nil"/>
                    <w:tr2bl w:val="nil"/>
                  </w:tcBorders>
                  <w:noWrap w:val="0"/>
                  <w:vAlign w:val="center"/>
                </w:tcPr>
                <w:p w14:paraId="10A7B2A1">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t>排放口编号</w:t>
                  </w:r>
                </w:p>
              </w:tc>
              <w:tc>
                <w:tcPr>
                  <w:tcW w:w="846" w:type="pct"/>
                  <w:vMerge w:val="restart"/>
                  <w:tcBorders>
                    <w:tl2br w:val="nil"/>
                    <w:tr2bl w:val="nil"/>
                  </w:tcBorders>
                  <w:noWrap w:val="0"/>
                  <w:vAlign w:val="center"/>
                </w:tcPr>
                <w:p w14:paraId="0D4D451D">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t>污染物种类</w:t>
                  </w:r>
                </w:p>
              </w:tc>
              <w:tc>
                <w:tcPr>
                  <w:tcW w:w="3424" w:type="pct"/>
                  <w:gridSpan w:val="2"/>
                  <w:tcBorders>
                    <w:tl2br w:val="nil"/>
                    <w:tr2bl w:val="nil"/>
                  </w:tcBorders>
                  <w:noWrap w:val="0"/>
                  <w:vAlign w:val="center"/>
                </w:tcPr>
                <w:p w14:paraId="6F834ED4">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t>国家或地方污染物排放标准及其他按规定商定的排放协议</w:t>
                  </w:r>
                </w:p>
              </w:tc>
            </w:tr>
            <w:tr w14:paraId="2921D07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vMerge w:val="continue"/>
                  <w:tcBorders>
                    <w:tl2br w:val="nil"/>
                    <w:tr2bl w:val="nil"/>
                  </w:tcBorders>
                  <w:noWrap w:val="0"/>
                  <w:vAlign w:val="center"/>
                </w:tcPr>
                <w:p w14:paraId="734A2AA2">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498" w:type="pct"/>
                  <w:vMerge w:val="continue"/>
                  <w:tcBorders>
                    <w:tl2br w:val="nil"/>
                    <w:tr2bl w:val="nil"/>
                  </w:tcBorders>
                  <w:noWrap w:val="0"/>
                  <w:vAlign w:val="center"/>
                </w:tcPr>
                <w:p w14:paraId="77AC9CED">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846" w:type="pct"/>
                  <w:vMerge w:val="continue"/>
                  <w:tcBorders>
                    <w:tl2br w:val="nil"/>
                    <w:tr2bl w:val="nil"/>
                  </w:tcBorders>
                  <w:noWrap w:val="0"/>
                  <w:vAlign w:val="center"/>
                </w:tcPr>
                <w:p w14:paraId="0004DEF6">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1909" w:type="pct"/>
                  <w:tcBorders>
                    <w:tl2br w:val="nil"/>
                    <w:tr2bl w:val="nil"/>
                  </w:tcBorders>
                  <w:noWrap w:val="0"/>
                  <w:vAlign w:val="center"/>
                </w:tcPr>
                <w:p w14:paraId="4590BA6E">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t>名称</w:t>
                  </w:r>
                </w:p>
              </w:tc>
              <w:tc>
                <w:tcPr>
                  <w:tcW w:w="1515" w:type="pct"/>
                  <w:tcBorders>
                    <w:tl2br w:val="nil"/>
                    <w:tr2bl w:val="nil"/>
                  </w:tcBorders>
                  <w:noWrap w:val="0"/>
                  <w:vAlign w:val="center"/>
                </w:tcPr>
                <w:p w14:paraId="324756F5">
                  <w:pPr>
                    <w:pStyle w:val="134"/>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bidi="ar"/>
                      <w14:textFill>
                        <w14:solidFill>
                          <w14:schemeClr w14:val="tx1"/>
                        </w14:solidFill>
                      </w14:textFill>
                    </w:rPr>
                    <w:t>浓度限值</w:t>
                  </w:r>
                </w:p>
              </w:tc>
            </w:tr>
            <w:tr w14:paraId="26475811">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tcBorders>
                    <w:tl2br w:val="nil"/>
                    <w:tr2bl w:val="nil"/>
                  </w:tcBorders>
                  <w:noWrap w:val="0"/>
                  <w:vAlign w:val="center"/>
                </w:tcPr>
                <w:p w14:paraId="676CCEC1">
                  <w:pPr>
                    <w:pStyle w:val="134"/>
                    <w:spacing w:line="240" w:lineRule="auto"/>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1</w:t>
                  </w:r>
                </w:p>
              </w:tc>
              <w:tc>
                <w:tcPr>
                  <w:tcW w:w="498" w:type="pct"/>
                  <w:tcBorders>
                    <w:tl2br w:val="nil"/>
                    <w:tr2bl w:val="nil"/>
                  </w:tcBorders>
                  <w:noWrap w:val="0"/>
                  <w:vAlign w:val="center"/>
                </w:tcPr>
                <w:p w14:paraId="2E17CE15">
                  <w:pPr>
                    <w:pStyle w:val="134"/>
                    <w:spacing w:line="240" w:lineRule="auto"/>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DW001</w:t>
                  </w:r>
                </w:p>
              </w:tc>
              <w:tc>
                <w:tcPr>
                  <w:tcW w:w="1420" w:type="dxa"/>
                  <w:tcBorders>
                    <w:tl2br w:val="nil"/>
                    <w:tr2bl w:val="nil"/>
                  </w:tcBorders>
                  <w:noWrap w:val="0"/>
                  <w:vAlign w:val="center"/>
                </w:tcPr>
                <w:p w14:paraId="2D3213E8">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pH、COD</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Cr</w:t>
                  </w:r>
                  <w:r>
                    <w:rPr>
                      <w:rFonts w:hint="default" w:ascii="Times New Roman" w:hAnsi="Times New Roman" w:cs="Times New Roman"/>
                      <w:color w:val="000000" w:themeColor="text1"/>
                      <w:kern w:val="2"/>
                      <w:sz w:val="21"/>
                      <w:szCs w:val="21"/>
                      <w:highlight w:val="none"/>
                      <w14:textFill>
                        <w14:solidFill>
                          <w14:schemeClr w14:val="tx1"/>
                        </w14:solidFill>
                      </w14:textFill>
                    </w:rPr>
                    <w:t>、BOD</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5</w:t>
                  </w:r>
                  <w:r>
                    <w:rPr>
                      <w:rFonts w:hint="default" w:ascii="Times New Roman" w:hAnsi="Times New Roman" w:cs="Times New Roman"/>
                      <w:color w:val="000000" w:themeColor="text1"/>
                      <w:kern w:val="2"/>
                      <w:sz w:val="21"/>
                      <w:szCs w:val="21"/>
                      <w:highlight w:val="none"/>
                      <w14:textFill>
                        <w14:solidFill>
                          <w14:schemeClr w14:val="tx1"/>
                        </w14:solidFill>
                      </w14:textFill>
                    </w:rPr>
                    <w:t>、SS、氨氮</w:t>
                  </w:r>
                  <w:r>
                    <w:rPr>
                      <w:rFonts w:hint="default" w:ascii="Times New Roman" w:hAnsi="Times New Roman"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总磷、动植物油</w:t>
                  </w:r>
                </w:p>
              </w:tc>
              <w:tc>
                <w:tcPr>
                  <w:tcW w:w="1909" w:type="pct"/>
                  <w:tcBorders>
                    <w:tl2br w:val="nil"/>
                    <w:tr2bl w:val="nil"/>
                  </w:tcBorders>
                  <w:noWrap w:val="0"/>
                  <w:vAlign w:val="center"/>
                </w:tcPr>
                <w:p w14:paraId="3CC55A6D">
                  <w:pPr>
                    <w:pStyle w:val="134"/>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广东省地方标准《水污染物排放限值》（DB44/26-2001）第二时段三级标准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及</w:t>
                  </w:r>
                  <w:r>
                    <w:rPr>
                      <w:rFonts w:hint="default" w:ascii="Times New Roman" w:hAnsi="Times New Roman" w:eastAsia="宋体" w:cs="Times New Roman"/>
                      <w:color w:val="000000" w:themeColor="text1"/>
                      <w:sz w:val="21"/>
                      <w:szCs w:val="21"/>
                      <w:highlight w:val="none"/>
                      <w14:textFill>
                        <w14:solidFill>
                          <w14:schemeClr w14:val="tx1"/>
                        </w14:solidFill>
                      </w14:textFill>
                    </w:rPr>
                    <w:t>园区污水处理厂接管水质要求</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两者较严值</w:t>
                  </w:r>
                </w:p>
              </w:tc>
              <w:tc>
                <w:tcPr>
                  <w:tcW w:w="1515" w:type="pct"/>
                  <w:tcBorders>
                    <w:tl2br w:val="nil"/>
                    <w:tr2bl w:val="nil"/>
                  </w:tcBorders>
                  <w:noWrap w:val="0"/>
                  <w:vAlign w:val="center"/>
                </w:tcPr>
                <w:p w14:paraId="4A1BD55E">
                  <w:pPr>
                    <w:pStyle w:val="134"/>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pH6~9，COD</w:t>
                  </w:r>
                  <w:r>
                    <w:rPr>
                      <w:rFonts w:hint="default" w:ascii="Times New Roman" w:hAnsi="Times New Roman" w:eastAsia="宋体" w:cs="Times New Roman"/>
                      <w:color w:val="000000" w:themeColor="text1"/>
                      <w:sz w:val="21"/>
                      <w:szCs w:val="21"/>
                      <w:highlight w:val="none"/>
                      <w:vertAlign w:val="subscript"/>
                      <w:lang w:val="en-US" w:eastAsia="zh-CN" w:bidi="ar"/>
                      <w14:textFill>
                        <w14:solidFill>
                          <w14:schemeClr w14:val="tx1"/>
                        </w14:solidFill>
                      </w14:textFill>
                    </w:rPr>
                    <w:t>Cr</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30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0mg/L，BOD</w:t>
                  </w:r>
                  <w:r>
                    <w:rPr>
                      <w:rFonts w:hint="default" w:ascii="Times New Roman" w:hAnsi="Times New Roman" w:eastAsia="宋体" w:cs="Times New Roman"/>
                      <w:color w:val="000000" w:themeColor="text1"/>
                      <w:sz w:val="21"/>
                      <w:szCs w:val="21"/>
                      <w:highlight w:val="none"/>
                      <w:vertAlign w:val="subscript"/>
                      <w:lang w:bidi="ar"/>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150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mg/L，SS≤</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25</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0mg/L</w:t>
                  </w:r>
                  <w:r>
                    <w:rPr>
                      <w:rFonts w:hint="default" w:ascii="Times New Roman" w:hAnsi="Times New Roman" w:eastAsia="宋体" w:cs="Times New Roman"/>
                      <w:color w:val="000000" w:themeColor="text1"/>
                      <w:sz w:val="21"/>
                      <w:szCs w:val="21"/>
                      <w:highlight w:val="none"/>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NH</w:t>
                  </w:r>
                  <w:r>
                    <w:rPr>
                      <w:rFonts w:hint="default" w:ascii="Times New Roman" w:hAnsi="Times New Roman" w:eastAsia="宋体" w:cs="Times New Roman"/>
                      <w:color w:val="000000" w:themeColor="text1"/>
                      <w:sz w:val="21"/>
                      <w:szCs w:val="21"/>
                      <w:highlight w:val="none"/>
                      <w:vertAlign w:val="subscript"/>
                      <w:lang w:bidi="ar"/>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-N≤</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40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r>
                    <w:rPr>
                      <w:rFonts w:hint="default" w:ascii="Times New Roman" w:hAnsi="Times New Roman" w:eastAsia="宋体" w:cs="Times New Roman"/>
                      <w:color w:val="000000" w:themeColor="text1"/>
                      <w:sz w:val="21"/>
                      <w:szCs w:val="21"/>
                      <w:highlight w:val="none"/>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动植物油</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100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p>
              </w:tc>
            </w:tr>
            <w:tr w14:paraId="1E02EBD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tcBorders>
                    <w:tl2br w:val="nil"/>
                    <w:tr2bl w:val="nil"/>
                  </w:tcBorders>
                  <w:noWrap w:val="0"/>
                  <w:vAlign w:val="center"/>
                </w:tcPr>
                <w:p w14:paraId="0496E306">
                  <w:pPr>
                    <w:pStyle w:val="134"/>
                    <w:spacing w:line="240" w:lineRule="auto"/>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2</w:t>
                  </w:r>
                </w:p>
              </w:tc>
              <w:tc>
                <w:tcPr>
                  <w:tcW w:w="498" w:type="pct"/>
                  <w:tcBorders>
                    <w:tl2br w:val="nil"/>
                    <w:tr2bl w:val="nil"/>
                  </w:tcBorders>
                  <w:noWrap w:val="0"/>
                  <w:vAlign w:val="center"/>
                </w:tcPr>
                <w:p w14:paraId="79C54021">
                  <w:pPr>
                    <w:pStyle w:val="134"/>
                    <w:spacing w:line="240" w:lineRule="auto"/>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DW00</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2</w:t>
                  </w:r>
                </w:p>
              </w:tc>
              <w:tc>
                <w:tcPr>
                  <w:tcW w:w="1420" w:type="dxa"/>
                  <w:tcBorders>
                    <w:tl2br w:val="nil"/>
                    <w:tr2bl w:val="nil"/>
                  </w:tcBorders>
                  <w:noWrap w:val="0"/>
                  <w:vAlign w:val="center"/>
                </w:tcPr>
                <w:p w14:paraId="76CF8A0A">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pH、COD</w:t>
                  </w:r>
                  <w:r>
                    <w:rPr>
                      <w:rFonts w:hint="default" w:ascii="Times New Roman" w:hAnsi="Times New Roman" w:cs="Times New Roman"/>
                      <w:color w:val="000000" w:themeColor="text1"/>
                      <w:kern w:val="2"/>
                      <w:sz w:val="21"/>
                      <w:szCs w:val="21"/>
                      <w:highlight w:val="none"/>
                      <w:vertAlign w:val="subscript"/>
                      <w14:textFill>
                        <w14:solidFill>
                          <w14:schemeClr w14:val="tx1"/>
                        </w14:solidFill>
                      </w14:textFill>
                    </w:rPr>
                    <w:t>Cr</w:t>
                  </w:r>
                  <w:r>
                    <w:rPr>
                      <w:rFonts w:hint="default" w:ascii="Times New Roman" w:hAnsi="Times New Roman" w:cs="Times New Roman"/>
                      <w:color w:val="000000" w:themeColor="text1"/>
                      <w:kern w:val="2"/>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BOD</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21"/>
                      <w:szCs w:val="21"/>
                      <w:highlight w:val="none"/>
                      <w14:textFill>
                        <w14:solidFill>
                          <w14:schemeClr w14:val="tx1"/>
                        </w14:solidFill>
                      </w14:textFill>
                    </w:rPr>
                    <w:t>SS、</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NH</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w:t>
                  </w:r>
                  <w:r>
                    <w:rPr>
                      <w:rFonts w:hint="default" w:ascii="Times New Roman" w:hAnsi="Times New Roman" w:cs="Times New Roman"/>
                      <w:color w:val="000000" w:themeColor="text1"/>
                      <w:kern w:val="2"/>
                      <w:sz w:val="21"/>
                      <w:szCs w:val="21"/>
                      <w:highlight w:val="none"/>
                      <w14:textFill>
                        <w14:solidFill>
                          <w14:schemeClr w14:val="tx1"/>
                        </w14:solidFill>
                      </w14:textFill>
                    </w:rPr>
                    <w:t>氟化物、</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TP、TN、</w:t>
                  </w:r>
                  <w:r>
                    <w:rPr>
                      <w:rFonts w:hint="default" w:ascii="Times New Roman" w:hAnsi="Times New Roman" w:cs="Times New Roman"/>
                      <w:color w:val="000000" w:themeColor="text1"/>
                      <w:kern w:val="2"/>
                      <w:sz w:val="21"/>
                      <w:szCs w:val="21"/>
                      <w:highlight w:val="none"/>
                      <w14:textFill>
                        <w14:solidFill>
                          <w14:schemeClr w14:val="tx1"/>
                        </w14:solidFill>
                      </w14:textFill>
                    </w:rPr>
                    <w:t>阴离子表面活性剂、</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总铝、</w:t>
                  </w:r>
                  <w:r>
                    <w:rPr>
                      <w:rFonts w:hint="default" w:ascii="Times New Roman" w:hAnsi="Times New Roman" w:cs="Times New Roman"/>
                      <w:color w:val="000000" w:themeColor="text1"/>
                      <w:kern w:val="2"/>
                      <w:sz w:val="21"/>
                      <w:szCs w:val="21"/>
                      <w:highlight w:val="none"/>
                      <w14:textFill>
                        <w14:solidFill>
                          <w14:schemeClr w14:val="tx1"/>
                        </w14:solidFill>
                      </w14:textFill>
                    </w:rPr>
                    <w:t>石油类</w:t>
                  </w:r>
                </w:p>
              </w:tc>
              <w:tc>
                <w:tcPr>
                  <w:tcW w:w="1909" w:type="pct"/>
                  <w:tcBorders>
                    <w:tl2br w:val="nil"/>
                    <w:tr2bl w:val="nil"/>
                  </w:tcBorders>
                  <w:noWrap w:val="0"/>
                  <w:vAlign w:val="center"/>
                </w:tcPr>
                <w:p w14:paraId="69349304">
                  <w:pPr>
                    <w:pStyle w:val="134"/>
                    <w:spacing w:line="240" w:lineRule="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园区污水处理厂接管水质要求、广东省《水污染物排放限值》（DB44/26-2001）第二时段三级标准以及《电镀水污染物排放标准》（DB44/1597-2015）</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表1现有项目水污染物非珠三角排放限值200%（其中总铝按表2新建项目水污染物排放限值-非珠三角地区执行）</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三者较严值要求</w:t>
                  </w:r>
                </w:p>
              </w:tc>
              <w:tc>
                <w:tcPr>
                  <w:tcW w:w="1515" w:type="pct"/>
                  <w:tcBorders>
                    <w:tl2br w:val="nil"/>
                    <w:tr2bl w:val="nil"/>
                  </w:tcBorders>
                  <w:noWrap w:val="0"/>
                  <w:vAlign w:val="center"/>
                </w:tcPr>
                <w:p w14:paraId="7753AF04">
                  <w:pPr>
                    <w:pStyle w:val="134"/>
                    <w:spacing w:line="240" w:lineRule="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pH6~9，COD</w:t>
                  </w:r>
                  <w:r>
                    <w:rPr>
                      <w:rFonts w:hint="default" w:ascii="Times New Roman" w:hAnsi="Times New Roman" w:eastAsia="宋体" w:cs="Times New Roman"/>
                      <w:color w:val="000000" w:themeColor="text1"/>
                      <w:sz w:val="21"/>
                      <w:szCs w:val="21"/>
                      <w:highlight w:val="none"/>
                      <w:vertAlign w:val="subscript"/>
                      <w:lang w:val="en-US" w:eastAsia="zh-CN" w:bidi="ar"/>
                      <w14:textFill>
                        <w14:solidFill>
                          <w14:schemeClr w14:val="tx1"/>
                        </w14:solidFill>
                      </w14:textFill>
                    </w:rPr>
                    <w:t>Cr</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8</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0mg/L，</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BOD</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15</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0mg/L</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、NH</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15</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SS≤</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0mg/L</w:t>
                  </w:r>
                  <w:r>
                    <w:rPr>
                      <w:rFonts w:hint="default" w:ascii="Times New Roman" w:hAnsi="Times New Roman" w:eastAsia="宋体" w:cs="Times New Roman"/>
                      <w:color w:val="000000" w:themeColor="text1"/>
                      <w:sz w:val="21"/>
                      <w:szCs w:val="21"/>
                      <w:highlight w:val="none"/>
                      <w:lang w:eastAsia="zh-CN" w:bidi="ar"/>
                      <w14:textFill>
                        <w14:solidFill>
                          <w14:schemeClr w14:val="tx1"/>
                        </w14:solidFill>
                      </w14:textFill>
                    </w:rPr>
                    <w:t>，氟化物</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Arial" w:cs="Times New Roman"/>
                      <w:color w:val="000000" w:themeColor="text1"/>
                      <w:sz w:val="21"/>
                      <w:szCs w:val="21"/>
                      <w14:textFill>
                        <w14:solidFill>
                          <w14:schemeClr w14:val="tx1"/>
                        </w14:solidFill>
                      </w14:textFill>
                    </w:rPr>
                    <w:t>总磷 mg/L</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2.0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r>
                    <w:rPr>
                      <w:rFonts w:hint="default" w:ascii="Times New Roman" w:hAnsi="Times New Roman" w:cs="Times New Roman"/>
                      <w:color w:val="000000" w:themeColor="text1"/>
                      <w:sz w:val="21"/>
                      <w:szCs w:val="21"/>
                      <w:highlight w:val="none"/>
                      <w:lang w:eastAsia="zh-CN" w:bidi="ar"/>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bidi="ar"/>
                      <w14:textFill>
                        <w14:solidFill>
                          <w14:schemeClr w14:val="tx1"/>
                        </w14:solidFill>
                      </w14:textFill>
                    </w:rPr>
                    <w:t>TN</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bidi="ar"/>
                      <w14:textFill>
                        <w14:solidFill>
                          <w14:schemeClr w14:val="tx1"/>
                        </w14:solidFill>
                      </w14:textFill>
                    </w:rPr>
                    <w:t>4</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r>
                    <w:rPr>
                      <w:rFonts w:hint="default" w:ascii="Times New Roman" w:hAnsi="Times New Roman" w:cs="Times New Roman"/>
                      <w:color w:val="000000" w:themeColor="text1"/>
                      <w:sz w:val="21"/>
                      <w:szCs w:val="21"/>
                      <w:highlight w:val="none"/>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LAS</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20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r>
                    <w:rPr>
                      <w:rFonts w:hint="default" w:ascii="Times New Roman" w:hAnsi="Times New Roman" w:eastAsia="宋体" w:cs="Times New Roman"/>
                      <w:color w:val="000000" w:themeColor="text1"/>
                      <w:sz w:val="21"/>
                      <w:szCs w:val="21"/>
                      <w:highlight w:val="none"/>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石油类</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bidi="ar"/>
                      <w14:textFill>
                        <w14:solidFill>
                          <w14:schemeClr w14:val="tx1"/>
                        </w14:solidFill>
                      </w14:textFill>
                    </w:rPr>
                    <w:t>6</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r>
                    <w:rPr>
                      <w:rFonts w:hint="default" w:ascii="Times New Roman" w:hAnsi="Times New Roman" w:cs="Times New Roman"/>
                      <w:color w:val="000000" w:themeColor="text1"/>
                      <w:sz w:val="21"/>
                      <w:szCs w:val="21"/>
                      <w:highlight w:val="none"/>
                      <w:lang w:eastAsia="zh-CN" w:bidi="ar"/>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bidi="ar"/>
                      <w14:textFill>
                        <w14:solidFill>
                          <w14:schemeClr w14:val="tx1"/>
                        </w14:solidFill>
                      </w14:textFill>
                    </w:rPr>
                    <w:t>总铝</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.0</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mg/L</w:t>
                  </w:r>
                </w:p>
              </w:tc>
            </w:tr>
          </w:tbl>
          <w:p w14:paraId="34DE02FD">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p w14:paraId="5885A7EE">
            <w:pPr>
              <w:keepNext/>
              <w:keepLines/>
              <w:numPr>
                <w:ilvl w:val="0"/>
                <w:numId w:val="0"/>
              </w:numPr>
              <w:suppressLineNumbers w:val="0"/>
              <w:tabs>
                <w:tab w:val="left" w:pos="0"/>
                <w:tab w:val="center" w:pos="4281"/>
                <w:tab w:val="left" w:pos="7099"/>
              </w:tabs>
              <w:spacing w:before="0" w:beforeAutospacing="0" w:after="0" w:afterAutospacing="0"/>
              <w:ind w:left="0" w:leftChars="0" w:right="0" w:rightChars="0" w:firstLine="40" w:firstLineChars="0"/>
              <w:jc w:val="left"/>
              <w:outlineLvl w:val="3"/>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kern w:val="2"/>
                <w:sz w:val="21"/>
                <w:szCs w:val="21"/>
                <w:lang w:val="en-US" w:eastAsia="zh-CN" w:bidi="ar-SA"/>
                <w14:textFill>
                  <w14:solidFill>
                    <w14:schemeClr w14:val="tx1"/>
                  </w14:solidFill>
                </w14:textFill>
              </w:rPr>
              <w:tab/>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30</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项目废水排放口基本情况表</w:t>
            </w:r>
            <w:r>
              <w:rPr>
                <w:rFonts w:hint="eastAsia" w:cs="Times New Roman"/>
                <w:b/>
                <w:bCs/>
                <w:color w:val="000000" w:themeColor="text1"/>
                <w:sz w:val="21"/>
                <w:szCs w:val="21"/>
                <w:highlight w:val="none"/>
                <w:lang w:eastAsia="zh-CN"/>
                <w14:textFill>
                  <w14:solidFill>
                    <w14:schemeClr w14:val="tx1"/>
                  </w14:solidFill>
                </w14:textFill>
              </w:rPr>
              <w:tab/>
            </w:r>
          </w:p>
          <w:tbl>
            <w:tblPr>
              <w:tblStyle w:val="4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0"/>
              <w:gridCol w:w="554"/>
              <w:gridCol w:w="658"/>
              <w:gridCol w:w="594"/>
              <w:gridCol w:w="603"/>
              <w:gridCol w:w="742"/>
              <w:gridCol w:w="1013"/>
              <w:gridCol w:w="564"/>
              <w:gridCol w:w="500"/>
              <w:gridCol w:w="1085"/>
              <w:gridCol w:w="1566"/>
            </w:tblGrid>
            <w:tr w14:paraId="4D7E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noWrap w:val="0"/>
                  <w:vAlign w:val="center"/>
                </w:tcPr>
                <w:p w14:paraId="5B0C5F0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排放口编号</w:t>
                  </w:r>
                </w:p>
              </w:tc>
              <w:tc>
                <w:tcPr>
                  <w:tcW w:w="330" w:type="pct"/>
                  <w:vMerge w:val="restart"/>
                  <w:noWrap w:val="0"/>
                  <w:vAlign w:val="center"/>
                </w:tcPr>
                <w:p w14:paraId="34EEA44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排放口名称</w:t>
                  </w:r>
                </w:p>
              </w:tc>
              <w:tc>
                <w:tcPr>
                  <w:tcW w:w="746" w:type="pct"/>
                  <w:gridSpan w:val="2"/>
                  <w:noWrap w:val="0"/>
                  <w:vAlign w:val="center"/>
                </w:tcPr>
                <w:p w14:paraId="3155A35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排放口坐标</w:t>
                  </w:r>
                </w:p>
              </w:tc>
              <w:tc>
                <w:tcPr>
                  <w:tcW w:w="359" w:type="pct"/>
                  <w:vMerge w:val="restart"/>
                  <w:noWrap w:val="0"/>
                  <w:vAlign w:val="center"/>
                </w:tcPr>
                <w:p w14:paraId="076DD83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废水排放量/（万t/a）</w:t>
                  </w:r>
                </w:p>
              </w:tc>
              <w:tc>
                <w:tcPr>
                  <w:tcW w:w="442" w:type="pct"/>
                  <w:vMerge w:val="restart"/>
                  <w:noWrap w:val="0"/>
                  <w:vAlign w:val="center"/>
                </w:tcPr>
                <w:p w14:paraId="7E47DD8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排放去向</w:t>
                  </w:r>
                </w:p>
              </w:tc>
              <w:tc>
                <w:tcPr>
                  <w:tcW w:w="603" w:type="pct"/>
                  <w:vMerge w:val="restart"/>
                  <w:noWrap w:val="0"/>
                  <w:vAlign w:val="center"/>
                </w:tcPr>
                <w:p w14:paraId="403556D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排放规律</w:t>
                  </w:r>
                </w:p>
              </w:tc>
              <w:tc>
                <w:tcPr>
                  <w:tcW w:w="336" w:type="pct"/>
                  <w:vMerge w:val="restart"/>
                  <w:noWrap w:val="0"/>
                  <w:vAlign w:val="center"/>
                </w:tcPr>
                <w:p w14:paraId="0B84E24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排放口类型</w:t>
                  </w:r>
                </w:p>
              </w:tc>
              <w:tc>
                <w:tcPr>
                  <w:tcW w:w="1876" w:type="pct"/>
                  <w:gridSpan w:val="3"/>
                  <w:noWrap w:val="0"/>
                  <w:vAlign w:val="center"/>
                </w:tcPr>
                <w:p w14:paraId="343C108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受纳污水处理厂信息</w:t>
                  </w:r>
                </w:p>
              </w:tc>
            </w:tr>
            <w:tr w14:paraId="3755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119304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c>
                <w:tcPr>
                  <w:tcW w:w="330" w:type="pct"/>
                  <w:vMerge w:val="continue"/>
                  <w:noWrap w:val="0"/>
                  <w:vAlign w:val="center"/>
                </w:tcPr>
                <w:p w14:paraId="735BCFC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c>
                <w:tcPr>
                  <w:tcW w:w="392" w:type="pct"/>
                  <w:noWrap w:val="0"/>
                  <w:vAlign w:val="center"/>
                </w:tcPr>
                <w:p w14:paraId="67BAFAE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b/>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val="en-US" w:eastAsia="zh-CN"/>
                      <w14:textFill>
                        <w14:solidFill>
                          <w14:schemeClr w14:val="tx1"/>
                        </w14:solidFill>
                      </w14:textFill>
                    </w:rPr>
                    <w:t>经度</w:t>
                  </w:r>
                </w:p>
              </w:tc>
              <w:tc>
                <w:tcPr>
                  <w:tcW w:w="354" w:type="pct"/>
                  <w:noWrap w:val="0"/>
                  <w:vAlign w:val="center"/>
                </w:tcPr>
                <w:p w14:paraId="130B082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b/>
                      <w:bCs/>
                      <w:color w:val="000000" w:themeColor="text1"/>
                      <w:kern w:val="2"/>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val="en-US" w:eastAsia="zh-CN"/>
                      <w14:textFill>
                        <w14:solidFill>
                          <w14:schemeClr w14:val="tx1"/>
                        </w14:solidFill>
                      </w14:textFill>
                    </w:rPr>
                    <w:t>纬度</w:t>
                  </w:r>
                </w:p>
              </w:tc>
              <w:tc>
                <w:tcPr>
                  <w:tcW w:w="359" w:type="pct"/>
                  <w:vMerge w:val="continue"/>
                  <w:noWrap w:val="0"/>
                  <w:vAlign w:val="center"/>
                </w:tcPr>
                <w:p w14:paraId="379A455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c>
                <w:tcPr>
                  <w:tcW w:w="442" w:type="pct"/>
                  <w:vMerge w:val="continue"/>
                  <w:noWrap w:val="0"/>
                  <w:vAlign w:val="center"/>
                </w:tcPr>
                <w:p w14:paraId="39FEA76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c>
                <w:tcPr>
                  <w:tcW w:w="603" w:type="pct"/>
                  <w:vMerge w:val="continue"/>
                  <w:noWrap w:val="0"/>
                  <w:vAlign w:val="center"/>
                </w:tcPr>
                <w:p w14:paraId="4AE9BFE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c>
                <w:tcPr>
                  <w:tcW w:w="336" w:type="pct"/>
                  <w:vMerge w:val="continue"/>
                  <w:noWrap w:val="0"/>
                  <w:vAlign w:val="center"/>
                </w:tcPr>
                <w:p w14:paraId="1AC555B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c>
                <w:tcPr>
                  <w:tcW w:w="298" w:type="pct"/>
                  <w:noWrap w:val="0"/>
                  <w:vAlign w:val="center"/>
                </w:tcPr>
                <w:p w14:paraId="377868F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名称</w:t>
                  </w:r>
                </w:p>
              </w:tc>
              <w:tc>
                <w:tcPr>
                  <w:tcW w:w="646" w:type="pct"/>
                  <w:noWrap w:val="0"/>
                  <w:vAlign w:val="center"/>
                </w:tcPr>
                <w:p w14:paraId="1BA6B12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污染物种类</w:t>
                  </w:r>
                </w:p>
              </w:tc>
              <w:tc>
                <w:tcPr>
                  <w:tcW w:w="932" w:type="pct"/>
                  <w:noWrap w:val="0"/>
                  <w:vAlign w:val="center"/>
                </w:tcPr>
                <w:p w14:paraId="4777AD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国家或地方污染物排放标准浓度限值/(mg/L)</w:t>
                  </w:r>
                </w:p>
              </w:tc>
            </w:tr>
            <w:tr w14:paraId="5E14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noWrap w:val="0"/>
                  <w:vAlign w:val="center"/>
                </w:tcPr>
                <w:p w14:paraId="3FB9B55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DW0</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0</w:t>
                  </w:r>
                  <w:r>
                    <w:rPr>
                      <w:rFonts w:hint="default" w:ascii="Times New Roman" w:hAnsi="Times New Roman" w:cs="Times New Roman"/>
                      <w:color w:val="000000" w:themeColor="text1"/>
                      <w:kern w:val="2"/>
                      <w:sz w:val="21"/>
                      <w:szCs w:val="21"/>
                      <w:highlight w:val="none"/>
                      <w14:textFill>
                        <w14:solidFill>
                          <w14:schemeClr w14:val="tx1"/>
                        </w14:solidFill>
                      </w14:textFill>
                    </w:rPr>
                    <w:t>1</w:t>
                  </w:r>
                </w:p>
              </w:tc>
              <w:tc>
                <w:tcPr>
                  <w:tcW w:w="330" w:type="pct"/>
                  <w:vMerge w:val="restart"/>
                  <w:noWrap w:val="0"/>
                  <w:vAlign w:val="center"/>
                </w:tcPr>
                <w:p w14:paraId="30B8B2B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生活污水</w:t>
                  </w:r>
                  <w:r>
                    <w:rPr>
                      <w:rFonts w:hint="default" w:ascii="Times New Roman" w:hAnsi="Times New Roman" w:cs="Times New Roman"/>
                      <w:color w:val="000000" w:themeColor="text1"/>
                      <w:kern w:val="2"/>
                      <w:sz w:val="21"/>
                      <w:szCs w:val="21"/>
                      <w:highlight w:val="none"/>
                      <w14:textFill>
                        <w14:solidFill>
                          <w14:schemeClr w14:val="tx1"/>
                        </w14:solidFill>
                      </w14:textFill>
                    </w:rPr>
                    <w:t>排放口</w:t>
                  </w:r>
                </w:p>
              </w:tc>
              <w:tc>
                <w:tcPr>
                  <w:tcW w:w="392" w:type="pct"/>
                  <w:vMerge w:val="restart"/>
                  <w:noWrap w:val="0"/>
                  <w:vAlign w:val="center"/>
                </w:tcPr>
                <w:p w14:paraId="7EFC717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113°24′33.279″</w:t>
                  </w:r>
                </w:p>
              </w:tc>
              <w:tc>
                <w:tcPr>
                  <w:tcW w:w="354" w:type="pct"/>
                  <w:vMerge w:val="restart"/>
                  <w:noWrap w:val="0"/>
                  <w:vAlign w:val="center"/>
                </w:tcPr>
                <w:p w14:paraId="01BA1D7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25°9′21.12</w:t>
                  </w:r>
                  <w:r>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w:t>
                  </w:r>
                </w:p>
              </w:tc>
              <w:tc>
                <w:tcPr>
                  <w:tcW w:w="359" w:type="pct"/>
                  <w:vMerge w:val="restart"/>
                  <w:noWrap w:val="0"/>
                  <w:vAlign w:val="center"/>
                </w:tcPr>
                <w:p w14:paraId="118D1DE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0.2070</w:t>
                  </w:r>
                </w:p>
              </w:tc>
              <w:tc>
                <w:tcPr>
                  <w:tcW w:w="442" w:type="pct"/>
                  <w:vMerge w:val="restart"/>
                  <w:noWrap w:val="0"/>
                  <w:vAlign w:val="center"/>
                </w:tcPr>
                <w:p w14:paraId="576F225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集中式工业污水处理厂</w:t>
                  </w:r>
                </w:p>
              </w:tc>
              <w:tc>
                <w:tcPr>
                  <w:tcW w:w="603" w:type="pct"/>
                  <w:vMerge w:val="restart"/>
                  <w:noWrap w:val="0"/>
                  <w:vAlign w:val="center"/>
                </w:tcPr>
                <w:p w14:paraId="78E630C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间歇排放，流量不稳定，但不属于冲击型排放</w:t>
                  </w:r>
                </w:p>
              </w:tc>
              <w:tc>
                <w:tcPr>
                  <w:tcW w:w="336" w:type="pct"/>
                  <w:vMerge w:val="restart"/>
                  <w:noWrap w:val="0"/>
                  <w:vAlign w:val="center"/>
                </w:tcPr>
                <w:p w14:paraId="525935D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一般排放口</w:t>
                  </w:r>
                </w:p>
              </w:tc>
              <w:tc>
                <w:tcPr>
                  <w:tcW w:w="298" w:type="pct"/>
                  <w:vMerge w:val="restart"/>
                  <w:noWrap w:val="0"/>
                  <w:vAlign w:val="center"/>
                </w:tcPr>
                <w:p w14:paraId="2752A9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cs="Times New Roman"/>
                      <w:b w:val="0"/>
                      <w:bCs w:val="0"/>
                      <w:color w:val="000000" w:themeColor="text1"/>
                      <w:kern w:val="2"/>
                      <w:sz w:val="21"/>
                      <w:szCs w:val="21"/>
                      <w:highlight w:val="none"/>
                      <w:lang w:val="en-US" w:eastAsia="zh-CN"/>
                      <w14:textFill>
                        <w14:solidFill>
                          <w14:schemeClr w14:val="tx1"/>
                        </w14:solidFill>
                      </w14:textFill>
                    </w:rPr>
                    <w:t>乐昌产业转移工业园污水处理厂</w:t>
                  </w:r>
                </w:p>
              </w:tc>
              <w:tc>
                <w:tcPr>
                  <w:tcW w:w="646" w:type="pct"/>
                  <w:noWrap w:val="0"/>
                  <w:vAlign w:val="center"/>
                </w:tcPr>
                <w:p w14:paraId="01E81A4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t>pH</w:t>
                  </w:r>
                </w:p>
              </w:tc>
              <w:tc>
                <w:tcPr>
                  <w:tcW w:w="932" w:type="pct"/>
                  <w:noWrap w:val="0"/>
                  <w:vAlign w:val="center"/>
                </w:tcPr>
                <w:p w14:paraId="33DC18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6~9</w:t>
                  </w:r>
                </w:p>
              </w:tc>
            </w:tr>
            <w:tr w14:paraId="14F7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72AF98F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0" w:type="pct"/>
                  <w:vMerge w:val="continue"/>
                  <w:noWrap w:val="0"/>
                  <w:vAlign w:val="center"/>
                </w:tcPr>
                <w:p w14:paraId="55A42C3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92" w:type="pct"/>
                  <w:vMerge w:val="continue"/>
                  <w:noWrap w:val="0"/>
                  <w:vAlign w:val="center"/>
                </w:tcPr>
                <w:p w14:paraId="48DCE87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4" w:type="pct"/>
                  <w:vMerge w:val="continue"/>
                  <w:noWrap w:val="0"/>
                  <w:vAlign w:val="center"/>
                </w:tcPr>
                <w:p w14:paraId="31B1F8F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9" w:type="pct"/>
                  <w:vMerge w:val="continue"/>
                  <w:noWrap w:val="0"/>
                  <w:vAlign w:val="center"/>
                </w:tcPr>
                <w:p w14:paraId="45A2719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442" w:type="pct"/>
                  <w:vMerge w:val="continue"/>
                  <w:noWrap w:val="0"/>
                  <w:vAlign w:val="center"/>
                </w:tcPr>
                <w:p w14:paraId="0C056DF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03" w:type="pct"/>
                  <w:vMerge w:val="continue"/>
                  <w:noWrap w:val="0"/>
                  <w:vAlign w:val="center"/>
                </w:tcPr>
                <w:p w14:paraId="261F973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6" w:type="pct"/>
                  <w:vMerge w:val="continue"/>
                  <w:noWrap w:val="0"/>
                  <w:vAlign w:val="center"/>
                </w:tcPr>
                <w:p w14:paraId="056C3A0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298" w:type="pct"/>
                  <w:vMerge w:val="continue"/>
                  <w:noWrap w:val="0"/>
                  <w:vAlign w:val="center"/>
                </w:tcPr>
                <w:p w14:paraId="47BA3E0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pPr>
                </w:p>
              </w:tc>
              <w:tc>
                <w:tcPr>
                  <w:tcW w:w="646" w:type="pct"/>
                  <w:noWrap w:val="0"/>
                  <w:vAlign w:val="center"/>
                </w:tcPr>
                <w:p w14:paraId="57430D7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t>COD</w:t>
                  </w:r>
                  <w:r>
                    <w:rPr>
                      <w:rFonts w:hint="default" w:ascii="Times New Roman" w:hAnsi="Times New Roman" w:cs="Times New Roman"/>
                      <w:b w:val="0"/>
                      <w:bCs w:val="0"/>
                      <w:color w:val="000000" w:themeColor="text1"/>
                      <w:kern w:val="2"/>
                      <w:sz w:val="21"/>
                      <w:szCs w:val="21"/>
                      <w:highlight w:val="none"/>
                      <w:vertAlign w:val="subscript"/>
                      <w14:textFill>
                        <w14:solidFill>
                          <w14:schemeClr w14:val="tx1"/>
                        </w14:solidFill>
                      </w14:textFill>
                    </w:rPr>
                    <w:t>Cr</w:t>
                  </w:r>
                </w:p>
              </w:tc>
              <w:tc>
                <w:tcPr>
                  <w:tcW w:w="932" w:type="pct"/>
                  <w:noWrap w:val="0"/>
                  <w:vAlign w:val="center"/>
                </w:tcPr>
                <w:p w14:paraId="000E389B">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40</w:t>
                  </w:r>
                </w:p>
              </w:tc>
            </w:tr>
            <w:tr w14:paraId="14C5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1EDA78D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0" w:type="pct"/>
                  <w:vMerge w:val="continue"/>
                  <w:noWrap w:val="0"/>
                  <w:vAlign w:val="center"/>
                </w:tcPr>
                <w:p w14:paraId="6CE3150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92" w:type="pct"/>
                  <w:vMerge w:val="continue"/>
                  <w:noWrap w:val="0"/>
                  <w:vAlign w:val="center"/>
                </w:tcPr>
                <w:p w14:paraId="52F1FD5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4" w:type="pct"/>
                  <w:vMerge w:val="continue"/>
                  <w:noWrap w:val="0"/>
                  <w:vAlign w:val="center"/>
                </w:tcPr>
                <w:p w14:paraId="1C985D3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9" w:type="pct"/>
                  <w:vMerge w:val="continue"/>
                  <w:noWrap w:val="0"/>
                  <w:vAlign w:val="center"/>
                </w:tcPr>
                <w:p w14:paraId="6B05A1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442" w:type="pct"/>
                  <w:vMerge w:val="continue"/>
                  <w:noWrap w:val="0"/>
                  <w:vAlign w:val="center"/>
                </w:tcPr>
                <w:p w14:paraId="4C85EFA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03" w:type="pct"/>
                  <w:vMerge w:val="continue"/>
                  <w:noWrap w:val="0"/>
                  <w:vAlign w:val="center"/>
                </w:tcPr>
                <w:p w14:paraId="247E14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6" w:type="pct"/>
                  <w:vMerge w:val="continue"/>
                  <w:noWrap w:val="0"/>
                  <w:vAlign w:val="center"/>
                </w:tcPr>
                <w:p w14:paraId="71CC678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298" w:type="pct"/>
                  <w:vMerge w:val="continue"/>
                  <w:noWrap w:val="0"/>
                  <w:vAlign w:val="center"/>
                </w:tcPr>
                <w:p w14:paraId="7B6F988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pPr>
                </w:p>
              </w:tc>
              <w:tc>
                <w:tcPr>
                  <w:tcW w:w="646" w:type="pct"/>
                  <w:noWrap w:val="0"/>
                  <w:vAlign w:val="center"/>
                </w:tcPr>
                <w:p w14:paraId="4ACE4FB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cs="Times New Roman"/>
                      <w:b w:val="0"/>
                      <w:bCs w:val="0"/>
                      <w:color w:val="000000" w:themeColor="text1"/>
                      <w:kern w:val="2"/>
                      <w:sz w:val="21"/>
                      <w:szCs w:val="21"/>
                      <w:highlight w:val="none"/>
                      <w14:textFill>
                        <w14:solidFill>
                          <w14:schemeClr w14:val="tx1"/>
                        </w14:solidFill>
                      </w14:textFill>
                    </w:rPr>
                    <w:t>BOD</w:t>
                  </w:r>
                  <w:r>
                    <w:rPr>
                      <w:rFonts w:hint="default" w:ascii="Times New Roman" w:hAnsi="Times New Roman" w:cs="Times New Roman"/>
                      <w:b w:val="0"/>
                      <w:bCs w:val="0"/>
                      <w:color w:val="000000" w:themeColor="text1"/>
                      <w:kern w:val="2"/>
                      <w:sz w:val="21"/>
                      <w:szCs w:val="21"/>
                      <w:highlight w:val="none"/>
                      <w:vertAlign w:val="subscript"/>
                      <w14:textFill>
                        <w14:solidFill>
                          <w14:schemeClr w14:val="tx1"/>
                        </w14:solidFill>
                      </w14:textFill>
                    </w:rPr>
                    <w:t>5</w:t>
                  </w:r>
                </w:p>
              </w:tc>
              <w:tc>
                <w:tcPr>
                  <w:tcW w:w="932" w:type="pct"/>
                  <w:noWrap w:val="0"/>
                  <w:vAlign w:val="center"/>
                </w:tcPr>
                <w:p w14:paraId="385104BD">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sz w:val="21"/>
                      <w:szCs w:val="21"/>
                      <w:highlight w:val="none"/>
                      <w14:textFill>
                        <w14:solidFill>
                          <w14:schemeClr w14:val="tx1"/>
                        </w14:solidFill>
                      </w14:textFill>
                    </w:rPr>
                    <w:t>0</w:t>
                  </w:r>
                </w:p>
              </w:tc>
            </w:tr>
            <w:tr w14:paraId="693D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tcBorders>
                    <w:bottom w:val="single" w:color="000000" w:sz="4" w:space="0"/>
                  </w:tcBorders>
                  <w:noWrap w:val="0"/>
                  <w:vAlign w:val="center"/>
                </w:tcPr>
                <w:p w14:paraId="4E0716C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0" w:type="pct"/>
                  <w:vMerge w:val="continue"/>
                  <w:tcBorders>
                    <w:bottom w:val="single" w:color="000000" w:sz="4" w:space="0"/>
                  </w:tcBorders>
                  <w:noWrap w:val="0"/>
                  <w:vAlign w:val="center"/>
                </w:tcPr>
                <w:p w14:paraId="297F05A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92" w:type="pct"/>
                  <w:vMerge w:val="continue"/>
                  <w:tcBorders>
                    <w:bottom w:val="single" w:color="000000" w:sz="4" w:space="0"/>
                  </w:tcBorders>
                  <w:noWrap w:val="0"/>
                  <w:vAlign w:val="center"/>
                </w:tcPr>
                <w:p w14:paraId="57ECD53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4" w:type="pct"/>
                  <w:vMerge w:val="continue"/>
                  <w:tcBorders>
                    <w:bottom w:val="single" w:color="000000" w:sz="4" w:space="0"/>
                  </w:tcBorders>
                  <w:noWrap w:val="0"/>
                  <w:vAlign w:val="center"/>
                </w:tcPr>
                <w:p w14:paraId="4DBEAA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9" w:type="pct"/>
                  <w:vMerge w:val="continue"/>
                  <w:tcBorders>
                    <w:bottom w:val="single" w:color="000000" w:sz="4" w:space="0"/>
                  </w:tcBorders>
                  <w:noWrap w:val="0"/>
                  <w:vAlign w:val="center"/>
                </w:tcPr>
                <w:p w14:paraId="2BE3BFF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442" w:type="pct"/>
                  <w:vMerge w:val="continue"/>
                  <w:tcBorders>
                    <w:bottom w:val="single" w:color="000000" w:sz="4" w:space="0"/>
                  </w:tcBorders>
                  <w:noWrap w:val="0"/>
                  <w:vAlign w:val="center"/>
                </w:tcPr>
                <w:p w14:paraId="6D69B4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03" w:type="pct"/>
                  <w:vMerge w:val="continue"/>
                  <w:tcBorders>
                    <w:bottom w:val="single" w:color="000000" w:sz="4" w:space="0"/>
                  </w:tcBorders>
                  <w:noWrap w:val="0"/>
                  <w:vAlign w:val="center"/>
                </w:tcPr>
                <w:p w14:paraId="45A7171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6" w:type="pct"/>
                  <w:vMerge w:val="continue"/>
                  <w:tcBorders>
                    <w:bottom w:val="single" w:color="000000" w:sz="4" w:space="0"/>
                  </w:tcBorders>
                  <w:noWrap w:val="0"/>
                  <w:vAlign w:val="center"/>
                </w:tcPr>
                <w:p w14:paraId="2C99E1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298" w:type="pct"/>
                  <w:vMerge w:val="continue"/>
                  <w:noWrap w:val="0"/>
                  <w:vAlign w:val="center"/>
                </w:tcPr>
                <w:p w14:paraId="2B69AD0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46" w:type="pct"/>
                  <w:tcBorders>
                    <w:bottom w:val="single" w:color="000000" w:sz="4" w:space="0"/>
                  </w:tcBorders>
                  <w:noWrap w:val="0"/>
                  <w:vAlign w:val="center"/>
                </w:tcPr>
                <w:p w14:paraId="71578A5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SS</w:t>
                  </w:r>
                </w:p>
              </w:tc>
              <w:tc>
                <w:tcPr>
                  <w:tcW w:w="932" w:type="pct"/>
                  <w:noWrap w:val="0"/>
                  <w:vAlign w:val="center"/>
                </w:tcPr>
                <w:p w14:paraId="11036005">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20</w:t>
                  </w:r>
                </w:p>
              </w:tc>
            </w:tr>
            <w:tr w14:paraId="25AE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tcBorders>
                    <w:bottom w:val="single" w:color="000000" w:sz="4" w:space="0"/>
                  </w:tcBorders>
                  <w:noWrap w:val="0"/>
                  <w:vAlign w:val="center"/>
                </w:tcPr>
                <w:p w14:paraId="123E034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0" w:type="pct"/>
                  <w:vMerge w:val="continue"/>
                  <w:tcBorders>
                    <w:bottom w:val="single" w:color="000000" w:sz="4" w:space="0"/>
                  </w:tcBorders>
                  <w:noWrap w:val="0"/>
                  <w:vAlign w:val="center"/>
                </w:tcPr>
                <w:p w14:paraId="628A51F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92" w:type="pct"/>
                  <w:vMerge w:val="continue"/>
                  <w:tcBorders>
                    <w:bottom w:val="single" w:color="000000" w:sz="4" w:space="0"/>
                  </w:tcBorders>
                  <w:noWrap w:val="0"/>
                  <w:vAlign w:val="center"/>
                </w:tcPr>
                <w:p w14:paraId="430A791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4" w:type="pct"/>
                  <w:vMerge w:val="continue"/>
                  <w:tcBorders>
                    <w:bottom w:val="single" w:color="000000" w:sz="4" w:space="0"/>
                  </w:tcBorders>
                  <w:noWrap w:val="0"/>
                  <w:vAlign w:val="center"/>
                </w:tcPr>
                <w:p w14:paraId="1AA76DA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9" w:type="pct"/>
                  <w:vMerge w:val="continue"/>
                  <w:tcBorders>
                    <w:bottom w:val="single" w:color="000000" w:sz="4" w:space="0"/>
                  </w:tcBorders>
                  <w:noWrap w:val="0"/>
                  <w:vAlign w:val="center"/>
                </w:tcPr>
                <w:p w14:paraId="4644F46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442" w:type="pct"/>
                  <w:vMerge w:val="continue"/>
                  <w:tcBorders>
                    <w:bottom w:val="single" w:color="000000" w:sz="4" w:space="0"/>
                  </w:tcBorders>
                  <w:noWrap w:val="0"/>
                  <w:vAlign w:val="center"/>
                </w:tcPr>
                <w:p w14:paraId="49D59F2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03" w:type="pct"/>
                  <w:vMerge w:val="continue"/>
                  <w:tcBorders>
                    <w:bottom w:val="single" w:color="000000" w:sz="4" w:space="0"/>
                  </w:tcBorders>
                  <w:noWrap w:val="0"/>
                  <w:vAlign w:val="center"/>
                </w:tcPr>
                <w:p w14:paraId="6A90EC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6" w:type="pct"/>
                  <w:vMerge w:val="continue"/>
                  <w:tcBorders>
                    <w:bottom w:val="single" w:color="000000" w:sz="4" w:space="0"/>
                  </w:tcBorders>
                  <w:noWrap w:val="0"/>
                  <w:vAlign w:val="center"/>
                </w:tcPr>
                <w:p w14:paraId="24A203B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298" w:type="pct"/>
                  <w:vMerge w:val="continue"/>
                  <w:noWrap w:val="0"/>
                  <w:vAlign w:val="center"/>
                </w:tcPr>
                <w:p w14:paraId="79FEBFC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46" w:type="pct"/>
                  <w:tcBorders>
                    <w:bottom w:val="single" w:color="000000" w:sz="4" w:space="0"/>
                  </w:tcBorders>
                  <w:noWrap w:val="0"/>
                  <w:vAlign w:val="center"/>
                </w:tcPr>
                <w:p w14:paraId="4990CDF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氨氮</w:t>
                  </w:r>
                </w:p>
              </w:tc>
              <w:tc>
                <w:tcPr>
                  <w:tcW w:w="932" w:type="pct"/>
                  <w:noWrap w:val="0"/>
                  <w:vAlign w:val="center"/>
                </w:tcPr>
                <w:p w14:paraId="71B65C51">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8</w:t>
                  </w:r>
                </w:p>
              </w:tc>
            </w:tr>
            <w:tr w14:paraId="33C4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tcBorders>
                    <w:top w:val="single" w:color="000000" w:sz="4" w:space="0"/>
                  </w:tcBorders>
                  <w:noWrap w:val="0"/>
                  <w:vAlign w:val="center"/>
                </w:tcPr>
                <w:p w14:paraId="74C10B8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DW0</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02</w:t>
                  </w:r>
                </w:p>
              </w:tc>
              <w:tc>
                <w:tcPr>
                  <w:tcW w:w="330" w:type="pct"/>
                  <w:vMerge w:val="restart"/>
                  <w:tcBorders>
                    <w:top w:val="single" w:color="000000" w:sz="4" w:space="0"/>
                  </w:tcBorders>
                  <w:noWrap w:val="0"/>
                  <w:vAlign w:val="center"/>
                </w:tcPr>
                <w:p w14:paraId="56A8BBC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生产废水</w:t>
                  </w:r>
                  <w:r>
                    <w:rPr>
                      <w:rFonts w:hint="default" w:ascii="Times New Roman" w:hAnsi="Times New Roman" w:cs="Times New Roman"/>
                      <w:color w:val="000000" w:themeColor="text1"/>
                      <w:kern w:val="2"/>
                      <w:sz w:val="21"/>
                      <w:szCs w:val="21"/>
                      <w:highlight w:val="none"/>
                      <w14:textFill>
                        <w14:solidFill>
                          <w14:schemeClr w14:val="tx1"/>
                        </w14:solidFill>
                      </w14:textFill>
                    </w:rPr>
                    <w:t>排放口</w:t>
                  </w:r>
                </w:p>
              </w:tc>
              <w:tc>
                <w:tcPr>
                  <w:tcW w:w="392" w:type="pct"/>
                  <w:vMerge w:val="restart"/>
                  <w:tcBorders>
                    <w:top w:val="single" w:color="000000" w:sz="4" w:space="0"/>
                  </w:tcBorders>
                  <w:noWrap w:val="0"/>
                  <w:vAlign w:val="center"/>
                </w:tcPr>
                <w:p w14:paraId="6CF8248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113°24′26.288″</w:t>
                  </w:r>
                </w:p>
              </w:tc>
              <w:tc>
                <w:tcPr>
                  <w:tcW w:w="354" w:type="pct"/>
                  <w:vMerge w:val="restart"/>
                  <w:tcBorders>
                    <w:top w:val="single" w:color="000000" w:sz="4" w:space="0"/>
                  </w:tcBorders>
                  <w:noWrap w:val="0"/>
                  <w:vAlign w:val="center"/>
                </w:tcPr>
                <w:p w14:paraId="705601E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25°9′21.04</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c>
                <w:tcPr>
                  <w:tcW w:w="359" w:type="pct"/>
                  <w:vMerge w:val="restart"/>
                  <w:tcBorders>
                    <w:top w:val="single" w:color="000000" w:sz="4" w:space="0"/>
                  </w:tcBorders>
                  <w:noWrap w:val="0"/>
                  <w:vAlign w:val="center"/>
                </w:tcPr>
                <w:p w14:paraId="32512FC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lang w:val="en-US"/>
                      <w14:textFill>
                        <w14:solidFill>
                          <w14:schemeClr w14:val="tx1"/>
                        </w14:solidFill>
                      </w14:textFill>
                    </w:rPr>
                  </w:pPr>
                  <w:r>
                    <w:rPr>
                      <w:rFonts w:hint="eastAsia" w:ascii="Times New Roman" w:hAnsi="Times New Roman" w:cs="Times New Roman"/>
                      <w:i w:val="0"/>
                      <w:iCs w:val="0"/>
                      <w:color w:val="000000" w:themeColor="text1"/>
                      <w:kern w:val="2"/>
                      <w:sz w:val="21"/>
                      <w:szCs w:val="21"/>
                      <w:highlight w:val="none"/>
                      <w:u w:val="none"/>
                      <w:lang w:val="en-US" w:eastAsia="zh-CN" w:bidi="ar-SA"/>
                      <w14:textFill>
                        <w14:solidFill>
                          <w14:schemeClr w14:val="tx1"/>
                        </w14:solidFill>
                      </w14:textFill>
                    </w:rPr>
                    <w:t>1.10512</w:t>
                  </w:r>
                </w:p>
              </w:tc>
              <w:tc>
                <w:tcPr>
                  <w:tcW w:w="442" w:type="pct"/>
                  <w:vMerge w:val="restart"/>
                  <w:tcBorders>
                    <w:top w:val="single" w:color="000000" w:sz="4" w:space="0"/>
                  </w:tcBorders>
                  <w:noWrap w:val="0"/>
                  <w:vAlign w:val="center"/>
                </w:tcPr>
                <w:p w14:paraId="47DAFD2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集中式工业污水处理厂</w:t>
                  </w:r>
                </w:p>
              </w:tc>
              <w:tc>
                <w:tcPr>
                  <w:tcW w:w="603" w:type="pct"/>
                  <w:vMerge w:val="restart"/>
                  <w:tcBorders>
                    <w:top w:val="single" w:color="000000" w:sz="4" w:space="0"/>
                  </w:tcBorders>
                  <w:noWrap w:val="0"/>
                  <w:vAlign w:val="center"/>
                </w:tcPr>
                <w:p w14:paraId="58E56C5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间歇排放，流量不稳定，但不属于冲击型排放</w:t>
                  </w:r>
                </w:p>
              </w:tc>
              <w:tc>
                <w:tcPr>
                  <w:tcW w:w="336" w:type="pct"/>
                  <w:vMerge w:val="restart"/>
                  <w:tcBorders>
                    <w:top w:val="single" w:color="000000" w:sz="4" w:space="0"/>
                  </w:tcBorders>
                  <w:noWrap w:val="0"/>
                  <w:vAlign w:val="center"/>
                </w:tcPr>
                <w:p w14:paraId="0AF368D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一般排放口</w:t>
                  </w:r>
                </w:p>
              </w:tc>
              <w:tc>
                <w:tcPr>
                  <w:tcW w:w="298" w:type="pct"/>
                  <w:vMerge w:val="continue"/>
                  <w:noWrap w:val="0"/>
                  <w:vAlign w:val="center"/>
                </w:tcPr>
                <w:p w14:paraId="0BEFB5C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46" w:type="pct"/>
                  <w:tcBorders>
                    <w:top w:val="single" w:color="000000" w:sz="4" w:space="0"/>
                  </w:tcBorders>
                  <w:noWrap w:val="0"/>
                  <w:vAlign w:val="center"/>
                </w:tcPr>
                <w:p w14:paraId="3439AC0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总磷</w:t>
                  </w:r>
                </w:p>
              </w:tc>
              <w:tc>
                <w:tcPr>
                  <w:tcW w:w="932" w:type="pct"/>
                  <w:noWrap w:val="0"/>
                  <w:vAlign w:val="center"/>
                </w:tcPr>
                <w:p w14:paraId="6EC04236">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0.5</w:t>
                  </w:r>
                </w:p>
              </w:tc>
            </w:tr>
            <w:tr w14:paraId="3F00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797456E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0" w:type="pct"/>
                  <w:vMerge w:val="continue"/>
                  <w:noWrap w:val="0"/>
                  <w:vAlign w:val="center"/>
                </w:tcPr>
                <w:p w14:paraId="6FA787B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92" w:type="pct"/>
                  <w:vMerge w:val="continue"/>
                  <w:noWrap w:val="0"/>
                  <w:vAlign w:val="center"/>
                </w:tcPr>
                <w:p w14:paraId="1C02453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4" w:type="pct"/>
                  <w:vMerge w:val="continue"/>
                  <w:noWrap w:val="0"/>
                  <w:vAlign w:val="center"/>
                </w:tcPr>
                <w:p w14:paraId="27C97E2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9" w:type="pct"/>
                  <w:vMerge w:val="continue"/>
                  <w:noWrap w:val="0"/>
                  <w:vAlign w:val="center"/>
                </w:tcPr>
                <w:p w14:paraId="01CC59B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442" w:type="pct"/>
                  <w:vMerge w:val="continue"/>
                  <w:noWrap w:val="0"/>
                  <w:vAlign w:val="center"/>
                </w:tcPr>
                <w:p w14:paraId="49526D2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03" w:type="pct"/>
                  <w:vMerge w:val="continue"/>
                  <w:noWrap w:val="0"/>
                  <w:vAlign w:val="center"/>
                </w:tcPr>
                <w:p w14:paraId="114DBE2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6" w:type="pct"/>
                  <w:vMerge w:val="continue"/>
                  <w:noWrap w:val="0"/>
                  <w:vAlign w:val="center"/>
                </w:tcPr>
                <w:p w14:paraId="1891217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298" w:type="pct"/>
                  <w:vMerge w:val="continue"/>
                  <w:noWrap w:val="0"/>
                  <w:vAlign w:val="center"/>
                </w:tcPr>
                <w:p w14:paraId="35FC86C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46" w:type="pct"/>
                  <w:noWrap w:val="0"/>
                  <w:vAlign w:val="center"/>
                </w:tcPr>
                <w:p w14:paraId="0C31594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动植物油</w:t>
                  </w:r>
                </w:p>
              </w:tc>
              <w:tc>
                <w:tcPr>
                  <w:tcW w:w="932" w:type="pct"/>
                  <w:noWrap w:val="0"/>
                  <w:vAlign w:val="center"/>
                </w:tcPr>
                <w:p w14:paraId="58E811CF">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3</w:t>
                  </w:r>
                </w:p>
              </w:tc>
            </w:tr>
            <w:tr w14:paraId="7A9A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6A58E06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0" w:type="pct"/>
                  <w:vMerge w:val="continue"/>
                  <w:noWrap w:val="0"/>
                  <w:vAlign w:val="center"/>
                </w:tcPr>
                <w:p w14:paraId="34A4613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92" w:type="pct"/>
                  <w:vMerge w:val="continue"/>
                  <w:noWrap w:val="0"/>
                  <w:vAlign w:val="center"/>
                </w:tcPr>
                <w:p w14:paraId="4CB1A42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4" w:type="pct"/>
                  <w:vMerge w:val="continue"/>
                  <w:noWrap w:val="0"/>
                  <w:vAlign w:val="center"/>
                </w:tcPr>
                <w:p w14:paraId="11D1A8A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9" w:type="pct"/>
                  <w:vMerge w:val="continue"/>
                  <w:noWrap w:val="0"/>
                  <w:vAlign w:val="center"/>
                </w:tcPr>
                <w:p w14:paraId="1ABAAA6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442" w:type="pct"/>
                  <w:vMerge w:val="continue"/>
                  <w:noWrap w:val="0"/>
                  <w:vAlign w:val="center"/>
                </w:tcPr>
                <w:p w14:paraId="2B2B934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03" w:type="pct"/>
                  <w:vMerge w:val="continue"/>
                  <w:noWrap w:val="0"/>
                  <w:vAlign w:val="center"/>
                </w:tcPr>
                <w:p w14:paraId="2576A0E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6" w:type="pct"/>
                  <w:vMerge w:val="continue"/>
                  <w:noWrap w:val="0"/>
                  <w:vAlign w:val="center"/>
                </w:tcPr>
                <w:p w14:paraId="6BF16BE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298" w:type="pct"/>
                  <w:vMerge w:val="continue"/>
                  <w:noWrap w:val="0"/>
                  <w:vAlign w:val="center"/>
                </w:tcPr>
                <w:p w14:paraId="4D0613C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46" w:type="pct"/>
                  <w:noWrap w:val="0"/>
                  <w:vAlign w:val="center"/>
                </w:tcPr>
                <w:p w14:paraId="43672BF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阴离子表面活性剂</w:t>
                  </w:r>
                </w:p>
              </w:tc>
              <w:tc>
                <w:tcPr>
                  <w:tcW w:w="932" w:type="pct"/>
                  <w:noWrap w:val="0"/>
                  <w:vAlign w:val="center"/>
                </w:tcPr>
                <w:p w14:paraId="24B1E8D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1.0</w:t>
                  </w:r>
                </w:p>
              </w:tc>
            </w:tr>
            <w:tr w14:paraId="53E8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497BECA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0" w:type="pct"/>
                  <w:vMerge w:val="continue"/>
                  <w:noWrap w:val="0"/>
                  <w:vAlign w:val="center"/>
                </w:tcPr>
                <w:p w14:paraId="70B6ED0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92" w:type="pct"/>
                  <w:vMerge w:val="continue"/>
                  <w:noWrap w:val="0"/>
                  <w:vAlign w:val="center"/>
                </w:tcPr>
                <w:p w14:paraId="6124325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4" w:type="pct"/>
                  <w:vMerge w:val="continue"/>
                  <w:noWrap w:val="0"/>
                  <w:vAlign w:val="center"/>
                </w:tcPr>
                <w:p w14:paraId="6A247C0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59" w:type="pct"/>
                  <w:vMerge w:val="continue"/>
                  <w:noWrap w:val="0"/>
                  <w:vAlign w:val="center"/>
                </w:tcPr>
                <w:p w14:paraId="0EECAE9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442" w:type="pct"/>
                  <w:vMerge w:val="continue"/>
                  <w:noWrap w:val="0"/>
                  <w:vAlign w:val="center"/>
                </w:tcPr>
                <w:p w14:paraId="0CE3BD6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03" w:type="pct"/>
                  <w:vMerge w:val="continue"/>
                  <w:noWrap w:val="0"/>
                  <w:vAlign w:val="center"/>
                </w:tcPr>
                <w:p w14:paraId="05F32CE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336" w:type="pct"/>
                  <w:vMerge w:val="continue"/>
                  <w:noWrap w:val="0"/>
                  <w:vAlign w:val="center"/>
                </w:tcPr>
                <w:p w14:paraId="30F4A1E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298" w:type="pct"/>
                  <w:vMerge w:val="continue"/>
                  <w:noWrap w:val="0"/>
                  <w:vAlign w:val="center"/>
                </w:tcPr>
                <w:p w14:paraId="3E74D3D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p>
              </w:tc>
              <w:tc>
                <w:tcPr>
                  <w:tcW w:w="646" w:type="pct"/>
                  <w:noWrap w:val="0"/>
                  <w:vAlign w:val="center"/>
                </w:tcPr>
                <w:p w14:paraId="312600D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石油类</w:t>
                  </w:r>
                </w:p>
              </w:tc>
              <w:tc>
                <w:tcPr>
                  <w:tcW w:w="932" w:type="pct"/>
                  <w:noWrap w:val="0"/>
                  <w:vAlign w:val="center"/>
                </w:tcPr>
                <w:p w14:paraId="0BB4657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3</w:t>
                  </w:r>
                </w:p>
              </w:tc>
            </w:tr>
          </w:tbl>
          <w:p w14:paraId="43A85914">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000000" w:themeColor="text1"/>
                <w:sz w:val="21"/>
                <w:szCs w:val="21"/>
                <w:highlight w:val="none"/>
                <w14:textFill>
                  <w14:solidFill>
                    <w14:schemeClr w14:val="tx1"/>
                  </w14:solidFill>
                </w14:textFill>
              </w:rPr>
            </w:pPr>
          </w:p>
          <w:p w14:paraId="793C2F54">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2.4</w:t>
            </w:r>
            <w:r>
              <w:rPr>
                <w:rFonts w:hint="default" w:ascii="Times New Roman" w:hAnsi="Times New Roman" w:cs="Times New Roman"/>
                <w:b/>
                <w:bCs/>
                <w:color w:val="000000" w:themeColor="text1"/>
                <w:sz w:val="24"/>
                <w:szCs w:val="24"/>
                <w:highlight w:val="none"/>
                <w14:textFill>
                  <w14:solidFill>
                    <w14:schemeClr w14:val="tx1"/>
                  </w14:solidFill>
                </w14:textFill>
              </w:rPr>
              <w:t>达标情况分析</w:t>
            </w:r>
          </w:p>
          <w:p w14:paraId="42E4BDA7">
            <w:pPr>
              <w:pStyle w:val="11"/>
              <w:widowControl/>
              <w:numPr>
                <w:ilvl w:val="4"/>
                <w:numId w:val="0"/>
              </w:numPr>
              <w:suppressLineNumbers w:val="0"/>
              <w:spacing w:before="0" w:beforeAutospacing="0" w:after="0" w:afterAutospacing="0" w:line="360" w:lineRule="auto"/>
              <w:ind w:left="480" w:right="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（1）可行性技术分析</w:t>
            </w:r>
          </w:p>
          <w:p w14:paraId="37405352">
            <w:pPr>
              <w:pStyle w:val="2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参考《排污许可证申请与核发技术规范铁路、船舶、航空航天和其他运输设备制造业》（HJ 1124—2020）中表A.7表面处理（涂装）排污单位废水污染防治推荐可行技术可知，本项目生产废水采用“</w:t>
            </w:r>
            <w:r>
              <w:rPr>
                <w:rFonts w:hint="eastAsia" w:cs="Times New Roman"/>
                <w:color w:val="000000" w:themeColor="text1"/>
                <w:sz w:val="24"/>
                <w:szCs w:val="24"/>
                <w:highlight w:val="none"/>
                <w:lang w:eastAsia="zh-CN"/>
                <w14:textFill>
                  <w14:solidFill>
                    <w14:schemeClr w14:val="tx1"/>
                  </w14:solidFill>
                </w14:textFill>
              </w:rPr>
              <w:t>中和调节+混凝沉淀+气浮+化学除氟</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处理和</w:t>
            </w:r>
            <w:r>
              <w:rPr>
                <w:rFonts w:hint="default" w:ascii="Times New Roman" w:hAnsi="Times New Roman" w:cs="Times New Roman"/>
                <w:color w:val="000000" w:themeColor="text1"/>
                <w:sz w:val="24"/>
                <w:szCs w:val="24"/>
                <w:highlight w:val="none"/>
                <w14:textFill>
                  <w14:solidFill>
                    <w14:schemeClr w14:val="tx1"/>
                  </w14:solidFill>
                </w14:textFill>
              </w:rPr>
              <w:t>生活污水采用三级化粪池</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+隔油隔渣池</w:t>
            </w:r>
            <w:r>
              <w:rPr>
                <w:rFonts w:hint="default" w:ascii="Times New Roman" w:hAnsi="Times New Roman" w:cs="Times New Roman"/>
                <w:color w:val="000000" w:themeColor="text1"/>
                <w:sz w:val="24"/>
                <w:szCs w:val="24"/>
                <w:highlight w:val="none"/>
                <w14:textFill>
                  <w14:solidFill>
                    <w14:schemeClr w14:val="tx1"/>
                  </w14:solidFill>
                </w14:textFill>
              </w:rPr>
              <w:t>处理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所用技术均</w:t>
            </w:r>
            <w:r>
              <w:rPr>
                <w:rFonts w:hint="default" w:ascii="Times New Roman" w:hAnsi="Times New Roman" w:cs="Times New Roman"/>
                <w:color w:val="000000" w:themeColor="text1"/>
                <w:sz w:val="24"/>
                <w:szCs w:val="24"/>
                <w:highlight w:val="none"/>
                <w14:textFill>
                  <w14:solidFill>
                    <w14:schemeClr w14:val="tx1"/>
                  </w14:solidFill>
                </w14:textFill>
              </w:rPr>
              <w:t>属于可行技术。因此，项目废水处理措施可行。</w:t>
            </w:r>
          </w:p>
          <w:p w14:paraId="0D6132F6">
            <w:pPr>
              <w:pStyle w:val="11"/>
              <w:widowControl/>
              <w:numPr>
                <w:ilvl w:val="4"/>
                <w:numId w:val="0"/>
              </w:numPr>
              <w:suppressLineNumbers w:val="0"/>
              <w:spacing w:before="0" w:beforeAutospacing="0" w:after="0" w:afterAutospacing="0" w:line="360" w:lineRule="auto"/>
              <w:ind w:left="480" w:right="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（2）水污染物控制和水环境影响减缓措施有效性评价</w:t>
            </w:r>
          </w:p>
          <w:p w14:paraId="5E88A937">
            <w:pPr>
              <w:pStyle w:val="19"/>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本项目位于广东省韶关市乐昌市乐昌产业转移工业园内，属于园区污水处理</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厂纳污</w:t>
            </w:r>
            <w:r>
              <w:rPr>
                <w:rFonts w:hint="default" w:ascii="Times New Roman" w:hAnsi="Times New Roman" w:cs="Times New Roman"/>
                <w:color w:val="000000" w:themeColor="text1"/>
                <w:sz w:val="24"/>
                <w:szCs w:val="24"/>
                <w:highlight w:val="none"/>
                <w14:textFill>
                  <w14:solidFill>
                    <w14:schemeClr w14:val="tx1"/>
                  </w14:solidFill>
                </w14:textFill>
              </w:rPr>
              <w:t>范围</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园区污水处理厂纳污管网图见附图15</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。项目生活污水经三级化粪池</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+隔油隔渣池</w:t>
            </w:r>
            <w:r>
              <w:rPr>
                <w:rFonts w:hint="default" w:ascii="Times New Roman" w:hAnsi="Times New Roman" w:cs="Times New Roman"/>
                <w:color w:val="000000" w:themeColor="text1"/>
                <w:sz w:val="24"/>
                <w:szCs w:val="24"/>
                <w:highlight w:val="none"/>
                <w14:textFill>
                  <w14:solidFill>
                    <w14:schemeClr w14:val="tx1"/>
                  </w14:solidFill>
                </w14:textFill>
              </w:rPr>
              <w:t>预处理、生产废水经自建废水处理设施处理后，进入园区污水处理厂深度处理，处理后的尾水排入武江（乐昌城-犁市河段）。</w:t>
            </w:r>
          </w:p>
          <w:p w14:paraId="60228C84">
            <w:pPr>
              <w:pStyle w:val="22"/>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自建废水处理设施设计处理能力为</w:t>
            </w:r>
            <w:r>
              <w:rPr>
                <w:rFonts w:hint="eastAsia" w:cs="Times New Roman"/>
                <w:color w:val="000000" w:themeColor="text1"/>
                <w:sz w:val="24"/>
                <w:szCs w:val="24"/>
                <w:highlight w:val="none"/>
                <w:lang w:val="en-US" w:eastAsia="zh-CN"/>
                <w14:textFill>
                  <w14:solidFill>
                    <w14:schemeClr w14:val="tx1"/>
                  </w14:solidFill>
                </w14:textFill>
              </w:rPr>
              <w:t>50</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为避免预、主脱脂池槽液更换期间，更换废水一并进入自建污水处理站造成水质冲击，本项目处理池及污水排放管网设置有阀门，自建污水处理站设置流量调节装置，可将槽液更换期间产生的废水分批次纳入调节池中，另建设单位应加强废水管理，避免所有处理池排放废水在同一天排入自建污水处理站中，废水处理设计处理能力为</w:t>
            </w:r>
            <w:r>
              <w:rPr>
                <w:rFonts w:hint="eastAsia" w:cs="Times New Roman"/>
                <w:color w:val="000000" w:themeColor="text1"/>
                <w:sz w:val="24"/>
                <w:szCs w:val="24"/>
                <w:highlight w:val="none"/>
                <w:lang w:val="en-US" w:eastAsia="zh-CN"/>
                <w14:textFill>
                  <w14:solidFill>
                    <w14:schemeClr w14:val="tx1"/>
                  </w14:solidFill>
                </w14:textFill>
              </w:rPr>
              <w:t>50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/d，</w:t>
            </w:r>
            <w:r>
              <w:rPr>
                <w:rFonts w:hint="default" w:ascii="Times New Roman" w:hAnsi="Times New Roman" w:cs="Times New Roman"/>
                <w:color w:val="000000" w:themeColor="text1"/>
                <w:sz w:val="24"/>
                <w:szCs w:val="24"/>
                <w:highlight w:val="none"/>
                <w14:textFill>
                  <w14:solidFill>
                    <w14:schemeClr w14:val="tx1"/>
                  </w14:solidFill>
                </w14:textFill>
              </w:rPr>
              <w:t>满足本项目所需处理的废水量</w:t>
            </w:r>
            <w:r>
              <w:rPr>
                <w:rFonts w:hint="eastAsia" w:cs="Times New Roman"/>
                <w:color w:val="000000" w:themeColor="text1"/>
                <w:sz w:val="24"/>
                <w:szCs w:val="24"/>
                <w:highlight w:val="none"/>
                <w:lang w:val="en-US" w:eastAsia="zh-CN"/>
                <w14:textFill>
                  <w14:solidFill>
                    <w14:schemeClr w14:val="tx1"/>
                  </w14:solidFill>
                </w14:textFill>
              </w:rPr>
              <w:t>41.54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/d</w:t>
            </w:r>
            <w:r>
              <w:rPr>
                <w:rFonts w:hint="default" w:ascii="Times New Roman" w:hAnsi="Times New Roman" w:cs="Times New Roman"/>
                <w:color w:val="000000" w:themeColor="text1"/>
                <w:sz w:val="24"/>
                <w:szCs w:val="24"/>
                <w:highlight w:val="none"/>
                <w14:textFill>
                  <w14:solidFill>
                    <w14:schemeClr w14:val="tx1"/>
                  </w14:solidFill>
                </w14:textFill>
              </w:rPr>
              <w:t>。</w:t>
            </w:r>
          </w:p>
          <w:p w14:paraId="6D08FAD0">
            <w:pPr>
              <w:pStyle w:val="22"/>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根据废水产生情况，槽液更换量最大为11.2m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lang w:val="en-US" w:eastAsia="zh-CN"/>
                <w14:textFill>
                  <w14:solidFill>
                    <w14:schemeClr w14:val="tx1"/>
                  </w14:solidFill>
                </w14:textFill>
              </w:rPr>
              <w:t>，每次更换一个槽池，假设更换槽液时其他池子正常作业（即溢流废水正常产生），则单日最大废水产生量为11.2+4685.04÷241=30.64t/d，项目废水处理站设置调节池容积为55m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vertAlign w:val="baseline"/>
                <w:lang w:val="en-US" w:eastAsia="zh-CN"/>
                <w14:textFill>
                  <w14:solidFill>
                    <w14:schemeClr w14:val="tx1"/>
                  </w14:solidFill>
                </w14:textFill>
              </w:rPr>
              <w:t>，大于单日最大废水产生量，调节池容积足以缓冲水量冲击负荷。</w:t>
            </w:r>
          </w:p>
          <w:p w14:paraId="48501CBE">
            <w:pPr>
              <w:pStyle w:val="22"/>
              <w:keepNext w:val="0"/>
              <w:keepLines w:val="0"/>
              <w:suppressLineNumbers w:val="0"/>
              <w:spacing w:before="0" w:beforeAutospacing="0" w:after="0" w:afterAutospacing="0" w:line="360" w:lineRule="auto"/>
              <w:ind w:left="0" w:right="0" w:firstLine="482"/>
              <w:rPr>
                <w:rFonts w:hint="default" w:ascii="Times New Roman" w:hAnsi="Times New Roman" w:cs="Times New Roman"/>
                <w:color w:val="000000" w:themeColor="text1"/>
                <w:kern w:val="0"/>
                <w:sz w:val="24"/>
                <w:szCs w:val="24"/>
                <w:highlight w:val="none"/>
                <w:lang w:bidi="ar"/>
                <w14:textFill>
                  <w14:solidFill>
                    <w14:schemeClr w14:val="tx1"/>
                  </w14:solidFill>
                </w14:textFill>
              </w:rPr>
            </w:pPr>
            <w:r>
              <w:rPr>
                <w:rFonts w:hint="default" w:ascii="Times New Roman" w:hAnsi="Times New Roman" w:cs="Times New Roman"/>
                <w:color w:val="000000" w:themeColor="text1"/>
                <w:kern w:val="0"/>
                <w:sz w:val="24"/>
                <w:szCs w:val="24"/>
                <w:highlight w:val="none"/>
                <w:lang w:bidi="ar"/>
                <w14:textFill>
                  <w14:solidFill>
                    <w14:schemeClr w14:val="tx1"/>
                  </w14:solidFill>
                </w14:textFill>
              </w:rPr>
              <w:t>园区污水处理厂出水水质执行《城镇污水处理厂污染物排放标准》（GB18918-2002）中一级B标准和广东省《水污染物排放限值》（DB44/26-2001）中的第二时段一级排放标准较严者，对周围环境影响较小。</w:t>
            </w:r>
          </w:p>
          <w:p w14:paraId="1C4456F3">
            <w:pPr>
              <w:pStyle w:val="22"/>
              <w:keepNext w:val="0"/>
              <w:keepLines w:val="0"/>
              <w:suppressLineNumbers w:val="0"/>
              <w:spacing w:before="0" w:beforeAutospacing="0" w:after="0" w:afterAutospacing="0" w:line="360" w:lineRule="auto"/>
              <w:ind w:left="0" w:right="0" w:firstLine="482"/>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（3）依托污水设施的环境可行性评价</w:t>
            </w:r>
          </w:p>
          <w:p w14:paraId="2E1A95DD">
            <w:pPr>
              <w:pStyle w:val="22"/>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产业园范围内已有乐昌产业转移工业园污水处理厂，</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且本项目所在地块已纳入现状排污管收集范围内。</w:t>
            </w:r>
            <w:r>
              <w:rPr>
                <w:rFonts w:hint="default" w:ascii="Times New Roman" w:hAnsi="Times New Roman" w:cs="Times New Roman"/>
                <w:color w:val="000000" w:themeColor="text1"/>
                <w:sz w:val="24"/>
                <w:szCs w:val="24"/>
                <w:highlight w:val="none"/>
                <w14:textFill>
                  <w14:solidFill>
                    <w14:schemeClr w14:val="tx1"/>
                  </w14:solidFill>
                </w14:textFill>
              </w:rPr>
              <w:t>污水工艺采用循环式活性污泥法（CASS）工艺。出水水质标准执行广东省地方标准《水污染物排放限值》</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DB44/26-2001</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第二时段一级标准及国家《城镇污水处理厂污染物排放标准》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GB18918-2002</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一级B标准中较严标准，处理达标后由污水处理厂内提升泵通过已建成6392米长的出水管道输送至武江排放。</w:t>
            </w:r>
          </w:p>
          <w:p w14:paraId="51602D7E">
            <w:pPr>
              <w:pStyle w:val="22"/>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园区污水处理厂主体工艺</w:t>
            </w:r>
            <w:r>
              <w:rPr>
                <w:rFonts w:hint="default" w:ascii="Times New Roman" w:hAnsi="Times New Roman" w:cs="Times New Roman"/>
                <w:color w:val="000000" w:themeColor="text1"/>
                <w:sz w:val="24"/>
                <w:szCs w:val="24"/>
                <w:highlight w:val="none"/>
                <w:lang w:eastAsia="zh-CN"/>
                <w14:textFill>
                  <w14:solidFill>
                    <w14:schemeClr w14:val="tx1"/>
                  </w14:solidFill>
                </w14:textFill>
              </w:rPr>
              <w:t>采用</w:t>
            </w:r>
            <w:r>
              <w:rPr>
                <w:rFonts w:hint="default" w:ascii="Times New Roman" w:hAnsi="Times New Roman" w:cs="Times New Roman"/>
                <w:color w:val="000000" w:themeColor="text1"/>
                <w:sz w:val="24"/>
                <w:szCs w:val="24"/>
                <w:highlight w:val="none"/>
                <w14:textFill>
                  <w14:solidFill>
                    <w14:schemeClr w14:val="tx1"/>
                  </w14:solidFill>
                </w14:textFill>
              </w:rPr>
              <w:t>CASS，该工艺运行灵活、耐冲击能力强等优点。对于产业转移工业园工业废水，现状各企业基本无生产废水产生，只产生生活污水。可能对污水厂处理工艺产生影响的主要为产业转移工业园规划引进的企业的生产废水，园区主导行业电子信息、机械、金属制品、轻纺等产业可能产生的生产废水中部分指标较高，对于接入污水厂的生产废水，产业转移工业园要求企业根据生产废水的水质情况进行预处理。其中，如有集成电路生产企业，其生产废水经pH值调节、投药、絮凝沉淀，重点去除F</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后，预处理达到广东省《水污染</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物</w:t>
            </w:r>
            <w:r>
              <w:rPr>
                <w:rFonts w:hint="default" w:ascii="Times New Roman" w:hAnsi="Times New Roman" w:cs="Times New Roman"/>
                <w:color w:val="000000" w:themeColor="text1"/>
                <w:sz w:val="24"/>
                <w:szCs w:val="24"/>
                <w:highlight w:val="none"/>
                <w14:textFill>
                  <w14:solidFill>
                    <w14:schemeClr w14:val="tx1"/>
                  </w14:solidFill>
                </w14:textFill>
              </w:rPr>
              <w:t>排放限值》</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DB44/26-2001</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第二时段三级标准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461B6246">
            <w:pPr>
              <w:pStyle w:val="19"/>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产业园污水处理厂目前已建成正常运行，并安装了在线监控设施并</w:t>
            </w:r>
            <w:r>
              <w:rPr>
                <w:rFonts w:hint="default" w:ascii="Times New Roman" w:hAnsi="Times New Roman" w:cs="Times New Roman"/>
                <w:color w:val="000000" w:themeColor="text1"/>
                <w:sz w:val="24"/>
                <w:szCs w:val="24"/>
                <w:highlight w:val="none"/>
                <w:lang w:eastAsia="zh-CN"/>
                <w14:textFill>
                  <w14:solidFill>
                    <w14:schemeClr w14:val="tx1"/>
                  </w14:solidFill>
                </w14:textFill>
              </w:rPr>
              <w:t>与</w:t>
            </w:r>
            <w:r>
              <w:rPr>
                <w:rFonts w:hint="eastAsia" w:cs="Times New Roman"/>
                <w:color w:val="000000" w:themeColor="text1"/>
                <w:sz w:val="24"/>
                <w:szCs w:val="24"/>
                <w:highlight w:val="none"/>
                <w:lang w:eastAsia="zh-CN"/>
                <w14:textFill>
                  <w14:solidFill>
                    <w14:schemeClr w14:val="tx1"/>
                  </w14:solidFill>
                </w14:textFill>
              </w:rPr>
              <w:t>生态环境主管部门</w:t>
            </w:r>
            <w:r>
              <w:rPr>
                <w:rFonts w:hint="default" w:ascii="Times New Roman" w:hAnsi="Times New Roman" w:cs="Times New Roman"/>
                <w:color w:val="000000" w:themeColor="text1"/>
                <w:sz w:val="24"/>
                <w:szCs w:val="24"/>
                <w:highlight w:val="none"/>
                <w14:textFill>
                  <w14:solidFill>
                    <w14:schemeClr w14:val="tx1"/>
                  </w14:solidFill>
                </w14:textFill>
              </w:rPr>
              <w:t>联网，园区污水处理厂占地面积15400m²，设计处理能力为10000m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/d，分两期建设，一期处理能力5000m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/d，二期处理能力5000m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/d，现状首期5000m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/d已经建成运行。</w:t>
            </w:r>
          </w:p>
          <w:p w14:paraId="6D88BEF2">
            <w:pPr>
              <w:keepNext w:val="0"/>
              <w:keepLines w:val="0"/>
              <w:widowControl/>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根据乐昌产业转移工业园管委会提供的资料显示：2025年1月至6月期间，乐昌市产业转移工业园污水处理厂接纳污水总量为404312</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最大接纳污水量为6月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110739</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最小接纳污水量为1月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32168</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平均每月接纳污水总量为80862.4</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，按每月30日折算</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日处理量约为2695.4</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/d，则剩余接纳污水能力为</w:t>
            </w:r>
            <w:r>
              <w:rPr>
                <w:rFonts w:hint="default" w:ascii="Times New Roman" w:hAnsi="Times New Roman" w:cs="Times New Roman"/>
                <w:color w:val="000000" w:themeColor="text1"/>
                <w:sz w:val="24"/>
                <w:szCs w:val="24"/>
                <w:highlight w:val="none"/>
                <w14:textFill>
                  <w14:solidFill>
                    <w14:schemeClr w14:val="tx1"/>
                  </w14:solidFill>
                </w14:textFill>
              </w:rPr>
              <w:t>5000m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2695.4</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/d=2304.6</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/d。</w:t>
            </w:r>
          </w:p>
          <w:p w14:paraId="1F7EBDB1">
            <w:pPr>
              <w:pStyle w:val="19"/>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全厂</w:t>
            </w:r>
            <w:r>
              <w:rPr>
                <w:rFonts w:hint="default" w:ascii="Times New Roman" w:hAnsi="Times New Roman" w:cs="Times New Roman"/>
                <w:color w:val="000000" w:themeColor="text1"/>
                <w:sz w:val="24"/>
                <w:szCs w:val="24"/>
                <w:highlight w:val="none"/>
                <w14:textFill>
                  <w14:solidFill>
                    <w14:schemeClr w14:val="tx1"/>
                  </w14:solidFill>
                </w14:textFill>
              </w:rPr>
              <w:t>纳入污水处理厂的污水排放量为</w:t>
            </w:r>
            <w:r>
              <w:rPr>
                <w:rFonts w:hint="eastAsia" w:cs="Times New Roman"/>
                <w:color w:val="000000" w:themeColor="text1"/>
                <w:sz w:val="24"/>
                <w:szCs w:val="24"/>
                <w:highlight w:val="none"/>
                <w:lang w:val="en-US" w:eastAsia="zh-CN"/>
                <w14:textFill>
                  <w14:solidFill>
                    <w14:schemeClr w14:val="tx1"/>
                  </w14:solidFill>
                </w14:textFill>
              </w:rPr>
              <w:t>50.12</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/d，</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约</w:t>
            </w:r>
            <w:r>
              <w:rPr>
                <w:rFonts w:hint="default" w:ascii="Times New Roman" w:hAnsi="Times New Roman" w:cs="Times New Roman"/>
                <w:color w:val="000000" w:themeColor="text1"/>
                <w:sz w:val="24"/>
                <w:szCs w:val="24"/>
                <w:highlight w:val="none"/>
                <w:lang w:eastAsia="zh-CN"/>
                <w14:textFill>
                  <w14:solidFill>
                    <w14:schemeClr w14:val="tx1"/>
                  </w14:solidFill>
                </w14:textFill>
              </w:rPr>
              <w:t>占剩余处理能力的</w:t>
            </w:r>
            <w:r>
              <w:rPr>
                <w:rFonts w:hint="eastAsia" w:cs="Times New Roman"/>
                <w:color w:val="000000" w:themeColor="text1"/>
                <w:sz w:val="24"/>
                <w:szCs w:val="24"/>
                <w:highlight w:val="none"/>
                <w:lang w:val="en-US" w:eastAsia="zh-CN"/>
                <w14:textFill>
                  <w14:solidFill>
                    <w14:schemeClr w14:val="tx1"/>
                  </w14:solidFill>
                </w14:textFill>
              </w:rPr>
              <w:t>2.2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污水中的污染物主要为SS、COD</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Cr</w:t>
            </w:r>
            <w:r>
              <w:rPr>
                <w:rFonts w:hint="default" w:ascii="Times New Roman" w:hAnsi="Times New Roman" w:cs="Times New Roman"/>
                <w:color w:val="000000" w:themeColor="text1"/>
                <w:sz w:val="24"/>
                <w:szCs w:val="24"/>
                <w:highlight w:val="none"/>
                <w14:textFill>
                  <w14:solidFill>
                    <w14:schemeClr w14:val="tx1"/>
                  </w14:solidFill>
                </w14:textFill>
              </w:rPr>
              <w:t>、BOD</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、NH</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-N、氟化物、LAS、石油类</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、锆、钛</w:t>
            </w:r>
            <w:r>
              <w:rPr>
                <w:rFonts w:hint="default" w:ascii="Times New Roman" w:hAnsi="Times New Roman" w:cs="Times New Roman"/>
                <w:color w:val="000000" w:themeColor="text1"/>
                <w:sz w:val="24"/>
                <w:szCs w:val="24"/>
                <w:highlight w:val="none"/>
                <w14:textFill>
                  <w14:solidFill>
                    <w14:schemeClr w14:val="tx1"/>
                  </w14:solidFill>
                </w14:textFill>
              </w:rPr>
              <w:t>等，污染物种类较简单</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3004028E">
            <w:pPr>
              <w:pStyle w:val="19"/>
              <w:keepNext w:val="0"/>
              <w:keepLines w:val="0"/>
              <w:suppressLineNumbers w:val="0"/>
              <w:spacing w:before="0" w:beforeAutospacing="0" w:after="0" w:afterAutospacing="0" w:line="360" w:lineRule="auto"/>
              <w:ind w:left="0" w:right="0" w:firstLine="480"/>
              <w:rPr>
                <w:rFonts w:hint="default" w:ascii="Times New Roman" w:hAnsi="Times New Roman" w:cs="Times New Roman"/>
                <w:b/>
                <w:bCs/>
                <w:color w:val="000000" w:themeColor="text1"/>
                <w:sz w:val="24"/>
                <w:szCs w:val="24"/>
                <w:highlight w:val="none"/>
                <w:lang w:val="en-US"/>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园区污水处理厂对</w:t>
            </w:r>
            <w:bookmarkStart w:id="28" w:name="OLE_LINK49"/>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LAS、氟化物、</w:t>
            </w:r>
            <w:bookmarkEnd w:id="28"/>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锆和钛的处理能力分析：</w:t>
            </w:r>
          </w:p>
          <w:p w14:paraId="2A9456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bookmarkStart w:id="29" w:name="OLE_LINK50"/>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一、工艺适配性分析</w:t>
            </w:r>
          </w:p>
          <w:p w14:paraId="5800E7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预处理工艺与园区工艺衔接</w:t>
            </w:r>
          </w:p>
          <w:p w14:paraId="2D141A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本项目</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采用“</w:t>
            </w:r>
            <w:r>
              <w:rPr>
                <w:rFonts w:hint="eastAsia" w:cs="Times New Roman"/>
                <w:b w:val="0"/>
                <w:bCs w:val="0"/>
                <w:color w:val="000000" w:themeColor="text1"/>
                <w:sz w:val="24"/>
                <w:szCs w:val="24"/>
                <w:highlight w:val="none"/>
                <w:lang w:eastAsia="zh-CN"/>
                <w14:textFill>
                  <w14:solidFill>
                    <w14:schemeClr w14:val="tx1"/>
                  </w14:solidFill>
                </w14:textFill>
              </w:rPr>
              <w:t>中和调节+混凝沉淀+气浮+化学除氟</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”预处理工艺，混凝沉淀通过电荷中和作用破坏LAS胶体稳定性，气浮则通过微气泡吸附将其分离</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。预处理工艺</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可有效降低废水中</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LAS、氟化物、</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锆（Zr）、钛（Ti）浓度</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显著减轻园区污水处理厂负荷。</w:t>
            </w:r>
          </w:p>
          <w:p w14:paraId="56D86DE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CASS工艺处理能力</w:t>
            </w:r>
          </w:p>
          <w:p w14:paraId="06C335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a</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金属氢氧化物沉淀机理</w:t>
            </w:r>
          </w:p>
          <w:p w14:paraId="6CE889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Zr⁴⁺在pH≥7.0条件下生成Zr(OH)₄沉淀（Ksp≈10⁻⁵⁶），Ti⁴⁺形成Ti(OH)₄胶体（Ksp≈10⁻⁴⁴），投加PAC（聚合氯化铝）和PAM（聚丙烯酰胺）后，通过电荷中和、吸附架桥及网捕作用，形成致密絮体，</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可</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沉淀</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去除，沉淀</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效率提升20%</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30%</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p w14:paraId="58BEC4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b</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生物吸附机制</w:t>
            </w:r>
          </w:p>
          <w:p w14:paraId="16DF366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活性污泥中微生物（如假单胞菌、芽孢杆菌）的细胞壁含羧基（-COOH）、羟基（-OH）等官能团，通过离子交换与表面络合吸附Zr⁴⁺、Ti⁴⁺，污泥回流设计（污泥龄15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25天）增强吸附容量（5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8mg/g MLSS）</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CASS工艺中活性污泥的微生物（如假单胞菌）可通过生物氧化分解LAS，其长污泥龄（15~25天）增强了对难降解有机物的去除能力。尽管预处理已大幅降低氟化物浓度，CASS工艺通过生物吸附和化学沉淀的协同作用（如微生物胞外聚合物对F</w:t>
            </w:r>
            <w:r>
              <w:rPr>
                <w:rFonts w:hint="default" w:ascii="Times New Roman" w:hAnsi="Times New Roman" w:eastAsia="宋体" w:cs="Times New Roman"/>
                <w:b w:val="0"/>
                <w:bCs w:val="0"/>
                <w:color w:val="000000" w:themeColor="text1"/>
                <w:sz w:val="24"/>
                <w:szCs w:val="24"/>
                <w:highlight w:val="none"/>
                <w:vertAlign w:val="superscript"/>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的络合），可进一步将氟化物浓度降</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低</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，强化达标保障。</w:t>
            </w:r>
          </w:p>
          <w:p w14:paraId="2C3B69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c</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协同增效效应</w:t>
            </w:r>
          </w:p>
          <w:p w14:paraId="5A701D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化学沉淀生成的金属絮体与活性污泥包裹形成“生物-化学复合体”，较单一工艺提升去除率15%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25%。</w:t>
            </w:r>
          </w:p>
          <w:p w14:paraId="26C79F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深度处理保障：后续絮凝沉淀池及纤维滤池可进一步截留微量金属</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离子</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对</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污染物</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进行进一步的</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截留。</w:t>
            </w:r>
          </w:p>
          <w:p w14:paraId="6ACE4D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二、重金属去除效能验证</w:t>
            </w:r>
          </w:p>
          <w:p w14:paraId="6F287B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污染物浓度与工艺负荷</w:t>
            </w:r>
          </w:p>
          <w:p w14:paraId="394A19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本项目</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预处理后Zr、Ti总浓度</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约</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为</w:t>
            </w:r>
            <w:r>
              <w:rPr>
                <w:rFonts w:hint="eastAsia" w:cs="Times New Roman"/>
                <w:b w:val="0"/>
                <w:bCs w:val="0"/>
                <w:color w:val="000000" w:themeColor="text1"/>
                <w:sz w:val="24"/>
                <w:szCs w:val="24"/>
                <w:highlight w:val="none"/>
                <w:lang w:val="en-US" w:eastAsia="zh-CN"/>
                <w14:textFill>
                  <w14:solidFill>
                    <w14:schemeClr w14:val="tx1"/>
                  </w14:solidFill>
                </w14:textFill>
              </w:rPr>
              <w:t>0.80m</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g/L（</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0.48</w:t>
            </w:r>
            <w:r>
              <w:rPr>
                <w:rFonts w:hint="default"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mg/L+</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0.32</w:t>
            </w:r>
            <w:r>
              <w:rPr>
                <w:rFonts w:hint="default"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mg/L</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），低于园区污水处理厂设计进水重金属综合限值（参照《污水排入城镇下水道水质标准》</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GB/T31962-2015</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，通常设定为10mg/L），工艺安全余量充足。</w:t>
            </w:r>
          </w:p>
          <w:p w14:paraId="601310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水量稀释效应</w:t>
            </w:r>
          </w:p>
          <w:p w14:paraId="702C8FAA">
            <w:pPr>
              <w:pStyle w:val="19"/>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w:t>
            </w:r>
            <w:r>
              <w:rPr>
                <w:rFonts w:hint="default" w:ascii="Times New Roman" w:hAnsi="Times New Roman" w:eastAsia="宋体" w:cs="Times New Roman"/>
                <w:color w:val="000000" w:themeColor="text1"/>
                <w:sz w:val="24"/>
                <w:szCs w:val="24"/>
                <w:highlight w:val="none"/>
                <w14:textFill>
                  <w14:solidFill>
                    <w14:schemeClr w14:val="tx1"/>
                  </w14:solidFill>
                </w14:textFill>
              </w:rPr>
              <w:t>废水排放量为</w:t>
            </w:r>
            <w:r>
              <w:rPr>
                <w:rFonts w:hint="eastAsia" w:cs="Times New Roman"/>
                <w:color w:val="000000" w:themeColor="text1"/>
                <w:sz w:val="24"/>
                <w:szCs w:val="24"/>
                <w:highlight w:val="none"/>
                <w:lang w:val="en-US" w:eastAsia="zh-CN"/>
                <w14:textFill>
                  <w14:solidFill>
                    <w14:schemeClr w14:val="tx1"/>
                  </w14:solidFill>
                </w14:textFill>
              </w:rPr>
              <w:t>50.12</w:t>
            </w:r>
            <w:r>
              <w:rPr>
                <w:rFonts w:hint="default" w:ascii="Times New Roman" w:hAnsi="Times New Roman" w:eastAsia="宋体" w:cs="Times New Roman"/>
                <w:color w:val="000000" w:themeColor="text1"/>
                <w:sz w:val="24"/>
                <w:szCs w:val="24"/>
                <w:highlight w:val="none"/>
                <w14:textFill>
                  <w14:solidFill>
                    <w14:schemeClr w14:val="tx1"/>
                  </w14:solidFill>
                </w14:textFill>
              </w:rPr>
              <w:t>m³/d，仅占园区污水处理厂剩余处理能力（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2304.6</w:t>
            </w:r>
            <w:r>
              <w:rPr>
                <w:rFonts w:hint="default" w:ascii="Times New Roman" w:hAnsi="Times New Roman" w:eastAsia="宋体" w:cs="Times New Roman"/>
                <w:color w:val="000000" w:themeColor="text1"/>
                <w:sz w:val="24"/>
                <w:szCs w:val="24"/>
                <w:highlight w:val="none"/>
                <w14:textFill>
                  <w14:solidFill>
                    <w14:schemeClr w14:val="tx1"/>
                  </w14:solidFill>
                </w14:textFill>
              </w:rPr>
              <w:t>m³/d）的</w:t>
            </w:r>
            <w:r>
              <w:rPr>
                <w:rFonts w:hint="eastAsia" w:cs="Times New Roman"/>
                <w:color w:val="000000" w:themeColor="text1"/>
                <w:sz w:val="24"/>
                <w:szCs w:val="24"/>
                <w:highlight w:val="none"/>
                <w:lang w:val="en-US" w:eastAsia="zh-CN"/>
                <w14:textFill>
                  <w14:solidFill>
                    <w14:schemeClr w14:val="tx1"/>
                  </w14:solidFill>
                </w14:textFill>
              </w:rPr>
              <w:t>2.2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。大水量对污染物具有显著稀释作用，结合工艺处理，预计Zr、Ti浓度可进一步降至0.25mg/L以下，远低于环境风险阈值。</w:t>
            </w:r>
          </w:p>
          <w:bookmarkEnd w:id="29"/>
          <w:p w14:paraId="014A7848">
            <w:pPr>
              <w:pStyle w:val="19"/>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乐昌产业转移工业园污水处理厂现有CASS工艺具备处理</w:t>
            </w:r>
            <w:r>
              <w:rPr>
                <w:rFonts w:hint="eastAsia" w:cs="Times New Roman"/>
                <w:color w:val="000000" w:themeColor="text1"/>
                <w:sz w:val="24"/>
                <w:szCs w:val="24"/>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4"/>
                <w:szCs w:val="24"/>
                <w:highlight w:val="none"/>
                <w14:textFill>
                  <w14:solidFill>
                    <w14:schemeClr w14:val="tx1"/>
                  </w14:solidFill>
                </w14:textFill>
              </w:rPr>
              <w:t>含锆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钛废水的能力，预处理后</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的</w:t>
            </w:r>
            <w:r>
              <w:rPr>
                <w:rFonts w:hint="default" w:ascii="Times New Roman" w:hAnsi="Times New Roman" w:cs="Times New Roman"/>
                <w:color w:val="000000" w:themeColor="text1"/>
                <w:sz w:val="24"/>
                <w:szCs w:val="24"/>
                <w:highlight w:val="none"/>
                <w14:textFill>
                  <w14:solidFill>
                    <w14:schemeClr w14:val="tx1"/>
                  </w14:solidFill>
                </w14:textFill>
              </w:rPr>
              <w:t>水质及水量均在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园区污水处理厂</w:t>
            </w:r>
            <w:r>
              <w:rPr>
                <w:rFonts w:hint="default" w:ascii="Times New Roman" w:hAnsi="Times New Roman" w:cs="Times New Roman"/>
                <w:color w:val="000000" w:themeColor="text1"/>
                <w:sz w:val="24"/>
                <w:szCs w:val="24"/>
                <w:highlight w:val="none"/>
                <w14:textFill>
                  <w14:solidFill>
                    <w14:schemeClr w14:val="tx1"/>
                  </w14:solidFill>
                </w14:textFill>
              </w:rPr>
              <w:t>工艺耐受范围内，</w:t>
            </w:r>
            <w:r>
              <w:rPr>
                <w:rFonts w:hint="default" w:ascii="Times New Roman" w:hAnsi="Times New Roman" w:cs="Times New Roman"/>
                <w:color w:val="000000" w:themeColor="text1"/>
                <w:sz w:val="24"/>
                <w:highlight w:val="none"/>
                <w14:textFill>
                  <w14:solidFill>
                    <w14:schemeClr w14:val="tx1"/>
                  </w14:solidFill>
                </w14:textFill>
              </w:rPr>
              <w:t>同意</w:t>
            </w:r>
            <w:r>
              <w:rPr>
                <w:rFonts w:hint="default" w:ascii="Times New Roman" w:hAnsi="Times New Roman" w:cs="Times New Roman"/>
                <w:color w:val="000000" w:themeColor="text1"/>
                <w:sz w:val="24"/>
                <w:highlight w:val="none"/>
                <w:lang w:val="en-US" w:eastAsia="zh-CN"/>
                <w14:textFill>
                  <w14:solidFill>
                    <w14:schemeClr w14:val="tx1"/>
                  </w14:solidFill>
                </w14:textFill>
              </w:rPr>
              <w:t>本项目生产废水</w:t>
            </w:r>
            <w:r>
              <w:rPr>
                <w:rFonts w:hint="default" w:ascii="Times New Roman" w:hAnsi="Times New Roman" w:cs="Times New Roman"/>
                <w:color w:val="000000" w:themeColor="text1"/>
                <w:sz w:val="24"/>
                <w:highlight w:val="none"/>
                <w14:textFill>
                  <w14:solidFill>
                    <w14:schemeClr w14:val="tx1"/>
                  </w14:solidFill>
                </w14:textFill>
              </w:rPr>
              <w:t>接入园区</w:t>
            </w:r>
            <w:r>
              <w:rPr>
                <w:rFonts w:hint="default" w:ascii="Times New Roman" w:hAnsi="Times New Roman" w:cs="Times New Roman"/>
                <w:color w:val="000000" w:themeColor="text1"/>
                <w:sz w:val="24"/>
                <w:highlight w:val="none"/>
                <w:lang w:val="en-US" w:eastAsia="zh-CN"/>
                <w14:textFill>
                  <w14:solidFill>
                    <w14:schemeClr w14:val="tx1"/>
                  </w14:solidFill>
                </w14:textFill>
              </w:rPr>
              <w:t>污水</w:t>
            </w:r>
            <w:r>
              <w:rPr>
                <w:rFonts w:hint="default" w:ascii="Times New Roman" w:hAnsi="Times New Roman" w:cs="Times New Roman"/>
                <w:color w:val="000000" w:themeColor="text1"/>
                <w:sz w:val="24"/>
                <w:highlight w:val="none"/>
                <w14:textFill>
                  <w14:solidFill>
                    <w14:schemeClr w14:val="tx1"/>
                  </w14:solidFill>
                </w14:textFill>
              </w:rPr>
              <w:t>管网</w:t>
            </w:r>
            <w:r>
              <w:rPr>
                <w:rFonts w:hint="default" w:ascii="Times New Roman" w:hAnsi="Times New Roman" w:cs="Times New Roman"/>
                <w:color w:val="000000" w:themeColor="text1"/>
                <w:sz w:val="24"/>
                <w:szCs w:val="24"/>
                <w:highlight w:val="none"/>
                <w14:textFill>
                  <w14:solidFill>
                    <w14:schemeClr w14:val="tx1"/>
                  </w14:solidFill>
                </w14:textFill>
              </w:rPr>
              <w:t>。根据前</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文</w:t>
            </w:r>
            <w:r>
              <w:rPr>
                <w:rFonts w:hint="default" w:ascii="Times New Roman" w:hAnsi="Times New Roman" w:cs="Times New Roman"/>
                <w:color w:val="000000" w:themeColor="text1"/>
                <w:sz w:val="24"/>
                <w:szCs w:val="24"/>
                <w:highlight w:val="none"/>
                <w14:textFill>
                  <w14:solidFill>
                    <w14:schemeClr w14:val="tx1"/>
                  </w14:solidFill>
                </w14:textFill>
              </w:rPr>
              <w:t>分析，</w:t>
            </w:r>
            <w:bookmarkStart w:id="30" w:name="OLE_LINK51"/>
            <w:r>
              <w:rPr>
                <w:rFonts w:hint="default" w:ascii="Times New Roman" w:hAnsi="Times New Roman" w:cs="Times New Roman"/>
                <w:color w:val="000000" w:themeColor="text1"/>
                <w:sz w:val="24"/>
                <w:szCs w:val="24"/>
                <w:highlight w:val="none"/>
                <w14:textFill>
                  <w14:solidFill>
                    <w14:schemeClr w14:val="tx1"/>
                  </w14:solidFill>
                </w14:textFill>
              </w:rPr>
              <w:t>园区污水处理厂剩余污水处理能力完全可以容纳处理本项目排入的污水，且与园区处理能力匹配</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bookmarkEnd w:id="30"/>
            <w:r>
              <w:rPr>
                <w:rFonts w:hint="default" w:ascii="Times New Roman" w:hAnsi="Times New Roman" w:cs="Times New Roman"/>
                <w:color w:val="000000" w:themeColor="text1"/>
                <w:sz w:val="24"/>
                <w:szCs w:val="24"/>
                <w:highlight w:val="none"/>
                <w14:textFill>
                  <w14:solidFill>
                    <w14:schemeClr w14:val="tx1"/>
                  </w14:solidFill>
                </w14:textFill>
              </w:rPr>
              <w:t>因此，本</w:t>
            </w:r>
            <w:bookmarkStart w:id="31" w:name="OLE_LINK52"/>
            <w:r>
              <w:rPr>
                <w:rFonts w:hint="default" w:ascii="Times New Roman" w:hAnsi="Times New Roman" w:cs="Times New Roman"/>
                <w:color w:val="000000" w:themeColor="text1"/>
                <w:sz w:val="24"/>
                <w:szCs w:val="24"/>
                <w:highlight w:val="none"/>
                <w14:textFill>
                  <w14:solidFill>
                    <w14:schemeClr w14:val="tx1"/>
                  </w14:solidFill>
                </w14:textFill>
              </w:rPr>
              <w:t>项目产生的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w:t>
            </w:r>
            <w:r>
              <w:rPr>
                <w:rFonts w:hint="default" w:ascii="Times New Roman" w:hAnsi="Times New Roman" w:cs="Times New Roman"/>
                <w:color w:val="000000" w:themeColor="text1"/>
                <w:sz w:val="24"/>
                <w:szCs w:val="24"/>
                <w:highlight w:val="none"/>
                <w14:textFill>
                  <w14:solidFill>
                    <w14:schemeClr w14:val="tx1"/>
                  </w14:solidFill>
                </w14:textFill>
              </w:rPr>
              <w:t>水经预处理后排入园区污水处理厂处理具有环境可行性</w:t>
            </w:r>
            <w:bookmarkEnd w:id="31"/>
            <w:r>
              <w:rPr>
                <w:rFonts w:hint="default" w:ascii="Times New Roman" w:hAnsi="Times New Roman" w:cs="Times New Roman"/>
                <w:color w:val="000000" w:themeColor="text1"/>
                <w:sz w:val="24"/>
                <w:szCs w:val="24"/>
                <w:highlight w:val="none"/>
                <w14:textFill>
                  <w14:solidFill>
                    <w14:schemeClr w14:val="tx1"/>
                  </w14:solidFill>
                </w14:textFill>
              </w:rPr>
              <w:t>。</w:t>
            </w:r>
          </w:p>
          <w:p w14:paraId="11336479">
            <w:pPr>
              <w:pStyle w:val="163"/>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114300" distR="114300">
                  <wp:extent cx="5344795" cy="2265680"/>
                  <wp:effectExtent l="0" t="0" r="8255" b="1270"/>
                  <wp:docPr id="1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
                          <pic:cNvPicPr>
                            <a:picLocks noChangeAspect="1"/>
                          </pic:cNvPicPr>
                        </pic:nvPicPr>
                        <pic:blipFill>
                          <a:blip r:embed="rId32"/>
                          <a:srcRect l="4562" t="1219"/>
                          <a:stretch>
                            <a:fillRect/>
                          </a:stretch>
                        </pic:blipFill>
                        <pic:spPr>
                          <a:xfrm>
                            <a:off x="0" y="0"/>
                            <a:ext cx="5344795" cy="2265680"/>
                          </a:xfrm>
                          <a:prstGeom prst="rect">
                            <a:avLst/>
                          </a:prstGeom>
                          <a:noFill/>
                          <a:ln>
                            <a:noFill/>
                          </a:ln>
                        </pic:spPr>
                      </pic:pic>
                    </a:graphicData>
                  </a:graphic>
                </wp:inline>
              </w:drawing>
            </w:r>
          </w:p>
          <w:p w14:paraId="0E9A17DB">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图4-</w:t>
            </w:r>
            <w:r>
              <w:rPr>
                <w:rFonts w:hint="eastAsia" w:cs="Times New Roman"/>
                <w:b/>
                <w:bCs/>
                <w:color w:val="000000" w:themeColor="text1"/>
                <w:kern w:val="2"/>
                <w:sz w:val="21"/>
                <w:szCs w:val="21"/>
                <w:lang w:val="en-US" w:eastAsia="zh-CN" w:bidi="ar-SA"/>
                <w14:textFill>
                  <w14:solidFill>
                    <w14:schemeClr w14:val="tx1"/>
                  </w14:solidFill>
                </w14:textFill>
              </w:rPr>
              <w:t>4</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园区</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污水处理厂工艺流程图</w:t>
            </w:r>
          </w:p>
          <w:p w14:paraId="74ADD083">
            <w:pPr>
              <w:pStyle w:val="22"/>
              <w:keepNext w:val="0"/>
              <w:keepLines w:val="0"/>
              <w:suppressLineNumbers w:val="0"/>
              <w:spacing w:before="0" w:beforeAutospacing="0" w:after="0" w:afterAutospacing="0" w:line="360" w:lineRule="auto"/>
              <w:ind w:left="0" w:right="0" w:firstLine="482"/>
              <w:rPr>
                <w:rFonts w:hint="eastAsia" w:ascii="Times New Roman" w:hAnsi="Times New Roman" w:eastAsia="宋体" w:cs="Times New Roman"/>
                <w:b/>
                <w:bCs/>
                <w:color w:val="000000" w:themeColor="text1"/>
                <w:sz w:val="24"/>
                <w:szCs w:val="24"/>
                <w:highlight w:val="none"/>
                <w:lang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2.5</w:t>
            </w:r>
            <w:r>
              <w:rPr>
                <w:rFonts w:hint="default" w:ascii="Times New Roman" w:hAnsi="Times New Roman" w:cs="Times New Roman"/>
                <w:b/>
                <w:bCs/>
                <w:color w:val="000000" w:themeColor="text1"/>
                <w:sz w:val="24"/>
                <w:szCs w:val="24"/>
                <w:highlight w:val="none"/>
                <w14:textFill>
                  <w14:solidFill>
                    <w14:schemeClr w14:val="tx1"/>
                  </w14:solidFill>
                </w14:textFill>
              </w:rPr>
              <w:t>监测要求</w:t>
            </w:r>
          </w:p>
          <w:p w14:paraId="61439AAB">
            <w:pPr>
              <w:pStyle w:val="2"/>
              <w:spacing w:line="360" w:lineRule="auto"/>
              <w:ind w:firstLine="480" w:firstLineChars="20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根据《排污单位自行监测技术指南 总则》（HJ819-2017）、《排污单位自行监测技术指南 涂装》（HJ 1086-2020），生活污水单独排放口且排放方式为间接排放，无自行监测频次要求，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预防和控制含重金废水对下游纳污河段的影响，根据有关专家和主管部门的建议，重金属离子参照废水直接排放标准执行，即按《电镀水污染物排放标准》（DB44/1597-2015）表2新建项目水污染物排放限值-非珠三角地区执行。本评价建议建设单位优先采购重金属含量更低的表面处理药剂，并加强对重金属钛、锆离子排放浓度的监测。</w:t>
            </w:r>
          </w:p>
          <w:p w14:paraId="3D9488D0">
            <w:pPr>
              <w:pStyle w:val="2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因此本项目生产废水自行监测计划，监测要求见下表</w:t>
            </w:r>
            <w:r>
              <w:rPr>
                <w:rFonts w:hint="default" w:ascii="Times New Roman" w:hAnsi="Times New Roman" w:cs="Times New Roman"/>
                <w:color w:val="000000" w:themeColor="text1"/>
                <w:sz w:val="24"/>
                <w:szCs w:val="24"/>
                <w:highlight w:val="none"/>
                <w14:textFill>
                  <w14:solidFill>
                    <w14:schemeClr w14:val="tx1"/>
                  </w14:solidFill>
                </w14:textFill>
              </w:rPr>
              <w:t>。</w:t>
            </w:r>
          </w:p>
          <w:p w14:paraId="06E3B55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eastAsia"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表4-3</w:t>
            </w:r>
            <w:r>
              <w:rPr>
                <w:rFonts w:hint="eastAsia" w:cs="Times New Roman"/>
                <w:b/>
                <w:bCs/>
                <w:color w:val="000000" w:themeColor="text1"/>
                <w:kern w:val="2"/>
                <w:sz w:val="21"/>
                <w:szCs w:val="21"/>
                <w:lang w:val="en-US" w:eastAsia="zh-CN" w:bidi="ar-SA"/>
                <w14:textFill>
                  <w14:solidFill>
                    <w14:schemeClr w14:val="tx1"/>
                  </w14:solidFill>
                </w14:textFill>
              </w:rPr>
              <w:t>1 废水</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w:t>
            </w:r>
            <w:r>
              <w:rPr>
                <w:rFonts w:hint="eastAsia" w:cs="Times New Roman"/>
                <w:b/>
                <w:bCs/>
                <w:color w:val="000000" w:themeColor="text1"/>
                <w:sz w:val="21"/>
                <w:szCs w:val="21"/>
                <w:highlight w:val="none"/>
                <w:lang w:val="en-US" w:eastAsia="zh-CN"/>
                <w14:textFill>
                  <w14:solidFill>
                    <w14:schemeClr w14:val="tx1"/>
                  </w14:solidFill>
                </w14:textFill>
              </w:rPr>
              <w:t>计划</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1931"/>
              <w:gridCol w:w="1116"/>
              <w:gridCol w:w="4148"/>
            </w:tblGrid>
            <w:tr w14:paraId="3A0E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45EC059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监测点位</w:t>
                  </w:r>
                </w:p>
              </w:tc>
              <w:tc>
                <w:tcPr>
                  <w:tcW w:w="1150" w:type="pct"/>
                  <w:noWrap w:val="0"/>
                  <w:vAlign w:val="center"/>
                </w:tcPr>
                <w:p w14:paraId="32CDD1F9">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监测指标</w:t>
                  </w:r>
                </w:p>
              </w:tc>
              <w:tc>
                <w:tcPr>
                  <w:tcW w:w="665" w:type="pct"/>
                  <w:noWrap w:val="0"/>
                  <w:vAlign w:val="center"/>
                </w:tcPr>
                <w:p w14:paraId="0C85872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监测频次</w:t>
                  </w:r>
                </w:p>
              </w:tc>
              <w:tc>
                <w:tcPr>
                  <w:tcW w:w="2469" w:type="pct"/>
                  <w:noWrap w:val="0"/>
                  <w:vAlign w:val="center"/>
                </w:tcPr>
                <w:p w14:paraId="59057676">
                  <w:pPr>
                    <w:pStyle w:val="109"/>
                    <w:keepNext w:val="0"/>
                    <w:keepLines w:val="0"/>
                    <w:widowControl/>
                    <w:suppressLineNumbers w:val="0"/>
                    <w:tabs>
                      <w:tab w:val="left" w:pos="-2848"/>
                    </w:tabs>
                    <w:spacing w:before="0" w:beforeAutospacing="0" w:after="0" w:afterAutospacing="0" w:line="240" w:lineRule="auto"/>
                    <w:ind w:left="0" w:right="0"/>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监测</w:t>
                  </w:r>
                  <w:r>
                    <w:rPr>
                      <w:rFonts w:hint="eastAsia" w:ascii="Times New Roman" w:hAnsi="Times New Roman" w:cs="Times New Roman"/>
                      <w:b/>
                      <w:bCs/>
                      <w:color w:val="000000" w:themeColor="text1"/>
                      <w:kern w:val="2"/>
                      <w:sz w:val="21"/>
                      <w:szCs w:val="21"/>
                      <w:highlight w:val="none"/>
                      <w:lang w:val="en-US" w:eastAsia="zh-CN"/>
                      <w14:textFill>
                        <w14:solidFill>
                          <w14:schemeClr w14:val="tx1"/>
                        </w14:solidFill>
                      </w14:textFill>
                    </w:rPr>
                    <w:t>依据</w:t>
                  </w:r>
                </w:p>
              </w:tc>
            </w:tr>
            <w:tr w14:paraId="785A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0DAE1C57">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生产</w:t>
                  </w:r>
                  <w:r>
                    <w:rPr>
                      <w:rFonts w:hint="default" w:ascii="Times New Roman" w:hAnsi="Times New Roman" w:cs="Times New Roman"/>
                      <w:color w:val="000000" w:themeColor="text1"/>
                      <w:kern w:val="2"/>
                      <w:sz w:val="21"/>
                      <w:szCs w:val="21"/>
                      <w:highlight w:val="none"/>
                      <w14:textFill>
                        <w14:solidFill>
                          <w14:schemeClr w14:val="tx1"/>
                        </w14:solidFill>
                      </w14:textFill>
                    </w:rPr>
                    <w:t>废水排放口</w:t>
                  </w:r>
                  <w:r>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t>DW002</w:t>
                  </w:r>
                </w:p>
              </w:tc>
              <w:tc>
                <w:tcPr>
                  <w:tcW w:w="1150" w:type="pct"/>
                  <w:noWrap w:val="0"/>
                  <w:vAlign w:val="center"/>
                </w:tcPr>
                <w:p w14:paraId="5A0DE2F6">
                  <w:pPr>
                    <w:pStyle w:val="20"/>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sz w:val="21"/>
                      <w:szCs w:val="21"/>
                      <w:highlight w:val="none"/>
                      <w14:textFill>
                        <w14:solidFill>
                          <w14:schemeClr w14:val="tx1"/>
                        </w14:solidFill>
                      </w14:textFill>
                    </w:rPr>
                    <w:t>流量、pH、COD</w:t>
                  </w:r>
                  <w:r>
                    <w:rPr>
                      <w:rFonts w:hint="default" w:eastAsia="宋体"/>
                      <w:color w:val="000000" w:themeColor="text1"/>
                      <w:sz w:val="21"/>
                      <w:szCs w:val="21"/>
                      <w:highlight w:val="none"/>
                      <w:vertAlign w:val="subscript"/>
                      <w14:textFill>
                        <w14:solidFill>
                          <w14:schemeClr w14:val="tx1"/>
                        </w14:solidFill>
                      </w14:textFill>
                    </w:rPr>
                    <w:t>Cr</w:t>
                  </w:r>
                  <w:r>
                    <w:rPr>
                      <w:rFonts w:hint="default" w:eastAsia="宋体"/>
                      <w:color w:val="000000" w:themeColor="text1"/>
                      <w:sz w:val="21"/>
                      <w:szCs w:val="21"/>
                      <w:highlight w:val="none"/>
                      <w14:textFill>
                        <w14:solidFill>
                          <w14:schemeClr w14:val="tx1"/>
                        </w14:solidFill>
                      </w14:textFill>
                    </w:rPr>
                    <w:t>、氨氮、悬浮物、氟化物、LAS、石油类、BOD</w:t>
                  </w:r>
                  <w:r>
                    <w:rPr>
                      <w:rFonts w:hint="default" w:eastAsia="宋体"/>
                      <w:color w:val="000000" w:themeColor="text1"/>
                      <w:sz w:val="21"/>
                      <w:szCs w:val="21"/>
                      <w:highlight w:val="none"/>
                      <w:vertAlign w:val="subscript"/>
                      <w14:textFill>
                        <w14:solidFill>
                          <w14:schemeClr w14:val="tx1"/>
                        </w14:solidFill>
                      </w14:textFill>
                    </w:rPr>
                    <w:t>5</w:t>
                  </w:r>
                  <w:r>
                    <w:rPr>
                      <w:rFonts w:hint="default" w:eastAsia="宋体"/>
                      <w:color w:val="000000" w:themeColor="text1"/>
                      <w:sz w:val="21"/>
                      <w:szCs w:val="21"/>
                      <w:highlight w:val="none"/>
                      <w14:textFill>
                        <w14:solidFill>
                          <w14:schemeClr w14:val="tx1"/>
                        </w14:solidFill>
                      </w14:textFill>
                    </w:rPr>
                    <w:t>、总氮、总磷</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总铝、总锆、总钛</w:t>
                  </w:r>
                </w:p>
              </w:tc>
              <w:tc>
                <w:tcPr>
                  <w:tcW w:w="665" w:type="pct"/>
                  <w:noWrap w:val="0"/>
                  <w:vAlign w:val="center"/>
                </w:tcPr>
                <w:p w14:paraId="209D42E6">
                  <w:pPr>
                    <w:pStyle w:val="109"/>
                    <w:keepNext w:val="0"/>
                    <w:keepLines w:val="0"/>
                    <w:widowControl/>
                    <w:suppressLineNumbers w:val="0"/>
                    <w:tabs>
                      <w:tab w:val="left" w:pos="-2848"/>
                    </w:tabs>
                    <w:spacing w:before="0" w:beforeAutospacing="0" w:after="0" w:afterAutospacing="0"/>
                    <w:ind w:left="0" w:leftChars="0" w:right="0" w:rightChars="0"/>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highlight w:val="none"/>
                      <w14:textFill>
                        <w14:solidFill>
                          <w14:schemeClr w14:val="tx1"/>
                        </w14:solidFill>
                      </w14:textFill>
                    </w:rPr>
                    <w:t>1次/</w:t>
                  </w:r>
                  <w:r>
                    <w:rPr>
                      <w:rFonts w:hint="eastAsia" w:ascii="Times New Roman" w:hAnsi="Times New Roman" w:cs="Times New Roman"/>
                      <w:color w:val="000000" w:themeColor="text1"/>
                      <w:kern w:val="2"/>
                      <w:highlight w:val="none"/>
                      <w:lang w:val="en-US" w:eastAsia="zh-CN"/>
                      <w14:textFill>
                        <w14:solidFill>
                          <w14:schemeClr w14:val="tx1"/>
                        </w14:solidFill>
                      </w14:textFill>
                    </w:rPr>
                    <w:t>半</w:t>
                  </w:r>
                  <w:r>
                    <w:rPr>
                      <w:rFonts w:hint="default" w:ascii="Times New Roman" w:hAnsi="Times New Roman" w:cs="Times New Roman"/>
                      <w:color w:val="000000" w:themeColor="text1"/>
                      <w:kern w:val="2"/>
                      <w:highlight w:val="none"/>
                      <w:lang w:val="en-US" w:eastAsia="zh-CN"/>
                      <w14:textFill>
                        <w14:solidFill>
                          <w14:schemeClr w14:val="tx1"/>
                        </w14:solidFill>
                      </w14:textFill>
                    </w:rPr>
                    <w:t>年</w:t>
                  </w:r>
                </w:p>
              </w:tc>
              <w:tc>
                <w:tcPr>
                  <w:tcW w:w="2469" w:type="pct"/>
                  <w:noWrap w:val="0"/>
                  <w:vAlign w:val="center"/>
                </w:tcPr>
                <w:p w14:paraId="28E9506F">
                  <w:pPr>
                    <w:pStyle w:val="109"/>
                    <w:keepNext w:val="0"/>
                    <w:keepLines w:val="0"/>
                    <w:widowControl/>
                    <w:suppressLineNumbers w:val="0"/>
                    <w:tabs>
                      <w:tab w:val="left" w:pos="-2848"/>
                    </w:tabs>
                    <w:spacing w:before="0" w:beforeAutospacing="0" w:after="0" w:afterAutospacing="0" w:line="240" w:lineRule="auto"/>
                    <w:ind w:left="0" w:leftChars="0" w:right="0" w:rightChars="0"/>
                    <w:rPr>
                      <w:rFonts w:hint="default" w:ascii="Times New Roman" w:hAnsi="Times New Roman" w:eastAsia="宋体" w:cs="Times New Roman"/>
                      <w:color w:val="000000" w:themeColor="text1"/>
                      <w:kern w:val="2"/>
                      <w:position w:val="-10"/>
                      <w:sz w:val="21"/>
                      <w:szCs w:val="21"/>
                      <w:highlight w:val="none"/>
                      <w:lang w:val="en-US" w:eastAsia="zh-CN" w:bidi="ar-SA"/>
                      <w14:textFill>
                        <w14:solidFill>
                          <w14:schemeClr w14:val="tx1"/>
                        </w14:solidFill>
                      </w14:textFill>
                    </w:rPr>
                  </w:pPr>
                  <w:r>
                    <w:rPr>
                      <w:rFonts w:hint="default" w:eastAsia="宋体"/>
                      <w:color w:val="000000" w:themeColor="text1"/>
                      <w:spacing w:val="-2"/>
                      <w:sz w:val="21"/>
                      <w:szCs w:val="21"/>
                      <w:highlight w:val="none"/>
                      <w14:textFill>
                        <w14:solidFill>
                          <w14:schemeClr w14:val="tx1"/>
                        </w14:solidFill>
                      </w14:textFill>
                    </w:rPr>
                    <w:t>《排污单位自行监测技术指南 涂装》</w:t>
                  </w: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（HJ1086-2020）表1-</w:t>
                  </w:r>
                  <w:r>
                    <w:rPr>
                      <w:rFonts w:hint="eastAsia" w:eastAsia="宋体"/>
                      <w:color w:val="000000" w:themeColor="text1"/>
                      <w:spacing w:val="-2"/>
                      <w:sz w:val="21"/>
                      <w:szCs w:val="21"/>
                      <w:highlight w:val="none"/>
                      <w14:textFill>
                        <w14:solidFill>
                          <w14:schemeClr w14:val="tx1"/>
                        </w14:solidFill>
                      </w14:textFill>
                    </w:rPr>
                    <w:t>废水总排放口-非重点排污单位-间接排放</w:t>
                  </w:r>
                </w:p>
              </w:tc>
            </w:tr>
            <w:tr w14:paraId="01B4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0B48851D">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雨水排放口（YS001）</w:t>
                  </w:r>
                </w:p>
              </w:tc>
              <w:tc>
                <w:tcPr>
                  <w:tcW w:w="1150" w:type="pct"/>
                  <w:noWrap w:val="0"/>
                  <w:vAlign w:val="center"/>
                </w:tcPr>
                <w:p w14:paraId="1A164A89">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eastAsia="宋体"/>
                      <w:color w:val="000000" w:themeColor="text1"/>
                      <w:sz w:val="21"/>
                      <w:szCs w:val="21"/>
                      <w:highlight w:val="none"/>
                      <w14:textFill>
                        <w14:solidFill>
                          <w14:schemeClr w14:val="tx1"/>
                        </w14:solidFill>
                      </w14:textFill>
                    </w:rPr>
                  </w:pPr>
                  <w:r>
                    <w:rPr>
                      <w:rFonts w:hint="default"/>
                      <w:color w:val="000000" w:themeColor="text1"/>
                      <w:kern w:val="2"/>
                      <w:sz w:val="21"/>
                      <w:szCs w:val="21"/>
                      <w:highlight w:val="none"/>
                      <w14:textFill>
                        <w14:solidFill>
                          <w14:schemeClr w14:val="tx1"/>
                        </w14:solidFill>
                      </w14:textFill>
                    </w:rPr>
                    <w:t>pH、COD</w:t>
                  </w:r>
                  <w:r>
                    <w:rPr>
                      <w:rFonts w:hint="default"/>
                      <w:color w:val="000000" w:themeColor="text1"/>
                      <w:kern w:val="2"/>
                      <w:sz w:val="21"/>
                      <w:szCs w:val="21"/>
                      <w:highlight w:val="none"/>
                      <w:vertAlign w:val="subscript"/>
                      <w14:textFill>
                        <w14:solidFill>
                          <w14:schemeClr w14:val="tx1"/>
                        </w14:solidFill>
                      </w14:textFill>
                    </w:rPr>
                    <w:t>Cr</w:t>
                  </w:r>
                  <w:r>
                    <w:rPr>
                      <w:rFonts w:hint="default"/>
                      <w:color w:val="000000" w:themeColor="text1"/>
                      <w:kern w:val="2"/>
                      <w:sz w:val="21"/>
                      <w:szCs w:val="21"/>
                      <w:highlight w:val="none"/>
                      <w14:textFill>
                        <w14:solidFill>
                          <w14:schemeClr w14:val="tx1"/>
                        </w14:solidFill>
                      </w14:textFill>
                    </w:rPr>
                    <w:t>、SS</w:t>
                  </w:r>
                </w:p>
              </w:tc>
              <w:tc>
                <w:tcPr>
                  <w:tcW w:w="665" w:type="pct"/>
                  <w:noWrap w:val="0"/>
                  <w:vAlign w:val="center"/>
                </w:tcPr>
                <w:p w14:paraId="5738B1EB">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kern w:val="2"/>
                      <w:highlight w:val="none"/>
                      <w14:textFill>
                        <w14:solidFill>
                          <w14:schemeClr w14:val="tx1"/>
                        </w14:solidFill>
                      </w14:textFill>
                    </w:rPr>
                  </w:pPr>
                  <w:r>
                    <w:rPr>
                      <w:rFonts w:hint="default"/>
                      <w:color w:val="000000" w:themeColor="text1"/>
                      <w:kern w:val="2"/>
                      <w:sz w:val="21"/>
                      <w:szCs w:val="21"/>
                      <w:highlight w:val="none"/>
                      <w14:textFill>
                        <w14:solidFill>
                          <w14:schemeClr w14:val="tx1"/>
                        </w14:solidFill>
                      </w14:textFill>
                    </w:rPr>
                    <w:t>1次/月</w:t>
                  </w:r>
                </w:p>
              </w:tc>
              <w:tc>
                <w:tcPr>
                  <w:tcW w:w="2469" w:type="pct"/>
                  <w:noWrap w:val="0"/>
                  <w:vAlign w:val="center"/>
                </w:tcPr>
                <w:p w14:paraId="7F0E962A">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eastAsia="宋体"/>
                      <w:color w:val="000000" w:themeColor="text1"/>
                      <w:spacing w:val="-2"/>
                      <w:sz w:val="21"/>
                      <w:szCs w:val="21"/>
                      <w:highlight w:val="none"/>
                      <w14:textFill>
                        <w14:solidFill>
                          <w14:schemeClr w14:val="tx1"/>
                        </w14:solidFill>
                      </w14:textFill>
                    </w:rPr>
                  </w:pPr>
                  <w:r>
                    <w:rPr>
                      <w:rFonts w:hint="default"/>
                      <w:color w:val="000000" w:themeColor="text1"/>
                      <w:kern w:val="2"/>
                      <w:sz w:val="21"/>
                      <w:szCs w:val="21"/>
                      <w:highlight w:val="none"/>
                      <w14:textFill>
                        <w14:solidFill>
                          <w14:schemeClr w14:val="tx1"/>
                        </w14:solidFill>
                      </w14:textFill>
                    </w:rPr>
                    <w:t>《排污单位自行监测技术指南 涂装》（HJ1086-2020）表1</w:t>
                  </w:r>
                </w:p>
              </w:tc>
            </w:tr>
            <w:tr w14:paraId="1CE3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4"/>
                  <w:noWrap w:val="0"/>
                  <w:vAlign w:val="center"/>
                </w:tcPr>
                <w:p w14:paraId="6EBACC07">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color w:val="000000" w:themeColor="text1"/>
                      <w:kern w:val="2"/>
                      <w:sz w:val="21"/>
                      <w:szCs w:val="21"/>
                      <w:highlight w:val="none"/>
                      <w14:textFill>
                        <w14:solidFill>
                          <w14:schemeClr w14:val="tx1"/>
                        </w14:solidFill>
                      </w14:textFill>
                    </w:rPr>
                  </w:pPr>
                  <w:r>
                    <w:rPr>
                      <w:rFonts w:hint="default"/>
                      <w:color w:val="000000" w:themeColor="text1"/>
                      <w:kern w:val="2"/>
                      <w:sz w:val="21"/>
                      <w:szCs w:val="21"/>
                      <w:highlight w:val="none"/>
                      <w14:textFill>
                        <w14:solidFill>
                          <w14:schemeClr w14:val="tx1"/>
                        </w14:solidFill>
                      </w14:textFill>
                    </w:rPr>
                    <w:t>注：雨水排放口每月有流动水排放时开展一次监测。如监测一年无异常情况，可放宽至每季度有流动水排放时开展一次监测。</w:t>
                  </w:r>
                </w:p>
              </w:tc>
            </w:tr>
          </w:tbl>
          <w:p w14:paraId="7BB85F93">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color w:val="000000" w:themeColor="text1"/>
                <w:highlight w:val="none"/>
                <w14:textFill>
                  <w14:solidFill>
                    <w14:schemeClr w14:val="tx1"/>
                  </w14:solidFill>
                </w14:textFill>
              </w:rPr>
            </w:pPr>
          </w:p>
          <w:p w14:paraId="16176787">
            <w:pPr>
              <w:pStyle w:val="39"/>
              <w:spacing w:after="0" w:line="360" w:lineRule="auto"/>
              <w:ind w:firstLine="480"/>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3、噪声</w:t>
            </w:r>
          </w:p>
          <w:p w14:paraId="06786C6A">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t>本项目运营期噪声污染主要是生产过程中机械设备运行产生的机械噪声，根据《噪声控制工程》（高红武武汉理工大学出版社2003年），项目设备噪声源强为60~85dB（A）。</w:t>
            </w:r>
          </w:p>
          <w:p w14:paraId="168B303E">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t>根据《环境噪声控制工程》（高等教育出版社，洪宗辉）一书中第151页“表8-1一些常见单层隔声墙的隔声量”中的资料：1砖墙为双面粉刷的车间墙体，实测的隔声量为49dB（A），本项目为砖墙结构，考虑到门窗面积对隔声的负面影响时，项目车间墙体的隔声量取25dB（A）。同时噪声治理效果参考《</w:t>
            </w: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instrText xml:space="preserve"> HYPERLINK "http://www.baidu.com/link?url=lMIZiUSAGUaTWGezb-V5XwUE0Wqiv3Ye0PU_HM_6BvYJ1tQkQoaWY8CL05C5D5SgkLOf9kyEbLBtBnUPDF_o-_" </w:instrText>
            </w: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t>环境噪声与振动控</w:t>
            </w: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t>制工程技术导则》（HJ2034-2013），降噪效果如下表所示。</w:t>
            </w:r>
          </w:p>
          <w:p w14:paraId="655F5562">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表4-3</w:t>
            </w:r>
            <w:r>
              <w:rPr>
                <w:rFonts w:hint="eastAsia" w:cs="Times New Roman"/>
                <w:b/>
                <w:bCs/>
                <w:color w:val="000000" w:themeColor="text1"/>
                <w:kern w:val="2"/>
                <w:sz w:val="21"/>
                <w:szCs w:val="21"/>
                <w:lang w:val="en-US" w:eastAsia="zh-CN" w:bidi="ar-SA"/>
                <w14:textFill>
                  <w14:solidFill>
                    <w14:schemeClr w14:val="tx1"/>
                  </w14:solidFill>
                </w14:textFill>
              </w:rPr>
              <w:t xml:space="preserve">2 </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降噪效果一览表</w:t>
            </w:r>
          </w:p>
          <w:tbl>
            <w:tblPr>
              <w:tblStyle w:val="132"/>
              <w:tblW w:w="4998" w:type="pct"/>
              <w:tblInd w:w="0" w:type="dxa"/>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Layout w:type="fixed"/>
              <w:tblCellMar>
                <w:top w:w="0" w:type="dxa"/>
                <w:left w:w="0" w:type="dxa"/>
                <w:bottom w:w="0" w:type="dxa"/>
                <w:right w:w="0" w:type="dxa"/>
              </w:tblCellMar>
            </w:tblPr>
            <w:tblGrid>
              <w:gridCol w:w="1012"/>
              <w:gridCol w:w="4532"/>
              <w:gridCol w:w="2841"/>
            </w:tblGrid>
            <w:tr w14:paraId="7532A532">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4E864B75">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序号</w:t>
                  </w:r>
                </w:p>
              </w:tc>
              <w:tc>
                <w:tcPr>
                  <w:tcW w:w="2702" w:type="pct"/>
                  <w:tcBorders>
                    <w:tl2br w:val="nil"/>
                    <w:tr2bl w:val="nil"/>
                  </w:tcBorders>
                  <w:noWrap w:val="0"/>
                  <w:vAlign w:val="center"/>
                </w:tcPr>
                <w:p w14:paraId="78E5D1AA">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降噪方式</w:t>
                  </w:r>
                </w:p>
              </w:tc>
              <w:tc>
                <w:tcPr>
                  <w:tcW w:w="1693" w:type="pct"/>
                  <w:tcBorders>
                    <w:tl2br w:val="nil"/>
                    <w:tr2bl w:val="nil"/>
                  </w:tcBorders>
                  <w:noWrap w:val="0"/>
                  <w:vAlign w:val="center"/>
                </w:tcPr>
                <w:p w14:paraId="2968E4EE">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降噪效果dB（A）</w:t>
                  </w:r>
                </w:p>
              </w:tc>
            </w:tr>
            <w:tr w14:paraId="62BAD1E5">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7C429C84">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1</w:t>
                  </w:r>
                </w:p>
              </w:tc>
              <w:tc>
                <w:tcPr>
                  <w:tcW w:w="2702" w:type="pct"/>
                  <w:tcBorders>
                    <w:tl2br w:val="nil"/>
                    <w:tr2bl w:val="nil"/>
                  </w:tcBorders>
                  <w:noWrap w:val="0"/>
                  <w:vAlign w:val="center"/>
                </w:tcPr>
                <w:p w14:paraId="70DD6E22">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采取墙体隔声措施</w:t>
                  </w:r>
                </w:p>
              </w:tc>
              <w:tc>
                <w:tcPr>
                  <w:tcW w:w="1693" w:type="pct"/>
                  <w:tcBorders>
                    <w:tl2br w:val="nil"/>
                    <w:tr2bl w:val="nil"/>
                  </w:tcBorders>
                  <w:noWrap w:val="0"/>
                  <w:vAlign w:val="center"/>
                </w:tcPr>
                <w:p w14:paraId="1BB7998E">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25</w:t>
                  </w:r>
                </w:p>
              </w:tc>
            </w:tr>
            <w:tr w14:paraId="222EE00E">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4A56BA8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2</w:t>
                  </w:r>
                </w:p>
              </w:tc>
              <w:tc>
                <w:tcPr>
                  <w:tcW w:w="2702" w:type="pct"/>
                  <w:tcBorders>
                    <w:tl2br w:val="nil"/>
                    <w:tr2bl w:val="nil"/>
                  </w:tcBorders>
                  <w:noWrap w:val="0"/>
                  <w:vAlign w:val="center"/>
                </w:tcPr>
                <w:p w14:paraId="33F190B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采取基础减振措施</w:t>
                  </w:r>
                </w:p>
              </w:tc>
              <w:tc>
                <w:tcPr>
                  <w:tcW w:w="1693" w:type="pct"/>
                  <w:tcBorders>
                    <w:tl2br w:val="nil"/>
                    <w:tr2bl w:val="nil"/>
                  </w:tcBorders>
                  <w:noWrap w:val="0"/>
                  <w:vAlign w:val="center"/>
                </w:tcPr>
                <w:p w14:paraId="2C70CE90">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5</w:t>
                  </w:r>
                </w:p>
              </w:tc>
            </w:tr>
            <w:tr w14:paraId="4C7B1028">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5DDA29D8">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3</w:t>
                  </w:r>
                </w:p>
              </w:tc>
              <w:tc>
                <w:tcPr>
                  <w:tcW w:w="2702" w:type="pct"/>
                  <w:tcBorders>
                    <w:tl2br w:val="nil"/>
                    <w:tr2bl w:val="nil"/>
                  </w:tcBorders>
                  <w:noWrap w:val="0"/>
                  <w:vAlign w:val="center"/>
                </w:tcPr>
                <w:p w14:paraId="36B8452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隔声罩</w:t>
                  </w:r>
                </w:p>
              </w:tc>
              <w:tc>
                <w:tcPr>
                  <w:tcW w:w="1693" w:type="pct"/>
                  <w:tcBorders>
                    <w:tl2br w:val="nil"/>
                    <w:tr2bl w:val="nil"/>
                  </w:tcBorders>
                  <w:noWrap w:val="0"/>
                  <w:vAlign w:val="center"/>
                </w:tcPr>
                <w:p w14:paraId="2BF2860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10</w:t>
                  </w:r>
                </w:p>
              </w:tc>
            </w:tr>
          </w:tbl>
          <w:p w14:paraId="2D998EEE">
            <w:pPr>
              <w:keepNext w:val="0"/>
              <w:keepLines w:val="0"/>
              <w:pageBreakBefore w:val="0"/>
              <w:widowControl w:val="0"/>
              <w:kinsoku/>
              <w:wordWrap/>
              <w:overflowPunct/>
              <w:topLinePunct w:val="0"/>
              <w:autoSpaceDE/>
              <w:autoSpaceDN/>
              <w:bidi w:val="0"/>
              <w:adjustRightInd/>
              <w:snapToGrid/>
              <w:spacing w:line="100" w:lineRule="exact"/>
              <w:ind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p>
          <w:p w14:paraId="79A40CF8">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t>综上，本项目噪声污染源源强核算结果见下表：</w:t>
            </w:r>
          </w:p>
          <w:p w14:paraId="529A0A66">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lang w:val="en-US" w:eastAsia="zh-CN" w:bidi="ar-SA"/>
                <w14:textFill>
                  <w14:solidFill>
                    <w14:schemeClr w14:val="tx1"/>
                  </w14:solidFill>
                </w14:textFill>
              </w:rPr>
              <w:t>表4-3</w:t>
            </w:r>
            <w:r>
              <w:rPr>
                <w:rFonts w:hint="eastAsia" w:cs="Times New Roman"/>
                <w:b/>
                <w:bCs/>
                <w:snapToGrid/>
                <w:color w:val="000000" w:themeColor="text1"/>
                <w:kern w:val="2"/>
                <w:sz w:val="21"/>
                <w:szCs w:val="21"/>
                <w:lang w:val="en-US" w:eastAsia="zh-CN" w:bidi="ar-SA"/>
                <w14:textFill>
                  <w14:solidFill>
                    <w14:schemeClr w14:val="tx1"/>
                  </w14:solidFill>
                </w14:textFill>
              </w:rPr>
              <w:t>3</w:t>
            </w: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工业企业噪声源强调查清单（室外声源）</w:t>
            </w:r>
          </w:p>
          <w:tbl>
            <w:tblPr>
              <w:tblStyle w:val="44"/>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2"/>
              <w:gridCol w:w="874"/>
              <w:gridCol w:w="845"/>
              <w:gridCol w:w="570"/>
              <w:gridCol w:w="570"/>
              <w:gridCol w:w="410"/>
              <w:gridCol w:w="1277"/>
              <w:gridCol w:w="1066"/>
              <w:gridCol w:w="1574"/>
              <w:gridCol w:w="845"/>
            </w:tblGrid>
            <w:tr w14:paraId="72AB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D031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序号</w:t>
                  </w:r>
                </w:p>
              </w:tc>
              <w:tc>
                <w:tcPr>
                  <w:tcW w:w="8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5ECF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声源名称</w:t>
                  </w:r>
                </w:p>
              </w:tc>
              <w:tc>
                <w:tcPr>
                  <w:tcW w:w="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654CF">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设备数量</w:t>
                  </w:r>
                </w:p>
              </w:tc>
              <w:tc>
                <w:tcPr>
                  <w:tcW w:w="1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B98B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空间相对位置</w:t>
                  </w:r>
                </w:p>
              </w:tc>
              <w:tc>
                <w:tcPr>
                  <w:tcW w:w="2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CB09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声源源强</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B73C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声源控制措施</w:t>
                  </w:r>
                </w:p>
              </w:tc>
              <w:tc>
                <w:tcPr>
                  <w:tcW w:w="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036D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运行时段</w:t>
                  </w:r>
                </w:p>
              </w:tc>
            </w:tr>
            <w:tr w14:paraId="6559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21CCB">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5758B">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12D59">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F02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X</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D65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Y</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D16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Z</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BDA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声压级</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/dB(A)</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019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lang w:val="en-US"/>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距声源距离m</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0537C">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F8DC7">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r>
            <w:tr w14:paraId="533E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28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95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空压机</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21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D0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97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3D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A3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2B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5C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B6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r>
            <w:tr w14:paraId="5E9E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41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F3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空压机</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E7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18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07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E4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33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3E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77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BC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r>
            <w:tr w14:paraId="1C72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B8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7E2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空压机</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3A9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774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D0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A4D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A9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59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71F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3D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r>
            <w:tr w14:paraId="596AE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6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47540B">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注：以</w:t>
                  </w:r>
                  <w:r>
                    <w:rPr>
                      <w:rFonts w:hint="eastAsia"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东经113°24'30.099"，北纬25°9'23.358"</w:t>
                  </w:r>
                  <w:r>
                    <w:rPr>
                      <w:rFonts w:hint="eastAsia"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为原点（0，0），正东向为X轴正方向、正北向为Y轴正方向建立直角坐标系。</w:t>
                  </w:r>
                </w:p>
              </w:tc>
            </w:tr>
          </w:tbl>
          <w:p w14:paraId="714AFF1B">
            <w:pPr>
              <w:pStyle w:val="2"/>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p>
          <w:p w14:paraId="34C2F750">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p>
        </w:tc>
      </w:tr>
    </w:tbl>
    <w:p w14:paraId="570C5510">
      <w:pPr>
        <w:pStyle w:val="76"/>
        <w:rPr>
          <w:rFonts w:hint="eastAsia"/>
          <w:color w:val="000000" w:themeColor="text1"/>
          <w:highlight w:val="none"/>
          <w14:textFill>
            <w14:solidFill>
              <w14:schemeClr w14:val="tx1"/>
            </w14:solidFill>
          </w14:textFill>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3204"/>
      </w:tblGrid>
      <w:tr w14:paraId="343E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5" w:hRule="atLeast"/>
        </w:trPr>
        <w:tc>
          <w:tcPr>
            <w:tcW w:w="448" w:type="dxa"/>
            <w:noWrap w:val="0"/>
            <w:vAlign w:val="top"/>
          </w:tcPr>
          <w:p w14:paraId="5D115C26">
            <w:pPr>
              <w:pStyle w:val="41"/>
              <w:jc w:val="center"/>
              <w:outlineLvl w:val="0"/>
              <w:rPr>
                <w:rFonts w:hint="default" w:ascii="Times New Roman" w:hAnsi="Times New Roman" w:eastAsia="宋体" w:cs="Times New Roman"/>
                <w:snapToGrid w:val="0"/>
                <w:color w:val="000000" w:themeColor="text1"/>
                <w:sz w:val="30"/>
                <w:szCs w:val="30"/>
                <w:highlight w:val="none"/>
                <w:vertAlign w:val="baseline"/>
                <w14:textFill>
                  <w14:solidFill>
                    <w14:schemeClr w14:val="tx1"/>
                  </w14:solidFill>
                </w14:textFill>
              </w:rPr>
            </w:pPr>
          </w:p>
        </w:tc>
        <w:tc>
          <w:tcPr>
            <w:tcW w:w="13204" w:type="dxa"/>
            <w:noWrap w:val="0"/>
            <w:vAlign w:val="top"/>
          </w:tcPr>
          <w:p w14:paraId="7F25E2D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pacing w:val="-4"/>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pacing w:val="-4"/>
                <w:kern w:val="2"/>
                <w:sz w:val="21"/>
                <w:szCs w:val="21"/>
                <w:lang w:val="en-US" w:eastAsia="zh-CN" w:bidi="ar-SA"/>
                <w14:textFill>
                  <w14:solidFill>
                    <w14:schemeClr w14:val="tx1"/>
                  </w14:solidFill>
                </w14:textFill>
              </w:rPr>
              <w:t>表4-3</w:t>
            </w:r>
            <w:r>
              <w:rPr>
                <w:rFonts w:hint="eastAsia" w:cs="Times New Roman"/>
                <w:b/>
                <w:bCs/>
                <w:color w:val="000000" w:themeColor="text1"/>
                <w:spacing w:val="-4"/>
                <w:kern w:val="2"/>
                <w:sz w:val="21"/>
                <w:szCs w:val="21"/>
                <w:lang w:val="en-US" w:eastAsia="zh-CN" w:bidi="ar-SA"/>
                <w14:textFill>
                  <w14:solidFill>
                    <w14:schemeClr w14:val="tx1"/>
                  </w14:solidFill>
                </w14:textFill>
              </w:rPr>
              <w:t>4</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工业</w:t>
            </w:r>
            <w:r>
              <w:rPr>
                <w:rFonts w:hint="default" w:ascii="Times New Roman" w:hAnsi="Times New Roman" w:eastAsia="宋体" w:cs="Times New Roman"/>
                <w:b/>
                <w:bCs/>
                <w:color w:val="000000" w:themeColor="text1"/>
                <w:spacing w:val="-4"/>
                <w:sz w:val="21"/>
                <w:szCs w:val="21"/>
                <w:highlight w:val="none"/>
                <w14:textFill>
                  <w14:solidFill>
                    <w14:schemeClr w14:val="tx1"/>
                  </w14:solidFill>
                </w14:textFill>
              </w:rPr>
              <w:t>企业噪声源强调查清单</w:t>
            </w:r>
            <w:r>
              <w:rPr>
                <w:rFonts w:hint="default" w:ascii="Times New Roman" w:hAnsi="Times New Roman" w:eastAsia="宋体" w:cs="Times New Roman"/>
                <w:b/>
                <w:bCs/>
                <w:color w:val="000000" w:themeColor="text1"/>
                <w:spacing w:val="-4"/>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pacing w:val="-4"/>
                <w:sz w:val="21"/>
                <w:szCs w:val="21"/>
                <w:highlight w:val="none"/>
                <w14:textFill>
                  <w14:solidFill>
                    <w14:schemeClr w14:val="tx1"/>
                  </w14:solidFill>
                </w14:textFill>
              </w:rPr>
              <w:t>室内声源</w:t>
            </w:r>
            <w:r>
              <w:rPr>
                <w:rFonts w:hint="default" w:ascii="Times New Roman" w:hAnsi="Times New Roman" w:eastAsia="宋体" w:cs="Times New Roman"/>
                <w:b/>
                <w:bCs/>
                <w:color w:val="000000" w:themeColor="text1"/>
                <w:spacing w:val="-4"/>
                <w:sz w:val="21"/>
                <w:szCs w:val="21"/>
                <w:highlight w:val="none"/>
                <w:lang w:eastAsia="zh-CN"/>
                <w14:textFill>
                  <w14:solidFill>
                    <w14:schemeClr w14:val="tx1"/>
                  </w14:solidFill>
                </w14:textFill>
              </w:rPr>
              <w:t>）</w:t>
            </w:r>
          </w:p>
          <w:tbl>
            <w:tblPr>
              <w:tblStyle w:val="44"/>
              <w:tblW w:w="129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7"/>
              <w:gridCol w:w="975"/>
              <w:gridCol w:w="599"/>
              <w:gridCol w:w="994"/>
              <w:gridCol w:w="874"/>
              <w:gridCol w:w="1308"/>
              <w:gridCol w:w="379"/>
              <w:gridCol w:w="338"/>
              <w:gridCol w:w="377"/>
              <w:gridCol w:w="294"/>
              <w:gridCol w:w="220"/>
              <w:gridCol w:w="324"/>
              <w:gridCol w:w="220"/>
              <w:gridCol w:w="481"/>
              <w:gridCol w:w="481"/>
              <w:gridCol w:w="481"/>
              <w:gridCol w:w="481"/>
              <w:gridCol w:w="459"/>
              <w:gridCol w:w="617"/>
              <w:gridCol w:w="482"/>
              <w:gridCol w:w="482"/>
              <w:gridCol w:w="483"/>
              <w:gridCol w:w="487"/>
              <w:gridCol w:w="805"/>
            </w:tblGrid>
            <w:tr w14:paraId="5D74E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47"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051DF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序号</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72615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声源名称</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C7E53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设备数量</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FA547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声源源强</w:t>
                  </w:r>
                </w:p>
              </w:tc>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56ED6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声源控制措施</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F1596C">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空间相对位置</w:t>
                  </w:r>
                </w:p>
              </w:tc>
              <w:tc>
                <w:tcPr>
                  <w:tcW w:w="1058"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21957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距室内边界距离</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p>
              </w:tc>
              <w:tc>
                <w:tcPr>
                  <w:tcW w:w="1924"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49BDF3">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室内边界声级</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/dB(A)</w:t>
                  </w:r>
                </w:p>
              </w:tc>
              <w:tc>
                <w:tcPr>
                  <w:tcW w:w="459"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1981A8E9">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运行时段</w:t>
                  </w:r>
                </w:p>
              </w:tc>
              <w:tc>
                <w:tcPr>
                  <w:tcW w:w="617"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45A1819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建筑物插入损失</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/dB(A)</w:t>
                  </w:r>
                </w:p>
              </w:tc>
              <w:tc>
                <w:tcPr>
                  <w:tcW w:w="1934"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C2F5C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建筑物外声级</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/dB(A)</w:t>
                  </w:r>
                </w:p>
              </w:tc>
              <w:tc>
                <w:tcPr>
                  <w:tcW w:w="805"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70A52BA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建筑物外距离</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p>
              </w:tc>
            </w:tr>
            <w:tr w14:paraId="541F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47"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E50F35">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D74243">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C8CE84">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81369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声压级</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/dB(A)</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0CCA9F">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距声源距离</w:t>
                  </w: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/m</w:t>
                  </w: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D2BBC3">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B2CAB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X</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3768B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Y</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7B0DF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Z</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80A5A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东</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F2CB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南</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1C348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西</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E700B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北</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F1F2AB">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东</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031C8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南</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65026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西</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8CE9F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北</w:t>
                  </w:r>
                </w:p>
              </w:tc>
              <w:tc>
                <w:tcPr>
                  <w:tcW w:w="459"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33458BD3">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617"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0DA9E64F">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5C8FD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东</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237A7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南</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EEE51E">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西</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2DAC5D">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北</w:t>
                  </w:r>
                </w:p>
              </w:tc>
              <w:tc>
                <w:tcPr>
                  <w:tcW w:w="805"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5A6B6E04">
                  <w:pPr>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r>
            <w:tr w14:paraId="5C48C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3204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6BAA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张力机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675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16BE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A261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52C5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E208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F780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0B0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DA60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3FCB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149F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D9F1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6F62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21.78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E282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42.01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68E899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DF09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47.22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BA76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574F5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F509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57B1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9750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FF824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ABB4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6F81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1333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DC12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烘水炉</w:t>
                  </w: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加热</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26A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6BED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5A1E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9E13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34393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54B2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00AD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0B9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F7E0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0480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1562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9CBE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FD3D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7EE6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FE70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58.39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8748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195B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BC5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AE1CF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0B6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B60F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31.89</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07E8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3922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775E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6F78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牵引机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09E6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EDB39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C2AC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3D8B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3A5E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86B2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66D8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7E73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68DF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B66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E5C2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3103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0790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47.94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91DC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34.74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F7B6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0B2F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87663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C46D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3.62</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930C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B8C78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67A6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24.15</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82FE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4E658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7530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16AE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数控折弯机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C802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5533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EE4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EED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7FA9D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D5CE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396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6A16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A0C7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ED03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AE16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7021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2654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63.52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45281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65.98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B950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63.76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2B19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1946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7F824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28.3</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0727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37.23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F7F99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A503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41D3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7BFC0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399E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23F9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滚压成型设备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2948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9F35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BFB2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9B4F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E442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1D92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E471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11FB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2265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6CBF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6230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1EB1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58.54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AF5B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65.31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C87E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34E4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62.35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2934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7765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95C4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3405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38.95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60B1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7BF8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36.09</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2473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2FEF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ECF4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AF4AD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全自动冲孔设备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ACF6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1536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CCBE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D6CF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54D1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B6D7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9ADA5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B347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9EF4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3BD77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A43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E1C4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60.78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34AA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619F0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52.08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216C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59.93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8A02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AE7B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1071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34.48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8A73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6A37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1C4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142F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0A66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E154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B502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数控切割机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DE5C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7FA9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ECB2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FBB1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68B4D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5F8F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1B752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7893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571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55C3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EEA8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73D5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E3C6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58.76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5928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59.61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E7EF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CFE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3B63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3830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20.13</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7E72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1623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33.16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3165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8B95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3DF0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6009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A99E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激光切割生产线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C0CA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EE1F6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F64E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4E38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5B41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AC20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5DD7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3EFF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8EEB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414D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0760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D1B2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48.12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674C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58.27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B37A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53.96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BE264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56.19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B1D7D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7A6E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F0F3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B7EA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31.88</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ECB9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7CE8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29.88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D7DE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5200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D2DD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EB60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卧式数控刨槽机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4D97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F29E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2D37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D240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DFD9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F191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45A3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05DB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15D7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A812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F4F4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372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9E9A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51.83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C289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43.47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B67A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50.32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9E93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5A3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1457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ACB5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F05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0937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24.03</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D2D5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B9B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F746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6AED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数控转塔冲床</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8F96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00F7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E227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A21E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AD2E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219B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331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C3F2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83F5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3C5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F64A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29BDD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4CFF5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3F78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4810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66.03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D5CB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F66E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2372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40.41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77F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41.89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0DD9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32.26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514D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39.76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7C38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24A0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91BB7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532B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精密剪板机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D94F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92F60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0B20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E483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1A5B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26FC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5CD9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A3DB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B9E5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5321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9ACA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2853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BC11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7CE7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EFF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D7FA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D880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A3F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DE4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300A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B668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A89B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59FD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ED8EA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FEC3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高速激光焊机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BCDA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8A4D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CC24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5DC8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9F75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594D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F131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D767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69AA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F041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77B6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C1C5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34.83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D954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9C7AC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79A7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46.46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E0F2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E991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798B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8.74</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D140D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E6D1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25.49</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BE3F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AB5C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60B0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EFD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1488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进口氩弧焊机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C0F5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3015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3EAA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1570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56E1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35F2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2A34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BB1D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E15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04DE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4592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BD40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4DA0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43.69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2934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CCBA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44.41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C2D7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8EFC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09BC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7.75</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B9FC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311A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19.73</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E357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723D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4518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D69ED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0580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多功能焊机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9DA9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6670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950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9D7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FAC8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4B6D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472C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6C4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69CB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42A0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B9EA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0D819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35.09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1FA8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46BC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42.31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CF37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44.48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F97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E701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9666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650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24C8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2743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B7B9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143FC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B610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9F142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喷粉房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B3222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31A9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CFFE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66EA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CDF7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D0044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D986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CADE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C7EF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9CEE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237A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693FB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A9E5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36.42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D247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9D30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27.68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7E49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6A30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230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46D5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00A5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0.39</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A4D5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C4C83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C422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0C8C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7615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手磨机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1860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FD73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2D28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B19B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2C5F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692A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9C06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524B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9F04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AAF1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173D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205F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1EE8C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36.25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A6BC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AFA6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35.41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B638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AD3D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6CFC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BCD8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988D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B57E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9.12</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8CC4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21DD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5D0F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0D76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喷粉房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94CB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52C1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7882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A94A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F255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1F17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1E4C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6414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172F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A8FC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79D3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4627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4379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32.28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9C27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ACFA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42.82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BE33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6AEE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F0F1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55FD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6.08</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64D6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0804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7DF9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793C8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530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2904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底漆喷房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06311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75AFF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E8D3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E1A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E05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7F20C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7626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30ED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A2F3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41B5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F2E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A2F6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0888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30.55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D9A1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394E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39.95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B685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3E56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B4BD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C5B69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D202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2F4F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21C3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F314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6695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C3A2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手持喷枪</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D901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004F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FA88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4FB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9444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3D2A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7DD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9B1E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0E4C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90162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2BA1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4D77C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3D76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33A5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970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49.94</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7A0AB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664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2D44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9.36</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162F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1B14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DF4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23.35</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D48F2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D7A2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10B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0B54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面漆喷房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B9E3F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21A3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B77A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9A7B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722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E2CA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E5F5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0438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840E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6722B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F545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103C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4B1A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A1B3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522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9121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E3C5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7F21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1C481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732F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4673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F534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6E27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E704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266C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清漆喷房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EA7F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2275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9724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4461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6B9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C9153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C05E6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4B3F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38FE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0E12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C747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86F0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28.37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D7B5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30.87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C1C6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27.65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8C8D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A64C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71BF2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EE38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C12F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4.66</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5894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6C6E2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6689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58F23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6CAF1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6D0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烤炉</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A61F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038E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E0B1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15FD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AA1DB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89BA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2CD3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5D86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2DCCF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D7901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0A8A0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AE33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50.24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D5522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51.22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8E5E6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43.18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2635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1CBE3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73AC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C46F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23.99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6E4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5FA2A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B04C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E4F4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B33D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771A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4C45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牵引机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403F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1D8D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9A2A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7EF9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7FB2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5E9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EBF7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1050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2AE51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1E7B9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AA3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CC70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37.16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66C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C858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24.67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90CE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46.15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CFD1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D595F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FE14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26CC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FC01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0310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844D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45DBA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448AE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88CA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精涂机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6435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952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C466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6092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06443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1606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589A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9B99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0A47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4BEB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626E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8E18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35.33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70E4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48.88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623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41.86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C193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40.93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307ED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E95B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A337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C113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1C45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15.63</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8635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2834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69E1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CD20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4790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精涂机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442DA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3160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C6B3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EA35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37B5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0238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B02AD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AF28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F65F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96A4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951C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4A40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EB27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45.77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708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249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53.31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B3F1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E486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3A6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1B3F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19.56</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FD01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14.88</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C514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02C2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4BCF6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21BC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304E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各类组装设备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CF33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BF84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3A6AB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340BC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ED55D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5409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92D7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2827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77C9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98F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A190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5230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44DFC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E2F7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35.52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05F2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022E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ascii="宋体" w:hAnsi="宋体" w:eastAsia="宋体" w:cs="宋体"/>
                      <w:i w:val="0"/>
                      <w:iCs w:val="0"/>
                      <w:color w:val="000000" w:themeColor="text1"/>
                      <w:kern w:val="0"/>
                      <w:sz w:val="21"/>
                      <w:szCs w:val="21"/>
                      <w:u w:val="none"/>
                      <w:lang w:val="en-US" w:eastAsia="zh-CN" w:bidi="ar"/>
                      <w14:textFill>
                        <w14:solidFill>
                          <w14:schemeClr w14:val="tx1"/>
                        </w14:solidFill>
                      </w14:textFill>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EA56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505A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4A4A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1348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15DD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19.03</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49844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bl>
          <w:p w14:paraId="7F464690">
            <w:pPr>
              <w:rPr>
                <w:rFonts w:hint="default"/>
                <w:color w:val="000000" w:themeColor="text1"/>
                <w14:textFill>
                  <w14:solidFill>
                    <w14:schemeClr w14:val="tx1"/>
                  </w14:solidFill>
                </w14:textFill>
              </w:rPr>
            </w:pPr>
            <w:r>
              <w:rPr>
                <w:rFonts w:hint="default" w:ascii="Times New Roman" w:hAnsi="Times New Roman" w:eastAsia="宋体" w:cs="Times New Roman"/>
                <w:color w:val="000000" w:themeColor="text1"/>
                <w:spacing w:val="-1"/>
                <w:sz w:val="17"/>
                <w:szCs w:val="17"/>
                <w:highlight w:val="none"/>
                <w14:textFill>
                  <w14:solidFill>
                    <w14:schemeClr w14:val="tx1"/>
                  </w14:solidFill>
                </w14:textFill>
              </w:rPr>
              <w:t>注：以（东经113°24'30.099"，北纬25°9'23.358"）为原点（0，0），正东向为X轴正方向、正北向为Y轴正方向建立直角坐标系。</w:t>
            </w:r>
          </w:p>
        </w:tc>
      </w:tr>
    </w:tbl>
    <w:p w14:paraId="4AFA7B19">
      <w:pPr>
        <w:pStyle w:val="76"/>
        <w:rPr>
          <w:rFonts w:hint="eastAsia"/>
          <w:color w:val="000000" w:themeColor="text1"/>
          <w:highlight w:val="none"/>
          <w14:textFill>
            <w14:solidFill>
              <w14:schemeClr w14:val="tx1"/>
            </w14:solidFill>
          </w14:textFill>
        </w:rPr>
        <w:sectPr>
          <w:pgSz w:w="16840" w:h="11907"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8543"/>
      </w:tblGrid>
      <w:tr w14:paraId="7132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9" w:hRule="atLeast"/>
        </w:trPr>
        <w:tc>
          <w:tcPr>
            <w:tcW w:w="518" w:type="dxa"/>
            <w:noWrap w:val="0"/>
            <w:vAlign w:val="top"/>
          </w:tcPr>
          <w:p w14:paraId="2C258D5B">
            <w:pPr>
              <w:pStyle w:val="76"/>
              <w:rPr>
                <w:rFonts w:hint="default" w:ascii="Times New Roman" w:hAnsi="Times New Roman" w:eastAsia="宋体" w:cs="Times New Roman"/>
                <w:color w:val="000000" w:themeColor="text1"/>
                <w:highlight w:val="none"/>
                <w:vertAlign w:val="baseline"/>
                <w14:textFill>
                  <w14:solidFill>
                    <w14:schemeClr w14:val="tx1"/>
                  </w14:solidFill>
                </w14:textFill>
              </w:rPr>
            </w:pPr>
          </w:p>
        </w:tc>
        <w:tc>
          <w:tcPr>
            <w:tcW w:w="8543" w:type="dxa"/>
            <w:noWrap w:val="0"/>
            <w:vAlign w:val="top"/>
          </w:tcPr>
          <w:p w14:paraId="5D50B863">
            <w:p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3.2</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噪声污染防治措施</w:t>
            </w:r>
          </w:p>
          <w:p w14:paraId="29190533">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为确保厂界噪声满足《工业企业厂界环境噪声排放标准》（GB12348-2008）中的相应标准，项目拟采取以下噪声与振动治理措施：</w:t>
            </w:r>
          </w:p>
          <w:p w14:paraId="33B5E21D">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①合理布局：尽量将高噪声设备布置在厂房中间，尽可能地选择远离厂界的位置。</w:t>
            </w:r>
          </w:p>
          <w:p w14:paraId="68F8CDC6">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②落实设备基础减振以及厂房隔声：</w:t>
            </w:r>
          </w:p>
          <w:p w14:paraId="6F29C00C">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A、在设备选型方面，在满足工艺生产的前提下，选用精度高、装配质量好、噪声低的设备；对设备基础进行减振；</w:t>
            </w:r>
          </w:p>
          <w:p w14:paraId="2F1571FA">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B、重视厂房的使用状况，不设门窗或设隔声玻璃门窗。</w:t>
            </w:r>
          </w:p>
          <w:p w14:paraId="3020797E">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③加强内部管理：建立设备定期维护、保养的管理制度，以防止设备故障形成的非生产噪声，同时确保环保措施发挥最有效的功能；加强职工环保意识教育，提倡文明生产，防止人为噪声。</w:t>
            </w:r>
          </w:p>
          <w:p w14:paraId="42D3EA80">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④合理安排生产时间：尽可能地安排在昼间进行生产，若夜间必须生产应控制夜间生产时间，特别夜间应停止高噪声设备，减少机械的噪声影响。</w:t>
            </w:r>
          </w:p>
          <w:p w14:paraId="3BE87A79">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⑤针对冲床、折弯机，安装减振垫（橡胶/NBR材质）或弹簧减振器，橡胶减振垫能有效吸收高频振动，</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降低噪声</w:t>
            </w:r>
            <w:r>
              <w:rPr>
                <w:rFonts w:hint="default" w:ascii="Times New Roman" w:hAnsi="Times New Roman" w:eastAsia="宋体" w:cs="Times New Roman"/>
                <w:color w:val="000000" w:themeColor="text1"/>
                <w:kern w:val="0"/>
                <w:sz w:val="24"/>
                <w:highlight w:val="none"/>
                <w14:textFill>
                  <w14:solidFill>
                    <w14:schemeClr w14:val="tx1"/>
                  </w14:solidFill>
                </w14:textFill>
              </w:rPr>
              <w:t>15~25dB，且安装简便，无需地脚螺栓固定；弹簧减振器则适用于低频振动隔离，通过调整预紧力可适配不同吨位设备，安装时需确保减振器与设备底座紧密连接，并定期检查螺栓紧固状态。</w:t>
            </w:r>
          </w:p>
          <w:p w14:paraId="77C262B7">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⑥通风管道采用橡胶软管或金属波纹管。橡胶软管适用于常温常压环境，但耐高温高压性较差</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highlight w:val="none"/>
                <w14:textFill>
                  <w14:solidFill>
                    <w14:schemeClr w14:val="tx1"/>
                  </w14:solidFill>
                </w14:textFill>
              </w:rPr>
              <w:t>金属波纹管则能耐高温、高压和腐蚀，适合制冷剂管路等苛刻工况。</w:t>
            </w:r>
          </w:p>
          <w:p w14:paraId="6F37288F">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⑦生产设备定期进行润滑处理，定期维护轴承、齿轮，使用高粘度润滑油减少轴承、齿轮摩擦噪声，并优化轴承预紧力以减少振动源。</w:t>
            </w:r>
          </w:p>
          <w:p w14:paraId="5CAB03B8">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⑧对旋转部件（如砂轮、转子）定期进行校验，减少不平衡质量引发的振动。定期使用专业平衡机（如银箭数控设备）进行动/静平衡检测，通过添加配重块或去重调整质量分布，确保残余不平衡量符合标准。</w:t>
            </w:r>
          </w:p>
          <w:p w14:paraId="4599AE59">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⑨针对设备外壳振动明显的设备，可在设备外壳粘贴丁基橡胶阻尼片，抑制薄板振动。</w:t>
            </w:r>
          </w:p>
          <w:p w14:paraId="6283B010">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本项目周边50米范围内不存在声环境保护目标，经采取上述的降噪措施后，预计项目</w:t>
            </w:r>
            <w:r>
              <w:rPr>
                <w:rFonts w:hint="eastAsia" w:cs="Times New Roman"/>
                <w:color w:val="000000" w:themeColor="text1"/>
                <w:kern w:val="0"/>
                <w:sz w:val="24"/>
                <w:highlight w:val="none"/>
                <w:lang w:val="en-US" w:eastAsia="zh-CN"/>
                <w14:textFill>
                  <w14:solidFill>
                    <w14:schemeClr w14:val="tx1"/>
                  </w14:solidFill>
                </w14:textFill>
              </w:rPr>
              <w:t>西、北</w:t>
            </w:r>
            <w:r>
              <w:rPr>
                <w:rFonts w:hint="default" w:ascii="Times New Roman" w:hAnsi="Times New Roman" w:eastAsia="宋体" w:cs="Times New Roman"/>
                <w:color w:val="000000" w:themeColor="text1"/>
                <w:kern w:val="0"/>
                <w:sz w:val="24"/>
                <w:highlight w:val="none"/>
                <w14:textFill>
                  <w14:solidFill>
                    <w14:schemeClr w14:val="tx1"/>
                  </w14:solidFill>
                </w14:textFill>
              </w:rPr>
              <w:t>厂界噪声排放可达到《工业企业厂界环境噪声排放标准》（GB12348-2008）3类标准</w:t>
            </w:r>
            <w:r>
              <w:rPr>
                <w:rFonts w:hint="eastAsia" w:cs="Times New Roman"/>
                <w:color w:val="000000" w:themeColor="text1"/>
                <w:kern w:val="0"/>
                <w:sz w:val="24"/>
                <w:highlight w:val="none"/>
                <w:lang w:eastAsia="zh-CN"/>
                <w14:textFill>
                  <w14:solidFill>
                    <w14:schemeClr w14:val="tx1"/>
                  </w14:solidFill>
                </w14:textFill>
              </w:rPr>
              <w:t>，</w:t>
            </w:r>
            <w:r>
              <w:rPr>
                <w:rFonts w:hint="eastAsia" w:cs="Times New Roman"/>
                <w:color w:val="000000" w:themeColor="text1"/>
                <w:kern w:val="0"/>
                <w:sz w:val="24"/>
                <w:highlight w:val="none"/>
                <w:lang w:val="en-US" w:eastAsia="zh-CN"/>
                <w14:textFill>
                  <w14:solidFill>
                    <w14:schemeClr w14:val="tx1"/>
                  </w14:solidFill>
                </w14:textFill>
              </w:rPr>
              <w:t>东、南厂界可满足4a类标准</w:t>
            </w:r>
            <w:r>
              <w:rPr>
                <w:rFonts w:hint="default" w:ascii="Times New Roman" w:hAnsi="Times New Roman" w:eastAsia="宋体" w:cs="Times New Roman"/>
                <w:color w:val="000000" w:themeColor="text1"/>
                <w:kern w:val="0"/>
                <w:sz w:val="24"/>
                <w:highlight w:val="none"/>
                <w14:textFill>
                  <w14:solidFill>
                    <w14:schemeClr w14:val="tx1"/>
                  </w14:solidFill>
                </w14:textFill>
              </w:rPr>
              <w:t>，噪声对声环境影响不大。</w:t>
            </w:r>
          </w:p>
          <w:p w14:paraId="453B18D3">
            <w:p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3.3厂界达标情况分析</w:t>
            </w:r>
          </w:p>
          <w:p w14:paraId="360E4684">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根据《环境影响评价技术导则 声环境》（HJ2.4-2021）的要求，预测和评价建设项目在运营期厂界噪声贡献值，评价其超标和达标情况。随距离的衰减变化规律。预测模式采用“附录B.1 工业噪声预测计算模型”，来模拟预测项目主要声源排放噪声</w:t>
            </w:r>
          </w:p>
          <w:p w14:paraId="07B2619E">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）预测模式</w:t>
            </w:r>
          </w:p>
          <w:p w14:paraId="0AB385AB">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环境影响评价技术导则-声环境》（HJ2.4-2021）要求，本评价选择点声源预测模式，模拟声源排放噪声随距离的衰减变化规律。噪声的衰减主要与声传播距离、空气吸收、阻挡物的反射与屏障等因素有关。从安全角度出发，本预测从各点源包络线开始，只考虑声传播距离这一主要因素，各噪声源可近似作为点声源处理</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305326A">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①室内声源等效室外声源声功率级计算</w:t>
            </w:r>
          </w:p>
          <w:p w14:paraId="6D6DE20B">
            <w:pPr>
              <w:spacing w:line="360" w:lineRule="auto"/>
              <w:ind w:firstLine="480" w:firstLineChars="200"/>
              <w:rPr>
                <w:rFonts w:hint="default" w:ascii="Times New Roman" w:hAnsi="Times New Roman" w:eastAsia="宋体" w:cs="Times New Roman"/>
                <w:b w:val="0"/>
                <w:bCs/>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如图4-</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所示，声源位于室内，</w:t>
            </w:r>
            <w:r>
              <w:rPr>
                <w:rFonts w:hint="default" w:ascii="Times New Roman" w:hAnsi="Times New Roman" w:eastAsia="宋体" w:cs="Times New Roman"/>
                <w:color w:val="000000" w:themeColor="text1"/>
                <w:sz w:val="24"/>
                <w:szCs w:val="24"/>
                <w:highlight w:val="none"/>
                <w14:textFill>
                  <w14:solidFill>
                    <w14:schemeClr w14:val="tx1"/>
                  </w14:solidFill>
                </w14:textFill>
              </w:rPr>
              <w:t>室内声源可采用等效室外声源声功率级法进行计算。设靠近开口处（或窗户）室内、室外某倍频带的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声</w:t>
            </w:r>
            <w:r>
              <w:rPr>
                <w:rFonts w:hint="default" w:ascii="Times New Roman" w:hAnsi="Times New Roman" w:eastAsia="宋体" w:cs="Times New Roman"/>
                <w:color w:val="000000" w:themeColor="text1"/>
                <w:sz w:val="24"/>
                <w:szCs w:val="24"/>
                <w:highlight w:val="none"/>
                <w14:textFill>
                  <w14:solidFill>
                    <w14:schemeClr w14:val="tx1"/>
                  </w14:solidFill>
                </w14:textFill>
              </w:rPr>
              <w:t>压级分为L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和L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。若声源所在室内声场为近似扩散声场，则室外的倍频带声压级可按（公式1）近似求出：</w:t>
            </w:r>
          </w:p>
          <w:p w14:paraId="37BBA7EF">
            <w:pPr>
              <w:spacing w:line="360" w:lineRule="auto"/>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position w:val="-14"/>
                <w:sz w:val="24"/>
                <w:szCs w:val="24"/>
                <w:highlight w:val="none"/>
                <w:lang w:val="en-GB" w:eastAsia="zh-CN"/>
                <w14:textFill>
                  <w14:solidFill>
                    <w14:schemeClr w14:val="tx1"/>
                  </w14:solidFill>
                </w14:textFill>
              </w:rPr>
              <w:object>
                <v:shape id="_x0000_i1030" o:spt="75" type="#_x0000_t75" style="height:19pt;width:96pt;" o:ole="t" filled="f" o:preferrelative="t" stroked="f" coordsize="21600,21600">
                  <v:path/>
                  <v:fill on="f" focussize="0,0"/>
                  <v:stroke on="f"/>
                  <v:imagedata r:id="rId34" o:title=""/>
                  <o:lock v:ext="edit" aspectratio="t"/>
                  <w10:wrap type="none"/>
                  <w10:anchorlock/>
                </v:shape>
                <o:OLEObject Type="Embed" ProgID="Equation.KSEE3" ShapeID="_x0000_i1030" DrawAspect="Content" ObjectID="_1468075730" r:id="rId33">
                  <o:LockedField>false</o:LockedField>
                </o:OLEObject>
              </w:objec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（公式1）</w:t>
            </w:r>
          </w:p>
          <w:p w14:paraId="5E1E9259">
            <w:pPr>
              <w:spacing w:line="360" w:lineRule="auto"/>
              <w:ind w:firstLine="480" w:firstLineChars="200"/>
              <w:rPr>
                <w:rFonts w:hint="default" w:ascii="Times New Roman" w:hAnsi="Times New Roman" w:eastAsia="宋体" w:cs="Times New Roman"/>
                <w:color w:val="000000" w:themeColor="text1"/>
                <w:highlight w:val="none"/>
                <w:lang w:val="en-GB"/>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式中：TL—隔墙（或窗户）倍频带的隔声量，dB(A)，</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本评价</w:t>
            </w:r>
            <w:r>
              <w:rPr>
                <w:rFonts w:hint="eastAsia" w:cs="Times New Roman"/>
                <w:color w:val="000000" w:themeColor="text1"/>
                <w:sz w:val="24"/>
                <w:szCs w:val="24"/>
                <w:highlight w:val="none"/>
                <w:lang w:val="en-US" w:eastAsia="zh-CN"/>
                <w14:textFill>
                  <w14:solidFill>
                    <w14:schemeClr w14:val="tx1"/>
                  </w14:solidFill>
                </w14:textFill>
              </w:rPr>
              <w:t>保守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取值20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dB(A)</w:t>
            </w:r>
            <w:r>
              <w:rPr>
                <w:rFonts w:hint="default" w:ascii="Times New Roman" w:hAnsi="Times New Roman" w:eastAsia="宋体" w:cs="Times New Roman"/>
                <w:color w:val="000000" w:themeColor="text1"/>
                <w:highlight w:val="none"/>
                <w:lang w:val="en-GB"/>
                <w14:textFill>
                  <w14:solidFill>
                    <w14:schemeClr w14:val="tx1"/>
                  </w14:solidFill>
                </w14:textFill>
              </w:rPr>
              <w:t>；</w:t>
            </w:r>
          </w:p>
          <w:p w14:paraId="0C8B49F1">
            <w:pPr>
              <w:autoSpaceDE/>
              <w:autoSpaceDN/>
              <w:spacing w:before="0" w:after="0" w:line="360" w:lineRule="auto"/>
              <w:ind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drawing>
                <wp:inline distT="0" distB="0" distL="114300" distR="114300">
                  <wp:extent cx="3429000" cy="1461135"/>
                  <wp:effectExtent l="0" t="0" r="0" b="5715"/>
                  <wp:docPr id="103" name="图片 506" descr="2da37041a5be59b1e262ed073764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506" descr="2da37041a5be59b1e262ed0737642a9"/>
                          <pic:cNvPicPr>
                            <a:picLocks noChangeAspect="1"/>
                          </pic:cNvPicPr>
                        </pic:nvPicPr>
                        <pic:blipFill>
                          <a:blip r:embed="rId35"/>
                          <a:stretch>
                            <a:fillRect/>
                          </a:stretch>
                        </pic:blipFill>
                        <pic:spPr>
                          <a:xfrm>
                            <a:off x="0" y="0"/>
                            <a:ext cx="3429000" cy="1461135"/>
                          </a:xfrm>
                          <a:prstGeom prst="rect">
                            <a:avLst/>
                          </a:prstGeom>
                          <a:noFill/>
                          <a:ln>
                            <a:noFill/>
                          </a:ln>
                        </pic:spPr>
                      </pic:pic>
                    </a:graphicData>
                  </a:graphic>
                </wp:inline>
              </w:drawing>
            </w:r>
          </w:p>
          <w:p w14:paraId="4D7E2945">
            <w:pPr>
              <w:autoSpaceDE/>
              <w:autoSpaceDN/>
              <w:spacing w:before="0" w:after="0" w:line="360" w:lineRule="auto"/>
              <w:ind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图4-</w:t>
            </w:r>
            <w:r>
              <w:rPr>
                <w:rFonts w:hint="eastAsia" w:cs="Times New Roman"/>
                <w:b/>
                <w:bCs/>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室内声源等效为室外声源图例</w:t>
            </w:r>
          </w:p>
          <w:p w14:paraId="33EC0011">
            <w:pPr>
              <w:autoSpaceDE/>
              <w:autoSpaceDN/>
              <w:spacing w:before="0" w:after="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也可按（公式2）计算某一室内声源靠近转护结构处产生的倍频带声压级：</w:t>
            </w:r>
          </w:p>
          <w:p w14:paraId="7FCD8AA6">
            <w:pPr>
              <w:pStyle w:val="2"/>
              <w:numPr>
                <w:ilvl w:val="0"/>
                <w:numId w:val="0"/>
              </w:numPr>
              <w:spacing w:line="360" w:lineRule="auto"/>
              <w:ind w:left="1560" w:leftChars="0" w:firstLine="0" w:firstLineChars="0"/>
              <w:jc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drawing>
                <wp:inline distT="0" distB="0" distL="114300" distR="114300">
                  <wp:extent cx="2867025" cy="542925"/>
                  <wp:effectExtent l="0" t="0" r="9525" b="9525"/>
                  <wp:docPr id="104" name="图片 507" descr="a283611caf2b045e9ca721db4b85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507" descr="a283611caf2b045e9ca721db4b85abe"/>
                          <pic:cNvPicPr>
                            <a:picLocks noChangeAspect="1"/>
                          </pic:cNvPicPr>
                        </pic:nvPicPr>
                        <pic:blipFill>
                          <a:blip r:embed="rId36"/>
                          <a:stretch>
                            <a:fillRect/>
                          </a:stretch>
                        </pic:blipFill>
                        <pic:spPr>
                          <a:xfrm>
                            <a:off x="0" y="0"/>
                            <a:ext cx="2867025" cy="542925"/>
                          </a:xfrm>
                          <a:prstGeom prst="rect">
                            <a:avLst/>
                          </a:prstGeom>
                          <a:noFill/>
                          <a:ln>
                            <a:noFill/>
                          </a:ln>
                        </pic:spPr>
                      </pic:pic>
                    </a:graphicData>
                  </a:graphic>
                </wp:inline>
              </w:drawing>
            </w:r>
          </w:p>
          <w:p w14:paraId="29DE648B">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Q—指向性因数；通常对无指向性声源，当声源放在房间中心时，Q=1；当入在一面墙的中心时，Q=2；当放在两面墙夹角处时，Q=4；当放在三面墙夹角处时，Q=8；R—房间常数；R=Sα/(1-α)，S为房间内表面面积，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，取生产厂房</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内表面面积</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；α为平均吸声系数；r—声源到靠近围护结构某点处的距离，m。</w:t>
            </w:r>
          </w:p>
          <w:p w14:paraId="3DA13CC7">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然后按（公式3）计算出所有室内声源在围护结构处产生的i倍频带叠加声压级：</w:t>
            </w:r>
          </w:p>
          <w:p w14:paraId="10F539E2">
            <w:pPr>
              <w:spacing w:line="360" w:lineRule="auto"/>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drawing>
                <wp:inline distT="0" distB="0" distL="114300" distR="114300">
                  <wp:extent cx="2907665" cy="539750"/>
                  <wp:effectExtent l="0" t="0" r="6985" b="12700"/>
                  <wp:docPr id="105" name="图片 508" descr="d314ef6d08cecde198e12dbd6563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08" descr="d314ef6d08cecde198e12dbd6563ab1"/>
                          <pic:cNvPicPr>
                            <a:picLocks noChangeAspect="1"/>
                          </pic:cNvPicPr>
                        </pic:nvPicPr>
                        <pic:blipFill>
                          <a:blip r:embed="rId37"/>
                          <a:stretch>
                            <a:fillRect/>
                          </a:stretch>
                        </pic:blipFill>
                        <pic:spPr>
                          <a:xfrm>
                            <a:off x="0" y="0"/>
                            <a:ext cx="2907665" cy="539750"/>
                          </a:xfrm>
                          <a:prstGeom prst="rect">
                            <a:avLst/>
                          </a:prstGeom>
                          <a:noFill/>
                          <a:ln>
                            <a:noFill/>
                          </a:ln>
                        </pic:spPr>
                      </pic:pic>
                    </a:graphicData>
                  </a:graphic>
                </wp:inline>
              </w:drawing>
            </w:r>
          </w:p>
          <w:p w14:paraId="749A542C">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p1i</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（T）—靠近围护结构处室内N个声源i倍频带的叠加声压级，dB；L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p1ij</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—室内j声源i倍频带的声压级，dB；N—室内声源总数。</w:t>
            </w:r>
          </w:p>
          <w:p w14:paraId="0CBD1AC7">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在室内近似为扩散声场时，按（公式4）计算出靠近室外围护结构处的声压级：</w:t>
            </w:r>
          </w:p>
          <w:p w14:paraId="5C4FE143">
            <w:pPr>
              <w:spacing w:line="360" w:lineRule="auto"/>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position w:val="-14"/>
                <w:sz w:val="24"/>
                <w:szCs w:val="24"/>
                <w:highlight w:val="none"/>
                <w:lang w:val="en-US" w:eastAsia="zh-CN"/>
                <w14:textFill>
                  <w14:solidFill>
                    <w14:schemeClr w14:val="tx1"/>
                  </w14:solidFill>
                </w14:textFill>
              </w:rPr>
              <w:object>
                <v:shape id="_x0000_i1031" o:spt="75" type="#_x0000_t75" style="height:19pt;width:135pt;" o:ole="t" filled="f" o:preferrelative="t" stroked="f" coordsize="21600,21600">
                  <v:path/>
                  <v:fill on="f" focussize="0,0"/>
                  <v:stroke on="f"/>
                  <v:imagedata r:id="rId39" o:title=""/>
                  <o:lock v:ext="edit" aspectratio="t"/>
                  <w10:wrap type="none"/>
                  <w10:anchorlock/>
                </v:shape>
                <o:OLEObject Type="Embed" ProgID="Equation.KSEE3" ShapeID="_x0000_i1031" DrawAspect="Content" ObjectID="_1468075731" r:id="rId38">
                  <o:LockedField>false</o:LockedField>
                </o:OLEObject>
              </w:objec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（公式4）</w:t>
            </w:r>
          </w:p>
          <w:p w14:paraId="5E17FB39">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p2i</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（T）—靠近围护结构处室外N个声源i倍频带的叠加声压级，dB； TL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i</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—围护结构i倍频带的隔声量，dB；</w:t>
            </w:r>
          </w:p>
          <w:p w14:paraId="23E9EE78">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然后按（公式5）将室外声源的声压级和透过面积换算成等效的室外声源，计算出中心位置于透声面积（S）处的等效声源的倍频带声功率级：</w:t>
            </w:r>
          </w:p>
          <w:p w14:paraId="32B38CC7">
            <w:pPr>
              <w:spacing w:line="360" w:lineRule="auto"/>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position w:val="-14"/>
                <w:sz w:val="24"/>
                <w:szCs w:val="24"/>
                <w:highlight w:val="none"/>
                <w:lang w:val="en-US" w:eastAsia="zh-CN"/>
                <w14:textFill>
                  <w14:solidFill>
                    <w14:schemeClr w14:val="tx1"/>
                  </w14:solidFill>
                </w14:textFill>
              </w:rPr>
              <w:object>
                <v:shape id="_x0000_i1032" o:spt="75" type="#_x0000_t75" style="height:19pt;width:103.95pt;" o:ole="t" filled="f" o:preferrelative="t" stroked="f" coordsize="21600,21600">
                  <v:path/>
                  <v:fill on="f" focussize="0,0"/>
                  <v:stroke on="f"/>
                  <v:imagedata r:id="rId41" o:title=""/>
                  <o:lock v:ext="edit" aspectratio="t"/>
                  <w10:wrap type="none"/>
                  <w10:anchorlock/>
                </v:shape>
                <o:OLEObject Type="Embed" ProgID="Equation.KSEE3" ShapeID="_x0000_i1032" DrawAspect="Content" ObjectID="_1468075732" r:id="rId40">
                  <o:LockedField>false</o:LockedField>
                </o:OLEObject>
              </w:objec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（公式5）</w:t>
            </w:r>
          </w:p>
          <w:p w14:paraId="237CB1B6">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W</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—中心位置位于透声面积（S）处的等效声源的倍频带声功率级，dB；L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p2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(T)—靠近围护结构处室外声源的声压级，dB；S—透声面积，m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22B9D0EF">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然后按室外声源预测方法计出预测点处的A声级。</w:t>
            </w:r>
          </w:p>
          <w:p w14:paraId="4058FB6B">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②室外声源衰减模式</w:t>
            </w:r>
          </w:p>
          <w:p w14:paraId="7DCF1DB5">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预测点的声压级可按下式计算：</w:t>
            </w:r>
          </w:p>
          <w:p w14:paraId="4479B3A5">
            <w:pPr>
              <w:spacing w:line="360" w:lineRule="auto"/>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position w:val="-14"/>
                <w:sz w:val="24"/>
                <w:szCs w:val="24"/>
                <w:highlight w:val="none"/>
                <w:lang w:val="en-US" w:eastAsia="zh-CN"/>
                <w14:textFill>
                  <w14:solidFill>
                    <w14:schemeClr w14:val="tx1"/>
                  </w14:solidFill>
                </w14:textFill>
              </w:rPr>
              <w:object>
                <v:shape id="_x0000_i1033" o:spt="75" type="#_x0000_t75" style="height:19pt;width:253pt;" o:ole="t" filled="f" o:preferrelative="t" stroked="f" coordsize="21600,21600">
                  <v:path/>
                  <v:fill on="f" focussize="0,0"/>
                  <v:stroke on="f"/>
                  <v:imagedata r:id="rId43" o:title=""/>
                  <o:lock v:ext="edit" aspectratio="t"/>
                  <w10:wrap type="none"/>
                  <w10:anchorlock/>
                </v:shape>
                <o:OLEObject Type="Embed" ProgID="Equation.KSEE3" ShapeID="_x0000_i1033" DrawAspect="Content" ObjectID="_1468075733" r:id="rId42">
                  <o:LockedField>false</o:LockedField>
                </o:OLEObject>
              </w:objec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（公式6）</w:t>
            </w:r>
          </w:p>
          <w:p w14:paraId="313D011D">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式中：Lp(r)—预测点处声压级，dB；Lp(r</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)—参考位置r</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处的声压级，dB；D</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C</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—指向性校正，它描述点声源的等效连续声压级与产生声功率级L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w</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的全向点声源在规定方向的声级的偏差程度，dB；A</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div</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—几何发散引起的衰减，dB；A</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atm</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—大气吸收引起的衰减，dB；A</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gr</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—地面效应引起的衰减，dB；A</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bar</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—障碍物屏蔽引起的衰减，dB；A</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misc</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其他多方面效应引起的衰减，dB。在预测时，为留有较大余地，以噪声对环境最不利的情况为前提，只考虑几何发散引起的衰减，而其他因素的衰减，如大气吸收、地面效应等均作为预测计算的安全系数而不计，综上分析，公式6可简化为：</w:t>
            </w:r>
            <w:r>
              <w:rPr>
                <w:rFonts w:hint="default" w:ascii="Times New Roman" w:hAnsi="Times New Roman" w:eastAsia="宋体" w:cs="Times New Roman"/>
                <w:color w:val="000000" w:themeColor="text1"/>
                <w:position w:val="-14"/>
                <w:sz w:val="24"/>
                <w:szCs w:val="24"/>
                <w:highlight w:val="none"/>
                <w:lang w:val="en-US" w:eastAsia="zh-CN"/>
                <w14:textFill>
                  <w14:solidFill>
                    <w14:schemeClr w14:val="tx1"/>
                  </w14:solidFill>
                </w14:textFill>
              </w:rPr>
              <w:object>
                <v:shape id="_x0000_i1034" o:spt="75" type="#_x0000_t75" style="height:19pt;width:132.95pt;" o:ole="t" filled="f" o:preferrelative="t" stroked="f" coordsize="21600,21600">
                  <v:path/>
                  <v:fill on="f" focussize="0,0"/>
                  <v:stroke on="f"/>
                  <v:imagedata r:id="rId45" o:title=""/>
                  <o:lock v:ext="edit" aspectratio="t"/>
                  <w10:wrap type="none"/>
                  <w10:anchorlock/>
                </v:shape>
                <o:OLEObject Type="Embed" ProgID="Equation.KSEE3" ShapeID="_x0000_i1034" DrawAspect="Content" ObjectID="_1468075734" r:id="rId44">
                  <o:LockedField>false</o:LockedField>
                </o:OLEObject>
              </w:objec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92678D5">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③工业企业噪声贡献值计算</w:t>
            </w:r>
          </w:p>
          <w:p w14:paraId="0746CC1E">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设第i个室外声源在预测点产生的A声级为L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Ai</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，在T时间内该声源工作时间为t</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i</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；第j个等效室外声源在预测点产生的A声级为L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Aj</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，在T时间内该声源工作时间为t</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j</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，则拟建工程声源对预测点产生的贡献值（L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eqg</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w:t>
            </w:r>
          </w:p>
          <w:p w14:paraId="70F4F2D9">
            <w:pPr>
              <w:spacing w:line="360" w:lineRule="auto"/>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position w:val="-34"/>
                <w:sz w:val="24"/>
                <w:szCs w:val="24"/>
                <w:highlight w:val="none"/>
                <w:lang w:val="en-US" w:eastAsia="zh-CN"/>
                <w14:textFill>
                  <w14:solidFill>
                    <w14:schemeClr w14:val="tx1"/>
                  </w14:solidFill>
                </w14:textFill>
              </w:rPr>
              <w:object>
                <v:shape id="_x0000_i1035" o:spt="75" type="#_x0000_t75" style="height:40pt;width:204.95pt;" o:ole="t" filled="f" o:preferrelative="t" stroked="f" coordsize="21600,21600">
                  <v:path/>
                  <v:fill on="f" focussize="0,0"/>
                  <v:stroke on="f"/>
                  <v:imagedata r:id="rId47" o:title=""/>
                  <o:lock v:ext="edit" aspectratio="t"/>
                  <w10:wrap type="none"/>
                  <w10:anchorlock/>
                </v:shape>
                <o:OLEObject Type="Embed" ProgID="Equation.KSEE3" ShapeID="_x0000_i1035" DrawAspect="Content" ObjectID="_1468075735" r:id="rId46">
                  <o:LockedField>false</o:LockedField>
                </o:OLEObject>
              </w:object>
            </w:r>
          </w:p>
          <w:p w14:paraId="09A72513">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式中：L</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eqg</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——建设项目声源在预测点产生的噪声贡献值，dB；T——用于计算等效声级的时间，s；N——室外声源个数；t</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i</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——在T时间内i声源工作时间，s；M——等效室外声源个数；t</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j</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——在T时间内j声源工作时间，s。</w:t>
            </w:r>
          </w:p>
          <w:p w14:paraId="7A291D73">
            <w:pPr>
              <w:spacing w:line="360" w:lineRule="auto"/>
              <w:ind w:firstLine="482" w:firstLineChars="200"/>
              <w:rPr>
                <w:rFonts w:hint="default" w:ascii="Times New Roman" w:hAnsi="Times New Roman" w:eastAsia="宋体" w:cs="Times New Roman"/>
                <w:b/>
                <w:bCs/>
                <w:color w:val="000000" w:themeColor="text1"/>
                <w:sz w:val="24"/>
                <w:szCs w:val="24"/>
                <w:highlight w:val="none"/>
                <w:lang w:val="en-GB"/>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GB"/>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lang w:val="en-GB"/>
                <w14:textFill>
                  <w14:solidFill>
                    <w14:schemeClr w14:val="tx1"/>
                  </w14:solidFill>
                </w14:textFill>
              </w:rPr>
              <w:t>）预测结果分析</w:t>
            </w:r>
          </w:p>
          <w:p w14:paraId="4A500B1B">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根据上述噪声源强调查清单及预测公式，项目噪声贡献值见下表。</w:t>
            </w:r>
          </w:p>
          <w:p w14:paraId="164102F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表4-3</w:t>
            </w:r>
            <w:r>
              <w:rPr>
                <w:rFonts w:hint="eastAsia" w:cs="Times New Roman"/>
                <w:b/>
                <w:bCs/>
                <w:color w:val="000000" w:themeColor="text1"/>
                <w:kern w:val="2"/>
                <w:sz w:val="21"/>
                <w:szCs w:val="21"/>
                <w:lang w:val="en-US" w:eastAsia="zh-CN" w:bidi="ar-SA"/>
                <w14:textFill>
                  <w14:solidFill>
                    <w14:schemeClr w14:val="tx1"/>
                  </w14:solidFill>
                </w14:textFill>
              </w:rPr>
              <w:t>5</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厂界预测结果与达标分析表</w:t>
            </w:r>
          </w:p>
          <w:tbl>
            <w:tblPr>
              <w:tblStyle w:val="4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59"/>
              <w:gridCol w:w="1243"/>
              <w:gridCol w:w="1153"/>
              <w:gridCol w:w="1342"/>
              <w:gridCol w:w="1347"/>
              <w:gridCol w:w="883"/>
              <w:gridCol w:w="887"/>
            </w:tblGrid>
            <w:tr w14:paraId="39AEE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vMerge w:val="restart"/>
                  <w:tcBorders>
                    <w:tl2br w:val="nil"/>
                    <w:tr2bl w:val="nil"/>
                  </w:tcBorders>
                  <w:noWrap w:val="0"/>
                  <w:vAlign w:val="center"/>
                </w:tcPr>
                <w:p w14:paraId="7EF45CA3">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预测点</w:t>
                  </w:r>
                </w:p>
              </w:tc>
              <w:tc>
                <w:tcPr>
                  <w:tcW w:w="1440" w:type="pct"/>
                  <w:gridSpan w:val="2"/>
                  <w:tcBorders>
                    <w:tl2br w:val="nil"/>
                    <w:tr2bl w:val="nil"/>
                  </w:tcBorders>
                  <w:noWrap w:val="0"/>
                  <w:vAlign w:val="center"/>
                </w:tcPr>
                <w:p w14:paraId="5958C65C">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贡献值dB（A）</w:t>
                  </w:r>
                </w:p>
              </w:tc>
              <w:tc>
                <w:tcPr>
                  <w:tcW w:w="1617" w:type="pct"/>
                  <w:gridSpan w:val="2"/>
                  <w:tcBorders>
                    <w:tl2br w:val="nil"/>
                    <w:tr2bl w:val="nil"/>
                  </w:tcBorders>
                  <w:noWrap w:val="0"/>
                  <w:vAlign w:val="center"/>
                </w:tcPr>
                <w:p w14:paraId="1593DBDC">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噪声标准</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dB（A）</w:t>
                  </w:r>
                </w:p>
              </w:tc>
              <w:tc>
                <w:tcPr>
                  <w:tcW w:w="1064" w:type="pct"/>
                  <w:gridSpan w:val="2"/>
                  <w:tcBorders>
                    <w:tl2br w:val="nil"/>
                    <w:tr2bl w:val="nil"/>
                  </w:tcBorders>
                  <w:noWrap w:val="0"/>
                  <w:vAlign w:val="center"/>
                </w:tcPr>
                <w:p w14:paraId="4A13BCE1">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达标情况</w:t>
                  </w:r>
                </w:p>
              </w:tc>
            </w:tr>
            <w:tr w14:paraId="200FB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vMerge w:val="continue"/>
                  <w:tcBorders>
                    <w:tl2br w:val="nil"/>
                    <w:tr2bl w:val="nil"/>
                  </w:tcBorders>
                  <w:noWrap w:val="0"/>
                  <w:vAlign w:val="center"/>
                </w:tcPr>
                <w:p w14:paraId="0D1D8452">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747" w:type="pct"/>
                  <w:tcBorders>
                    <w:tl2br w:val="nil"/>
                    <w:tr2bl w:val="nil"/>
                  </w:tcBorders>
                  <w:noWrap w:val="0"/>
                  <w:vAlign w:val="center"/>
                </w:tcPr>
                <w:p w14:paraId="6A2DFA59">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昼间</w:t>
                  </w:r>
                </w:p>
              </w:tc>
              <w:tc>
                <w:tcPr>
                  <w:tcW w:w="692" w:type="pct"/>
                  <w:tcBorders>
                    <w:tl2br w:val="nil"/>
                    <w:tr2bl w:val="nil"/>
                  </w:tcBorders>
                  <w:noWrap w:val="0"/>
                  <w:vAlign w:val="center"/>
                </w:tcPr>
                <w:p w14:paraId="72503828">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夜间</w:t>
                  </w:r>
                </w:p>
              </w:tc>
              <w:tc>
                <w:tcPr>
                  <w:tcW w:w="807" w:type="pct"/>
                  <w:tcBorders>
                    <w:tl2br w:val="nil"/>
                    <w:tr2bl w:val="nil"/>
                  </w:tcBorders>
                  <w:noWrap w:val="0"/>
                  <w:vAlign w:val="center"/>
                </w:tcPr>
                <w:p w14:paraId="1FA95347">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昼间</w:t>
                  </w:r>
                </w:p>
              </w:tc>
              <w:tc>
                <w:tcPr>
                  <w:tcW w:w="809" w:type="pct"/>
                  <w:tcBorders>
                    <w:tl2br w:val="nil"/>
                    <w:tr2bl w:val="nil"/>
                  </w:tcBorders>
                  <w:noWrap w:val="0"/>
                  <w:vAlign w:val="center"/>
                </w:tcPr>
                <w:p w14:paraId="1556CD6E">
                  <w:pPr>
                    <w:adjustRightInd w:val="0"/>
                    <w:snapToGrid w:val="0"/>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夜间</w:t>
                  </w:r>
                </w:p>
              </w:tc>
              <w:tc>
                <w:tcPr>
                  <w:tcW w:w="531" w:type="pct"/>
                  <w:tcBorders>
                    <w:tl2br w:val="nil"/>
                    <w:tr2bl w:val="nil"/>
                  </w:tcBorders>
                  <w:noWrap w:val="0"/>
                  <w:vAlign w:val="center"/>
                </w:tcPr>
                <w:p w14:paraId="114221E0">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昼间</w:t>
                  </w:r>
                </w:p>
              </w:tc>
              <w:tc>
                <w:tcPr>
                  <w:tcW w:w="533" w:type="pct"/>
                  <w:tcBorders>
                    <w:tl2br w:val="nil"/>
                    <w:tr2bl w:val="nil"/>
                  </w:tcBorders>
                  <w:noWrap w:val="0"/>
                  <w:vAlign w:val="center"/>
                </w:tcPr>
                <w:p w14:paraId="0D58552B">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夜间</w:t>
                  </w:r>
                </w:p>
              </w:tc>
            </w:tr>
            <w:tr w14:paraId="3E818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tcBorders>
                    <w:tl2br w:val="nil"/>
                    <w:tr2bl w:val="nil"/>
                  </w:tcBorders>
                  <w:noWrap w:val="0"/>
                  <w:vAlign w:val="center"/>
                </w:tcPr>
                <w:p w14:paraId="11452258">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东侧边界</w:t>
                  </w:r>
                </w:p>
              </w:tc>
              <w:tc>
                <w:tcPr>
                  <w:tcW w:w="747" w:type="pct"/>
                  <w:tcBorders>
                    <w:tl2br w:val="nil"/>
                    <w:tr2bl w:val="nil"/>
                  </w:tcBorders>
                  <w:noWrap w:val="0"/>
                  <w:vAlign w:val="center"/>
                </w:tcPr>
                <w:p w14:paraId="33F1A76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14:textFill>
                        <w14:solidFill>
                          <w14:schemeClr w14:val="tx1"/>
                        </w14:solidFill>
                      </w14:textFill>
                    </w:rPr>
                    <w:t>25.59</w:t>
                  </w:r>
                </w:p>
              </w:tc>
              <w:tc>
                <w:tcPr>
                  <w:tcW w:w="692" w:type="pct"/>
                  <w:tcBorders>
                    <w:tl2br w:val="nil"/>
                    <w:tr2bl w:val="nil"/>
                  </w:tcBorders>
                  <w:noWrap w:val="0"/>
                  <w:vAlign w:val="center"/>
                </w:tcPr>
                <w:p w14:paraId="7587B5F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c>
                <w:tcPr>
                  <w:tcW w:w="807" w:type="pct"/>
                  <w:tcBorders>
                    <w:tl2br w:val="nil"/>
                    <w:tr2bl w:val="nil"/>
                  </w:tcBorders>
                  <w:noWrap w:val="0"/>
                  <w:vAlign w:val="center"/>
                </w:tcPr>
                <w:p w14:paraId="52149ABD">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eastAsia"/>
                      <w:color w:val="000000" w:themeColor="text1"/>
                      <w:lang w:val="en-US" w:eastAsia="zh-CN"/>
                      <w14:textFill>
                        <w14:solidFill>
                          <w14:schemeClr w14:val="tx1"/>
                        </w14:solidFill>
                      </w14:textFill>
                    </w:rPr>
                    <w:t>70</w:t>
                  </w:r>
                </w:p>
              </w:tc>
              <w:tc>
                <w:tcPr>
                  <w:tcW w:w="809" w:type="pct"/>
                  <w:tcBorders>
                    <w:tl2br w:val="nil"/>
                    <w:tr2bl w:val="nil"/>
                  </w:tcBorders>
                  <w:noWrap w:val="0"/>
                  <w:vAlign w:val="center"/>
                </w:tcPr>
                <w:p w14:paraId="6803E65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c>
                <w:tcPr>
                  <w:tcW w:w="531" w:type="pct"/>
                  <w:tcBorders>
                    <w:tl2br w:val="nil"/>
                    <w:tr2bl w:val="nil"/>
                  </w:tcBorders>
                  <w:noWrap w:val="0"/>
                  <w:vAlign w:val="center"/>
                </w:tcPr>
                <w:p w14:paraId="5F187C07">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达标</w:t>
                  </w:r>
                </w:p>
              </w:tc>
              <w:tc>
                <w:tcPr>
                  <w:tcW w:w="533" w:type="pct"/>
                  <w:tcBorders>
                    <w:tl2br w:val="nil"/>
                    <w:tr2bl w:val="nil"/>
                  </w:tcBorders>
                  <w:noWrap w:val="0"/>
                  <w:vAlign w:val="center"/>
                </w:tcPr>
                <w:p w14:paraId="15CC25A0">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r>
            <w:tr w14:paraId="57215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1" w:hRule="atLeast"/>
                <w:jc w:val="center"/>
              </w:trPr>
              <w:tc>
                <w:tcPr>
                  <w:tcW w:w="877" w:type="pct"/>
                  <w:tcBorders>
                    <w:tl2br w:val="nil"/>
                    <w:tr2bl w:val="nil"/>
                  </w:tcBorders>
                  <w:noWrap w:val="0"/>
                  <w:vAlign w:val="center"/>
                </w:tcPr>
                <w:p w14:paraId="5077A84F">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南侧边界</w:t>
                  </w:r>
                </w:p>
              </w:tc>
              <w:tc>
                <w:tcPr>
                  <w:tcW w:w="747" w:type="pct"/>
                  <w:tcBorders>
                    <w:tl2br w:val="nil"/>
                    <w:tr2bl w:val="nil"/>
                  </w:tcBorders>
                  <w:noWrap w:val="0"/>
                  <w:vAlign w:val="center"/>
                </w:tcPr>
                <w:p w14:paraId="16B1088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14:textFill>
                        <w14:solidFill>
                          <w14:schemeClr w14:val="tx1"/>
                        </w14:solidFill>
                      </w14:textFill>
                    </w:rPr>
                    <w:t>38.13</w:t>
                  </w:r>
                </w:p>
              </w:tc>
              <w:tc>
                <w:tcPr>
                  <w:tcW w:w="692" w:type="pct"/>
                  <w:tcBorders>
                    <w:tl2br w:val="nil"/>
                    <w:tr2bl w:val="nil"/>
                  </w:tcBorders>
                  <w:noWrap w:val="0"/>
                  <w:vAlign w:val="center"/>
                </w:tcPr>
                <w:p w14:paraId="668B1CC2">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c>
                <w:tcPr>
                  <w:tcW w:w="807" w:type="pct"/>
                  <w:tcBorders>
                    <w:tl2br w:val="nil"/>
                    <w:tr2bl w:val="nil"/>
                  </w:tcBorders>
                  <w:noWrap w:val="0"/>
                  <w:vAlign w:val="center"/>
                </w:tcPr>
                <w:p w14:paraId="5FF4D7B1">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70</w:t>
                  </w:r>
                </w:p>
              </w:tc>
              <w:tc>
                <w:tcPr>
                  <w:tcW w:w="809" w:type="pct"/>
                  <w:tcBorders>
                    <w:tl2br w:val="nil"/>
                    <w:tr2bl w:val="nil"/>
                  </w:tcBorders>
                  <w:noWrap w:val="0"/>
                  <w:vAlign w:val="center"/>
                </w:tcPr>
                <w:p w14:paraId="054A2298">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c>
                <w:tcPr>
                  <w:tcW w:w="531" w:type="pct"/>
                  <w:tcBorders>
                    <w:tl2br w:val="nil"/>
                    <w:tr2bl w:val="nil"/>
                  </w:tcBorders>
                  <w:noWrap w:val="0"/>
                  <w:vAlign w:val="center"/>
                </w:tcPr>
                <w:p w14:paraId="2E657FE4">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达标</w:t>
                  </w:r>
                </w:p>
              </w:tc>
              <w:tc>
                <w:tcPr>
                  <w:tcW w:w="533" w:type="pct"/>
                  <w:tcBorders>
                    <w:tl2br w:val="nil"/>
                    <w:tr2bl w:val="nil"/>
                  </w:tcBorders>
                  <w:noWrap w:val="0"/>
                  <w:vAlign w:val="center"/>
                </w:tcPr>
                <w:p w14:paraId="660CA952">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r>
            <w:tr w14:paraId="7E7F7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tcBorders>
                    <w:tl2br w:val="nil"/>
                    <w:tr2bl w:val="nil"/>
                  </w:tcBorders>
                  <w:noWrap w:val="0"/>
                  <w:vAlign w:val="center"/>
                </w:tcPr>
                <w:p w14:paraId="2D3D221A">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西侧边界</w:t>
                  </w:r>
                </w:p>
              </w:tc>
              <w:tc>
                <w:tcPr>
                  <w:tcW w:w="747" w:type="pct"/>
                  <w:tcBorders>
                    <w:tl2br w:val="nil"/>
                    <w:tr2bl w:val="nil"/>
                  </w:tcBorders>
                  <w:noWrap w:val="0"/>
                  <w:vAlign w:val="center"/>
                </w:tcPr>
                <w:p w14:paraId="6E9FB49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14:textFill>
                        <w14:solidFill>
                          <w14:schemeClr w14:val="tx1"/>
                        </w14:solidFill>
                      </w14:textFill>
                    </w:rPr>
                    <w:t>32.91</w:t>
                  </w:r>
                </w:p>
              </w:tc>
              <w:tc>
                <w:tcPr>
                  <w:tcW w:w="692" w:type="pct"/>
                  <w:tcBorders>
                    <w:tl2br w:val="nil"/>
                    <w:tr2bl w:val="nil"/>
                  </w:tcBorders>
                  <w:noWrap w:val="0"/>
                  <w:vAlign w:val="center"/>
                </w:tcPr>
                <w:p w14:paraId="12C94D68">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c>
                <w:tcPr>
                  <w:tcW w:w="807" w:type="pct"/>
                  <w:tcBorders>
                    <w:tl2br w:val="nil"/>
                    <w:tr2bl w:val="nil"/>
                  </w:tcBorders>
                  <w:noWrap w:val="0"/>
                  <w:vAlign w:val="center"/>
                </w:tcPr>
                <w:p w14:paraId="32DCC251">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≤65</w:t>
                  </w:r>
                </w:p>
              </w:tc>
              <w:tc>
                <w:tcPr>
                  <w:tcW w:w="809" w:type="pct"/>
                  <w:tcBorders>
                    <w:tl2br w:val="nil"/>
                    <w:tr2bl w:val="nil"/>
                  </w:tcBorders>
                  <w:noWrap w:val="0"/>
                  <w:vAlign w:val="center"/>
                </w:tcPr>
                <w:p w14:paraId="2CC1EADB">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c>
                <w:tcPr>
                  <w:tcW w:w="531" w:type="pct"/>
                  <w:tcBorders>
                    <w:tl2br w:val="nil"/>
                    <w:tr2bl w:val="nil"/>
                  </w:tcBorders>
                  <w:noWrap w:val="0"/>
                  <w:vAlign w:val="center"/>
                </w:tcPr>
                <w:p w14:paraId="5D5F3037">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达标</w:t>
                  </w:r>
                </w:p>
              </w:tc>
              <w:tc>
                <w:tcPr>
                  <w:tcW w:w="533" w:type="pct"/>
                  <w:tcBorders>
                    <w:tl2br w:val="nil"/>
                    <w:tr2bl w:val="nil"/>
                  </w:tcBorders>
                  <w:noWrap w:val="0"/>
                  <w:vAlign w:val="center"/>
                </w:tcPr>
                <w:p w14:paraId="4C8C6AA9">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r>
            <w:tr w14:paraId="54BB1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877" w:type="pct"/>
                  <w:tcBorders>
                    <w:tl2br w:val="nil"/>
                    <w:tr2bl w:val="nil"/>
                  </w:tcBorders>
                  <w:noWrap w:val="0"/>
                  <w:vAlign w:val="center"/>
                </w:tcPr>
                <w:p w14:paraId="63DA0E63">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北侧边界</w:t>
                  </w:r>
                </w:p>
              </w:tc>
              <w:tc>
                <w:tcPr>
                  <w:tcW w:w="747" w:type="pct"/>
                  <w:tcBorders>
                    <w:tl2br w:val="nil"/>
                    <w:tr2bl w:val="nil"/>
                  </w:tcBorders>
                  <w:noWrap w:val="0"/>
                  <w:vAlign w:val="center"/>
                </w:tcPr>
                <w:p w14:paraId="12E0383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14:textFill>
                        <w14:solidFill>
                          <w14:schemeClr w14:val="tx1"/>
                        </w14:solidFill>
                      </w14:textFill>
                    </w:rPr>
                    <w:t>28.74</w:t>
                  </w:r>
                </w:p>
              </w:tc>
              <w:tc>
                <w:tcPr>
                  <w:tcW w:w="692" w:type="pct"/>
                  <w:tcBorders>
                    <w:tl2br w:val="nil"/>
                    <w:tr2bl w:val="nil"/>
                  </w:tcBorders>
                  <w:noWrap w:val="0"/>
                  <w:vAlign w:val="center"/>
                </w:tcPr>
                <w:p w14:paraId="739A776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c>
                <w:tcPr>
                  <w:tcW w:w="807" w:type="pct"/>
                  <w:tcBorders>
                    <w:tl2br w:val="nil"/>
                    <w:tr2bl w:val="nil"/>
                  </w:tcBorders>
                  <w:noWrap w:val="0"/>
                  <w:vAlign w:val="center"/>
                </w:tcPr>
                <w:p w14:paraId="16ECF10A">
                  <w:pPr>
                    <w:keepNext w:val="0"/>
                    <w:keepLines w:val="0"/>
                    <w:widowControl/>
                    <w:suppressLineNumbers w:val="0"/>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≤65</w:t>
                  </w:r>
                </w:p>
              </w:tc>
              <w:tc>
                <w:tcPr>
                  <w:tcW w:w="809" w:type="pct"/>
                  <w:tcBorders>
                    <w:tl2br w:val="nil"/>
                    <w:tr2bl w:val="nil"/>
                  </w:tcBorders>
                  <w:noWrap w:val="0"/>
                  <w:vAlign w:val="center"/>
                </w:tcPr>
                <w:p w14:paraId="2BC8BCF9">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c>
                <w:tcPr>
                  <w:tcW w:w="531" w:type="pct"/>
                  <w:tcBorders>
                    <w:tl2br w:val="nil"/>
                    <w:tr2bl w:val="nil"/>
                  </w:tcBorders>
                  <w:noWrap w:val="0"/>
                  <w:vAlign w:val="center"/>
                </w:tcPr>
                <w:p w14:paraId="7D0A4526">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达标</w:t>
                  </w:r>
                </w:p>
              </w:tc>
              <w:tc>
                <w:tcPr>
                  <w:tcW w:w="533" w:type="pct"/>
                  <w:tcBorders>
                    <w:tl2br w:val="nil"/>
                    <w:tr2bl w:val="nil"/>
                  </w:tcBorders>
                  <w:noWrap w:val="0"/>
                  <w:vAlign w:val="center"/>
                </w:tcPr>
                <w:p w14:paraId="37CF7407">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w:t>
                  </w:r>
                </w:p>
              </w:tc>
            </w:tr>
          </w:tbl>
          <w:p w14:paraId="3DBB9F9E">
            <w:pPr>
              <w:pStyle w:val="39"/>
              <w:keepNext w:val="0"/>
              <w:keepLines w:val="0"/>
              <w:pageBreakBefore w:val="0"/>
              <w:widowControl w:val="0"/>
              <w:kinsoku/>
              <w:wordWrap/>
              <w:overflowPunct/>
              <w:topLinePunct w:val="0"/>
              <w:autoSpaceDE/>
              <w:autoSpaceDN/>
              <w:bidi w:val="0"/>
              <w:adjustRightInd/>
              <w:snapToGrid/>
              <w:spacing w:after="0" w:line="100" w:lineRule="exact"/>
              <w:textAlignment w:val="auto"/>
              <w:rPr>
                <w:rFonts w:hint="default" w:ascii="Times New Roman" w:hAnsi="Times New Roman" w:eastAsia="宋体" w:cs="Times New Roman"/>
                <w:b/>
                <w:bCs/>
                <w:color w:val="000000" w:themeColor="text1"/>
                <w:kern w:val="0"/>
                <w:sz w:val="24"/>
                <w:highlight w:val="none"/>
                <w:lang w:eastAsia="zh-CN"/>
                <w14:textFill>
                  <w14:solidFill>
                    <w14:schemeClr w14:val="tx1"/>
                  </w14:solidFill>
                </w14:textFill>
              </w:rPr>
            </w:pPr>
          </w:p>
          <w:p w14:paraId="61940CBD">
            <w:pPr>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根据预测结果，项目</w:t>
            </w:r>
            <w:r>
              <w:rPr>
                <w:rFonts w:hint="default" w:ascii="Times New Roman" w:hAnsi="Times New Roman" w:eastAsia="宋体" w:cs="Times New Roman"/>
                <w:color w:val="000000" w:themeColor="text1"/>
                <w:sz w:val="24"/>
                <w:highlight w:val="none"/>
                <w14:textFill>
                  <w14:solidFill>
                    <w14:schemeClr w14:val="tx1"/>
                  </w14:solidFill>
                </w14:textFill>
              </w:rPr>
              <w:t>经</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采取厂房隔声、基础减震、</w:t>
            </w:r>
            <w:r>
              <w:rPr>
                <w:rFonts w:hint="default" w:ascii="Times New Roman" w:hAnsi="Times New Roman" w:eastAsia="宋体" w:cs="Times New Roman"/>
                <w:color w:val="000000" w:themeColor="text1"/>
                <w:kern w:val="0"/>
                <w:sz w:val="24"/>
                <w:highlight w:val="none"/>
                <w14:textFill>
                  <w14:solidFill>
                    <w14:schemeClr w14:val="tx1"/>
                  </w14:solidFill>
                </w14:textFill>
              </w:rPr>
              <w:t>合理布置生产设备</w:t>
            </w:r>
            <w:r>
              <w:rPr>
                <w:rFonts w:hint="default" w:ascii="Times New Roman" w:hAnsi="Times New Roman" w:eastAsia="宋体" w:cs="Times New Roman"/>
                <w:color w:val="000000" w:themeColor="text1"/>
                <w:kern w:val="0"/>
                <w:sz w:val="24"/>
                <w:highlight w:val="none"/>
                <w:lang w:val="en-US" w:eastAsia="zh-CN"/>
                <w14:textFill>
                  <w14:solidFill>
                    <w14:schemeClr w14:val="tx1"/>
                  </w14:solidFill>
                </w14:textFill>
              </w:rPr>
              <w:t>等降噪措施和</w:t>
            </w:r>
            <w:r>
              <w:rPr>
                <w:rFonts w:hint="default" w:ascii="Times New Roman" w:hAnsi="Times New Roman" w:eastAsia="宋体" w:cs="Times New Roman"/>
                <w:color w:val="000000" w:themeColor="text1"/>
                <w:sz w:val="24"/>
                <w:highlight w:val="none"/>
                <w14:textFill>
                  <w14:solidFill>
                    <w14:schemeClr w14:val="tx1"/>
                  </w14:solidFill>
                </w14:textFill>
              </w:rPr>
              <w:t>距离衰减后</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项目</w:t>
            </w:r>
            <w:r>
              <w:rPr>
                <w:rFonts w:hint="eastAsia" w:cs="Times New Roman"/>
                <w:color w:val="000000" w:themeColor="text1"/>
                <w:sz w:val="24"/>
                <w:highlight w:val="none"/>
                <w:lang w:val="en-US" w:eastAsia="zh-CN"/>
                <w14:textFill>
                  <w14:solidFill>
                    <w14:schemeClr w14:val="tx1"/>
                  </w14:solidFill>
                </w14:textFill>
              </w:rPr>
              <w:t>东、南</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面</w:t>
            </w:r>
            <w:r>
              <w:rPr>
                <w:rFonts w:hint="default" w:ascii="Times New Roman" w:hAnsi="Times New Roman" w:eastAsia="宋体" w:cs="Times New Roman"/>
                <w:color w:val="000000" w:themeColor="text1"/>
                <w:sz w:val="24"/>
                <w:highlight w:val="none"/>
                <w14:textFill>
                  <w14:solidFill>
                    <w14:schemeClr w14:val="tx1"/>
                  </w14:solidFill>
                </w14:textFill>
              </w:rPr>
              <w:t>厂界噪声可达到《工业企业厂界环境噪声排放标准》（GB12348-2008）</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4</w:t>
            </w:r>
            <w:r>
              <w:rPr>
                <w:rFonts w:hint="eastAsia" w:cs="Times New Roman"/>
                <w:color w:val="000000" w:themeColor="text1"/>
                <w:sz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sz w:val="24"/>
                <w:highlight w:val="none"/>
                <w14:textFill>
                  <w14:solidFill>
                    <w14:schemeClr w14:val="tx1"/>
                  </w14:solidFill>
                </w14:textFill>
              </w:rPr>
              <w:t>类标准（昼间≤</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70</w:t>
            </w:r>
            <w:r>
              <w:rPr>
                <w:rFonts w:hint="default" w:ascii="Times New Roman" w:hAnsi="Times New Roman" w:eastAsia="宋体" w:cs="Times New Roman"/>
                <w:color w:val="000000" w:themeColor="text1"/>
                <w:sz w:val="24"/>
                <w:highlight w:val="none"/>
                <w14:textFill>
                  <w14:solidFill>
                    <w14:schemeClr w14:val="tx1"/>
                  </w14:solidFill>
                </w14:textFill>
              </w:rPr>
              <w:t>dB(A)）的要求</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其余</w:t>
            </w:r>
            <w:r>
              <w:rPr>
                <w:rFonts w:hint="default" w:ascii="Times New Roman" w:hAnsi="Times New Roman" w:eastAsia="宋体" w:cs="Times New Roman"/>
                <w:color w:val="000000" w:themeColor="text1"/>
                <w:sz w:val="24"/>
                <w:highlight w:val="none"/>
                <w14:textFill>
                  <w14:solidFill>
                    <w14:schemeClr w14:val="tx1"/>
                  </w14:solidFill>
                </w14:textFill>
              </w:rPr>
              <w:t>厂界噪声</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均</w:t>
            </w:r>
            <w:r>
              <w:rPr>
                <w:rFonts w:hint="default" w:ascii="Times New Roman" w:hAnsi="Times New Roman" w:eastAsia="宋体" w:cs="Times New Roman"/>
                <w:color w:val="000000" w:themeColor="text1"/>
                <w:sz w:val="24"/>
                <w:highlight w:val="none"/>
                <w14:textFill>
                  <w14:solidFill>
                    <w14:schemeClr w14:val="tx1"/>
                  </w14:solidFill>
                </w14:textFill>
              </w:rPr>
              <w:t>可达到《工业企业厂界环境噪声排放标准》（GB12348-2008）</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类标准（昼间≤6</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14:textFill>
                  <w14:solidFill>
                    <w14:schemeClr w14:val="tx1"/>
                  </w14:solidFill>
                </w14:textFill>
              </w:rPr>
              <w:t>dB(A)）的要求。</w:t>
            </w:r>
          </w:p>
          <w:p w14:paraId="3AC1FA23">
            <w:pPr>
              <w:tabs>
                <w:tab w:val="left" w:pos="3615"/>
              </w:tabs>
              <w:spacing w:line="360" w:lineRule="auto"/>
              <w:ind w:firstLine="482"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3.4噪声监测计划</w:t>
            </w:r>
          </w:p>
          <w:p w14:paraId="2FEEF8CD">
            <w:pPr>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Cs/>
                <w:snapToGrid/>
                <w:color w:val="000000" w:themeColor="text1"/>
                <w:kern w:val="0"/>
                <w:sz w:val="24"/>
                <w:szCs w:val="24"/>
                <w:highlight w:val="none"/>
                <w:lang w:val="en-US" w:eastAsia="zh-CN" w:bidi="ar-SA"/>
                <w14:textFill>
                  <w14:solidFill>
                    <w14:schemeClr w14:val="tx1"/>
                  </w14:solidFill>
                </w14:textFill>
              </w:rPr>
              <w:t>根据《排污许可证申请与核发技术规范 工业噪声》</w:t>
            </w:r>
            <w:r>
              <w:rPr>
                <w:rFonts w:hint="default" w:ascii="Times New Roman" w:hAnsi="Times New Roman" w:eastAsia="宋体" w:cs="Times New Roman"/>
                <w:bCs/>
                <w:snapToGrid/>
                <w:color w:val="000000" w:themeColor="text1"/>
                <w:kern w:val="0"/>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Cs/>
                <w:snapToGrid/>
                <w:color w:val="000000" w:themeColor="text1"/>
                <w:kern w:val="0"/>
                <w:sz w:val="24"/>
                <w:szCs w:val="24"/>
                <w:highlight w:val="none"/>
                <w:lang w:val="en-US" w:eastAsia="zh-CN" w:bidi="ar-SA"/>
                <w14:textFill>
                  <w14:solidFill>
                    <w14:schemeClr w14:val="tx1"/>
                  </w14:solidFill>
                </w14:textFill>
              </w:rPr>
              <w:instrText xml:space="preserve"> HYPERLINK "https://www.mee.gov.cn/ywgz/fgbz/bz/bzwb/pwxk/202308/W020230919349861394526.pdf" </w:instrText>
            </w:r>
            <w:r>
              <w:rPr>
                <w:rFonts w:hint="default" w:ascii="Times New Roman" w:hAnsi="Times New Roman" w:eastAsia="宋体" w:cs="Times New Roman"/>
                <w:bCs/>
                <w:snapToGrid/>
                <w:color w:val="000000" w:themeColor="text1"/>
                <w:kern w:val="0"/>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Cs/>
                <w:snapToGrid/>
                <w:color w:val="000000" w:themeColor="text1"/>
                <w:kern w:val="0"/>
                <w:sz w:val="24"/>
                <w:szCs w:val="24"/>
                <w:highlight w:val="none"/>
                <w:lang w:val="en-US" w:eastAsia="zh-CN" w:bidi="ar-SA"/>
                <w14:textFill>
                  <w14:solidFill>
                    <w14:schemeClr w14:val="tx1"/>
                  </w14:solidFill>
                </w14:textFill>
              </w:rPr>
              <w:t>（HJ 1301—2023）</w:t>
            </w:r>
            <w:r>
              <w:rPr>
                <w:rFonts w:hint="default" w:ascii="Times New Roman" w:hAnsi="Times New Roman" w:eastAsia="宋体" w:cs="Times New Roman"/>
                <w:bCs/>
                <w:snapToGrid/>
                <w:color w:val="000000" w:themeColor="text1"/>
                <w:kern w:val="0"/>
                <w:sz w:val="24"/>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color w:val="000000" w:themeColor="text1"/>
                <w:sz w:val="24"/>
                <w:highlight w:val="none"/>
                <w14:textFill>
                  <w14:solidFill>
                    <w14:schemeClr w14:val="tx1"/>
                  </w14:solidFill>
                </w14:textFill>
              </w:rPr>
              <w:t>，噪声监测要求详见</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下表</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5A883189">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表4-3</w:t>
            </w:r>
            <w:r>
              <w:rPr>
                <w:rFonts w:hint="eastAsia" w:cs="Times New Roman"/>
                <w:b/>
                <w:bCs/>
                <w:color w:val="000000" w:themeColor="text1"/>
                <w:kern w:val="2"/>
                <w:sz w:val="21"/>
                <w:szCs w:val="21"/>
                <w:lang w:val="en-US" w:eastAsia="zh-CN" w:bidi="ar-SA"/>
                <w14:textFill>
                  <w14:solidFill>
                    <w14:schemeClr w14:val="tx1"/>
                  </w14:solidFill>
                </w14:textFill>
              </w:rPr>
              <w:t>6</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噪声监测计划一览表</w:t>
            </w:r>
          </w:p>
          <w:tbl>
            <w:tblPr>
              <w:tblStyle w:val="44"/>
              <w:tblW w:w="4998" w:type="pct"/>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Layout w:type="fixed"/>
              <w:tblCellMar>
                <w:top w:w="0" w:type="dxa"/>
                <w:left w:w="0" w:type="dxa"/>
                <w:bottom w:w="0" w:type="dxa"/>
                <w:right w:w="0" w:type="dxa"/>
              </w:tblCellMar>
            </w:tblPr>
            <w:tblGrid>
              <w:gridCol w:w="1328"/>
              <w:gridCol w:w="1251"/>
              <w:gridCol w:w="1221"/>
              <w:gridCol w:w="1231"/>
              <w:gridCol w:w="3283"/>
            </w:tblGrid>
            <w:tr w14:paraId="2BEB0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69" w:hRule="atLeast"/>
              </w:trPr>
              <w:tc>
                <w:tcPr>
                  <w:tcW w:w="799" w:type="pct"/>
                  <w:tcBorders>
                    <w:tl2br w:val="nil"/>
                    <w:tr2bl w:val="nil"/>
                  </w:tcBorders>
                  <w:noWrap w:val="0"/>
                  <w:vAlign w:val="center"/>
                </w:tcPr>
                <w:p w14:paraId="5E5FB3BB">
                  <w:pPr>
                    <w:widowControl/>
                    <w:jc w:val="center"/>
                    <w:textAlignment w:val="cente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t>监测点位</w:t>
                  </w:r>
                </w:p>
              </w:tc>
              <w:tc>
                <w:tcPr>
                  <w:tcW w:w="752" w:type="pct"/>
                  <w:tcBorders>
                    <w:tl2br w:val="nil"/>
                    <w:tr2bl w:val="nil"/>
                  </w:tcBorders>
                  <w:noWrap w:val="0"/>
                  <w:vAlign w:val="center"/>
                </w:tcPr>
                <w:p w14:paraId="1BEDC50B">
                  <w:pPr>
                    <w:widowControl/>
                    <w:jc w:val="center"/>
                    <w:textAlignment w:val="cente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t>监测指标</w:t>
                  </w:r>
                </w:p>
              </w:tc>
              <w:tc>
                <w:tcPr>
                  <w:tcW w:w="734" w:type="pct"/>
                  <w:tcBorders>
                    <w:tl2br w:val="nil"/>
                    <w:tr2bl w:val="nil"/>
                  </w:tcBorders>
                  <w:noWrap w:val="0"/>
                  <w:vAlign w:val="center"/>
                </w:tcPr>
                <w:p w14:paraId="64587E77">
                  <w:pPr>
                    <w:widowControl/>
                    <w:jc w:val="center"/>
                    <w:textAlignment w:val="cente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t>监测时段</w:t>
                  </w:r>
                </w:p>
              </w:tc>
              <w:tc>
                <w:tcPr>
                  <w:tcW w:w="740" w:type="pct"/>
                  <w:tcBorders>
                    <w:tl2br w:val="nil"/>
                    <w:tr2bl w:val="nil"/>
                  </w:tcBorders>
                  <w:noWrap w:val="0"/>
                  <w:vAlign w:val="center"/>
                </w:tcPr>
                <w:p w14:paraId="76F2BD55">
                  <w:pPr>
                    <w:widowControl/>
                    <w:jc w:val="center"/>
                    <w:textAlignment w:val="cente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t>监测频次</w:t>
                  </w:r>
                </w:p>
              </w:tc>
              <w:tc>
                <w:tcPr>
                  <w:tcW w:w="1974" w:type="pct"/>
                  <w:tcBorders>
                    <w:tl2br w:val="nil"/>
                    <w:tr2bl w:val="nil"/>
                  </w:tcBorders>
                  <w:noWrap w:val="0"/>
                  <w:vAlign w:val="center"/>
                </w:tcPr>
                <w:p w14:paraId="5F0B7B49">
                  <w:pPr>
                    <w:widowControl/>
                    <w:jc w:val="center"/>
                    <w:textAlignment w:val="center"/>
                    <w:rPr>
                      <w:rFonts w:hint="default" w:ascii="Times New Roman" w:hAnsi="Times New Roman" w:eastAsia="宋体" w:cs="Times New Roman"/>
                      <w:b/>
                      <w:bCs/>
                      <w:color w:val="000000" w:themeColor="text1"/>
                      <w:kern w:val="0"/>
                      <w:szCs w:val="21"/>
                      <w:highlight w:val="none"/>
                      <w:lang w:val="en-US" w:eastAsia="zh-CN" w:bidi="ar"/>
                      <w14:textFill>
                        <w14:solidFill>
                          <w14:schemeClr w14:val="tx1"/>
                        </w14:solidFill>
                      </w14:textFill>
                    </w:rPr>
                  </w:pPr>
                  <w:r>
                    <w:rPr>
                      <w:rFonts w:hint="default" w:ascii="Times New Roman" w:hAnsi="Times New Roman" w:cs="Times New Roman"/>
                      <w:b/>
                      <w:bCs/>
                      <w:color w:val="000000" w:themeColor="text1"/>
                      <w:kern w:val="0"/>
                      <w:szCs w:val="21"/>
                      <w:highlight w:val="none"/>
                      <w:lang w:val="en-US" w:eastAsia="zh-CN" w:bidi="ar"/>
                      <w14:textFill>
                        <w14:solidFill>
                          <w14:schemeClr w14:val="tx1"/>
                        </w14:solidFill>
                      </w14:textFill>
                    </w:rPr>
                    <w:t>依据</w:t>
                  </w:r>
                </w:p>
              </w:tc>
            </w:tr>
            <w:tr w14:paraId="0B812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69" w:hRule="atLeast"/>
              </w:trPr>
              <w:tc>
                <w:tcPr>
                  <w:tcW w:w="799" w:type="pct"/>
                  <w:tcBorders>
                    <w:tl2br w:val="nil"/>
                    <w:tr2bl w:val="nil"/>
                  </w:tcBorders>
                  <w:noWrap w:val="0"/>
                  <w:vAlign w:val="center"/>
                </w:tcPr>
                <w:p w14:paraId="57B4B323">
                  <w:pPr>
                    <w:widowControl/>
                    <w:jc w:val="center"/>
                    <w:textAlignment w:val="center"/>
                    <w:rPr>
                      <w:rFonts w:hint="default" w:ascii="Times New Roman" w:hAnsi="Times New Roman" w:eastAsia="宋体" w:cs="Times New Roman"/>
                      <w:color w:val="000000" w:themeColor="text1"/>
                      <w:kern w:val="0"/>
                      <w:szCs w:val="21"/>
                      <w:highlight w:val="none"/>
                      <w:lang w:val="en-US" w:bidi="ar"/>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bidi="ar"/>
                      <w14:textFill>
                        <w14:solidFill>
                          <w14:schemeClr w14:val="tx1"/>
                        </w14:solidFill>
                      </w14:textFill>
                    </w:rPr>
                    <w:t>厂区 各边界外1米</w:t>
                  </w:r>
                </w:p>
              </w:tc>
              <w:tc>
                <w:tcPr>
                  <w:tcW w:w="752" w:type="pct"/>
                  <w:tcBorders>
                    <w:tl2br w:val="nil"/>
                    <w:tr2bl w:val="nil"/>
                  </w:tcBorders>
                  <w:noWrap w:val="0"/>
                  <w:vAlign w:val="center"/>
                </w:tcPr>
                <w:p w14:paraId="02E9AB4C">
                  <w:pPr>
                    <w:widowControl/>
                    <w:jc w:val="center"/>
                    <w:textAlignment w:val="cente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等效连续A声级</w:t>
                  </w:r>
                </w:p>
              </w:tc>
              <w:tc>
                <w:tcPr>
                  <w:tcW w:w="734" w:type="pct"/>
                  <w:tcBorders>
                    <w:tl2br w:val="nil"/>
                    <w:tr2bl w:val="nil"/>
                  </w:tcBorders>
                  <w:noWrap w:val="0"/>
                  <w:vAlign w:val="center"/>
                </w:tcPr>
                <w:p w14:paraId="32B82984">
                  <w:pPr>
                    <w:widowControl/>
                    <w:jc w:val="center"/>
                    <w:textAlignment w:val="cente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昼间</w:t>
                  </w:r>
                </w:p>
              </w:tc>
              <w:tc>
                <w:tcPr>
                  <w:tcW w:w="1247" w:type="dxa"/>
                  <w:tcBorders>
                    <w:tl2br w:val="nil"/>
                    <w:tr2bl w:val="nil"/>
                  </w:tcBorders>
                  <w:noWrap w:val="0"/>
                  <w:vAlign w:val="center"/>
                </w:tcPr>
                <w:p w14:paraId="73B52783">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1次/季度</w:t>
                  </w:r>
                </w:p>
              </w:tc>
              <w:tc>
                <w:tcPr>
                  <w:tcW w:w="3326" w:type="dxa"/>
                  <w:tcBorders>
                    <w:tl2br w:val="nil"/>
                    <w:tr2bl w:val="nil"/>
                  </w:tcBorders>
                  <w:noWrap w:val="0"/>
                  <w:vAlign w:val="center"/>
                </w:tcPr>
                <w:p w14:paraId="270D14F4">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《排污单位自行监测技术指南 涂装》（HJ1086-2020）表4</w:t>
                  </w:r>
                </w:p>
              </w:tc>
            </w:tr>
          </w:tbl>
          <w:p w14:paraId="6AB77A0E">
            <w:pPr>
              <w:pStyle w:val="39"/>
              <w:spacing w:after="0" w:line="120" w:lineRule="auto"/>
              <w:ind w:firstLine="482"/>
              <w:rPr>
                <w:rFonts w:hint="default" w:ascii="Times New Roman" w:hAnsi="Times New Roman" w:eastAsia="宋体" w:cs="Times New Roman"/>
                <w:b/>
                <w:color w:val="000000" w:themeColor="text1"/>
                <w:szCs w:val="21"/>
                <w:highlight w:val="none"/>
                <w14:textFill>
                  <w14:solidFill>
                    <w14:schemeClr w14:val="tx1"/>
                  </w14:solidFill>
                </w14:textFill>
              </w:rPr>
            </w:pPr>
          </w:p>
          <w:p w14:paraId="5BE33848">
            <w:pPr>
              <w:pStyle w:val="39"/>
              <w:spacing w:after="0" w:line="360" w:lineRule="auto"/>
              <w:ind w:firstLine="480"/>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4、固体废物</w:t>
            </w:r>
          </w:p>
          <w:p w14:paraId="73ADA6F4">
            <w:p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4.1、固体废物产排情况</w:t>
            </w:r>
          </w:p>
          <w:p w14:paraId="33154EF6">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本项目营运期产生的固体废物主要为生活垃圾</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含废油脂</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一般工业固废（边角料</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包装废料、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沉降金属粉尘</w:t>
            </w:r>
            <w:r>
              <w:rPr>
                <w:rFonts w:hint="eastAsia" w:cs="Times New Roman"/>
                <w:color w:val="000000" w:themeColor="text1"/>
                <w:sz w:val="24"/>
                <w:szCs w:val="24"/>
                <w:highlight w:val="none"/>
                <w:lang w:val="en-US" w:eastAsia="zh-CN"/>
                <w14:textFill>
                  <w14:solidFill>
                    <w14:schemeClr w14:val="tx1"/>
                  </w14:solidFill>
                </w14:textFill>
              </w:rPr>
              <w:t>、废催化剂、废滤芯</w:t>
            </w:r>
            <w:r>
              <w:rPr>
                <w:rFonts w:hint="default" w:ascii="Times New Roman" w:hAnsi="Times New Roman" w:cs="Times New Roman"/>
                <w:color w:val="000000" w:themeColor="text1"/>
                <w:sz w:val="24"/>
                <w:szCs w:val="24"/>
                <w:highlight w:val="none"/>
                <w14:textFill>
                  <w14:solidFill>
                    <w14:schemeClr w14:val="tx1"/>
                  </w14:solidFill>
                </w14:textFill>
              </w:rPr>
              <w:t>）、危险废物（废表面处理剂包装桶</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eastAsia="zh-CN"/>
                <w14:textFill>
                  <w14:solidFill>
                    <w14:schemeClr w14:val="tx1"/>
                  </w14:solidFill>
                </w14:textFill>
              </w:rPr>
              <w:t>预处理池泥渣及管道循环装置废物</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无铬钝化池废槽液</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废水处理站污泥</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废pH调整剂包装桶</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废机油桶</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废机油</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废含油抹布手套</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废液压油桶</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废液压油</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喷淋废液及沉渣</w:t>
            </w:r>
            <w:r>
              <w:rPr>
                <w:rFonts w:hint="eastAsia" w:cs="Times New Roman"/>
                <w:color w:val="000000" w:themeColor="text1"/>
                <w:sz w:val="24"/>
                <w:szCs w:val="24"/>
                <w:highlight w:val="none"/>
                <w:lang w:eastAsia="zh-CN"/>
                <w14:textFill>
                  <w14:solidFill>
                    <w14:schemeClr w14:val="tx1"/>
                  </w14:solidFill>
                </w14:textFill>
              </w:rPr>
              <w:t>、喷枪清洗废液、废原料桶、废静电喷粉滤芯、废过滤棉、废活性炭、废粉末涂料</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w:t>
            </w:r>
          </w:p>
          <w:p w14:paraId="0C5BE356">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表4-3</w:t>
            </w:r>
            <w:r>
              <w:rPr>
                <w:rFonts w:hint="eastAsia" w:cs="Times New Roman"/>
                <w:b/>
                <w:bCs/>
                <w:color w:val="000000" w:themeColor="text1"/>
                <w:kern w:val="2"/>
                <w:sz w:val="21"/>
                <w:szCs w:val="21"/>
                <w:lang w:val="en-US" w:eastAsia="zh-CN" w:bidi="ar-SA"/>
                <w14:textFill>
                  <w14:solidFill>
                    <w14:schemeClr w14:val="tx1"/>
                  </w14:solidFill>
                </w14:textFill>
              </w:rPr>
              <w:t>7</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固废产排污节点、污染物及污染治理设施信息表</w:t>
            </w:r>
          </w:p>
          <w:tbl>
            <w:tblPr>
              <w:tblStyle w:val="44"/>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635"/>
              <w:gridCol w:w="848"/>
              <w:gridCol w:w="358"/>
              <w:gridCol w:w="1404"/>
              <w:gridCol w:w="742"/>
              <w:gridCol w:w="512"/>
              <w:gridCol w:w="566"/>
              <w:gridCol w:w="805"/>
              <w:gridCol w:w="705"/>
              <w:gridCol w:w="918"/>
              <w:gridCol w:w="816"/>
            </w:tblGrid>
            <w:tr w14:paraId="3BA61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7307E8C3">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产生环节</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2393252">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C19F4C">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属性</w:t>
                  </w: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73ABF064">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废物分类代码</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013C941">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主要有毒有害物质</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681F7754">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物理性状</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044AE37">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环境危险特性</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31798AC1">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年度产生量（t/a）</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0222FF7A">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贮存方式</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716EF6C5">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利用处置方式和去向</w:t>
                  </w: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70037C23">
                  <w:pPr>
                    <w:widowControl/>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利用或处置量（t/a）</w:t>
                  </w:r>
                </w:p>
              </w:tc>
            </w:tr>
            <w:tr w14:paraId="168D9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3ECFE17E">
                  <w:pPr>
                    <w:widowControl/>
                    <w:spacing w:line="240" w:lineRule="auto"/>
                    <w:jc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员工生活办公</w:t>
                  </w: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40A7F46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生活垃圾</w:t>
                  </w:r>
                </w:p>
              </w:tc>
              <w:tc>
                <w:tcPr>
                  <w:tcW w:w="215" w:type="pct"/>
                  <w:vMerge w:val="restart"/>
                  <w:tcBorders>
                    <w:top w:val="single" w:color="000000" w:sz="4" w:space="0"/>
                    <w:left w:val="single" w:color="000000" w:sz="4" w:space="0"/>
                    <w:right w:val="single" w:color="000000" w:sz="4" w:space="0"/>
                  </w:tcBorders>
                  <w:noWrap w:val="0"/>
                  <w:vAlign w:val="center"/>
                </w:tcPr>
                <w:p w14:paraId="0D5CA0F7">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生活垃圾</w:t>
                  </w: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550205E5">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eastAsia="zh-CN"/>
                      <w14:textFill>
                        <w14:solidFill>
                          <w14:schemeClr w14:val="tx1"/>
                        </w14:solidFill>
                      </w14:textFill>
                    </w:rPr>
                    <w:t>900-099-S64</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13F0705">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54975D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A91E280">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331033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36.15</w:t>
                  </w:r>
                </w:p>
              </w:tc>
              <w:tc>
                <w:tcPr>
                  <w:tcW w:w="424" w:type="pct"/>
                  <w:tcBorders>
                    <w:top w:val="single" w:color="000000" w:sz="4" w:space="0"/>
                    <w:left w:val="single" w:color="000000" w:sz="4" w:space="0"/>
                    <w:bottom w:val="single" w:color="auto" w:sz="4" w:space="0"/>
                    <w:right w:val="single" w:color="000000" w:sz="4" w:space="0"/>
                  </w:tcBorders>
                  <w:noWrap w:val="0"/>
                  <w:vAlign w:val="center"/>
                </w:tcPr>
                <w:p w14:paraId="1156537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定点存放</w:t>
                  </w:r>
                </w:p>
              </w:tc>
              <w:tc>
                <w:tcPr>
                  <w:tcW w:w="552" w:type="pct"/>
                  <w:tcBorders>
                    <w:top w:val="single" w:color="000000" w:sz="4" w:space="0"/>
                    <w:left w:val="single" w:color="000000" w:sz="4" w:space="0"/>
                    <w:bottom w:val="single" w:color="auto" w:sz="4" w:space="0"/>
                    <w:right w:val="single" w:color="000000" w:sz="4" w:space="0"/>
                  </w:tcBorders>
                  <w:noWrap w:val="0"/>
                  <w:vAlign w:val="center"/>
                </w:tcPr>
                <w:p w14:paraId="73568124">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环卫部门清运</w:t>
                  </w: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2889D6A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36.15</w:t>
                  </w:r>
                </w:p>
              </w:tc>
            </w:tr>
            <w:tr w14:paraId="0C3E1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000000" w:sz="4" w:space="0"/>
                    <w:right w:val="single" w:color="000000" w:sz="4" w:space="0"/>
                  </w:tcBorders>
                  <w:noWrap w:val="0"/>
                  <w:vAlign w:val="center"/>
                </w:tcPr>
                <w:p w14:paraId="4AEE5F7E">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4299DED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废油脂</w:t>
                  </w:r>
                </w:p>
              </w:tc>
              <w:tc>
                <w:tcPr>
                  <w:tcW w:w="215" w:type="pct"/>
                  <w:vMerge w:val="continue"/>
                  <w:tcBorders>
                    <w:left w:val="single" w:color="000000" w:sz="4" w:space="0"/>
                    <w:bottom w:val="single" w:color="auto" w:sz="4" w:space="0"/>
                    <w:right w:val="single" w:color="000000" w:sz="4" w:space="0"/>
                  </w:tcBorders>
                  <w:noWrap w:val="0"/>
                  <w:vAlign w:val="center"/>
                </w:tcPr>
                <w:p w14:paraId="6E525D3C">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4C7FDD54">
                  <w:pPr>
                    <w:widowControl/>
                    <w:spacing w:line="240" w:lineRule="auto"/>
                    <w:jc w:val="center"/>
                    <w:rPr>
                      <w:rFonts w:hint="default" w:ascii="Times New Roman" w:hAnsi="Times New Roman" w:eastAsia="宋体" w:cs="Times New Roman"/>
                      <w:i w:val="0"/>
                      <w:iCs w:val="0"/>
                      <w:color w:val="000000" w:themeColor="text1"/>
                      <w:sz w:val="21"/>
                      <w:szCs w:val="21"/>
                      <w:highlight w:val="none"/>
                      <w:u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900-002-S61</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7060FD5">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0EFF12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04BB68A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706AEE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0.166 </w:t>
                  </w:r>
                </w:p>
              </w:tc>
              <w:tc>
                <w:tcPr>
                  <w:tcW w:w="424" w:type="pct"/>
                  <w:tcBorders>
                    <w:top w:val="single" w:color="000000" w:sz="4" w:space="0"/>
                    <w:left w:val="single" w:color="000000" w:sz="4" w:space="0"/>
                    <w:bottom w:val="single" w:color="auto" w:sz="4" w:space="0"/>
                    <w:right w:val="single" w:color="000000" w:sz="4" w:space="0"/>
                  </w:tcBorders>
                  <w:noWrap w:val="0"/>
                  <w:vAlign w:val="center"/>
                </w:tcPr>
                <w:p w14:paraId="55573DD8">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定点存放</w:t>
                  </w:r>
                </w:p>
              </w:tc>
              <w:tc>
                <w:tcPr>
                  <w:tcW w:w="552" w:type="pct"/>
                  <w:tcBorders>
                    <w:top w:val="single" w:color="000000" w:sz="4" w:space="0"/>
                    <w:left w:val="single" w:color="000000" w:sz="4" w:space="0"/>
                    <w:bottom w:val="single" w:color="auto" w:sz="4" w:space="0"/>
                    <w:right w:val="single" w:color="000000" w:sz="4" w:space="0"/>
                  </w:tcBorders>
                  <w:noWrap w:val="0"/>
                  <w:vAlign w:val="center"/>
                </w:tcPr>
                <w:p w14:paraId="13676C5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专业单位进行回收处置</w:t>
                  </w: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38399B7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0.166 </w:t>
                  </w:r>
                </w:p>
              </w:tc>
            </w:tr>
            <w:tr w14:paraId="3641E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5F05D030">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钣金加工</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7F1ECF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边角料</w:t>
                  </w:r>
                </w:p>
              </w:tc>
              <w:tc>
                <w:tcPr>
                  <w:tcW w:w="215" w:type="pct"/>
                  <w:vMerge w:val="restart"/>
                  <w:tcBorders>
                    <w:top w:val="single" w:color="auto" w:sz="4" w:space="0"/>
                    <w:left w:val="single" w:color="000000" w:sz="4" w:space="0"/>
                    <w:right w:val="single" w:color="000000" w:sz="4" w:space="0"/>
                  </w:tcBorders>
                  <w:noWrap w:val="0"/>
                  <w:vAlign w:val="center"/>
                </w:tcPr>
                <w:p w14:paraId="6B36FE18">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一般工业固体废物</w:t>
                  </w: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27A73B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t>900-002-S17</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26A52B9">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CDF21BC">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EACB5DE">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C8957B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45.395</w:t>
                  </w:r>
                </w:p>
              </w:tc>
              <w:tc>
                <w:tcPr>
                  <w:tcW w:w="424" w:type="pct"/>
                  <w:vMerge w:val="restart"/>
                  <w:tcBorders>
                    <w:top w:val="single" w:color="auto" w:sz="4" w:space="0"/>
                    <w:left w:val="single" w:color="000000" w:sz="4" w:space="0"/>
                    <w:right w:val="single" w:color="000000" w:sz="4" w:space="0"/>
                  </w:tcBorders>
                  <w:noWrap w:val="0"/>
                  <w:vAlign w:val="center"/>
                </w:tcPr>
                <w:p w14:paraId="316498B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固废间暂存</w:t>
                  </w:r>
                </w:p>
              </w:tc>
              <w:tc>
                <w:tcPr>
                  <w:tcW w:w="552" w:type="pct"/>
                  <w:vMerge w:val="restart"/>
                  <w:tcBorders>
                    <w:top w:val="single" w:color="auto" w:sz="4" w:space="0"/>
                    <w:left w:val="single" w:color="000000" w:sz="4" w:space="0"/>
                    <w:right w:val="single" w:color="000000" w:sz="4" w:space="0"/>
                  </w:tcBorders>
                  <w:noWrap w:val="0"/>
                  <w:vAlign w:val="center"/>
                </w:tcPr>
                <w:p w14:paraId="6C76BCF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交由资源回收利用单位</w:t>
                  </w:r>
                </w:p>
              </w:tc>
              <w:tc>
                <w:tcPr>
                  <w:tcW w:w="490" w:type="pct"/>
                  <w:tcBorders>
                    <w:top w:val="single" w:color="auto" w:sz="4" w:space="0"/>
                    <w:left w:val="single" w:color="000000" w:sz="4" w:space="0"/>
                    <w:bottom w:val="single" w:color="000000" w:sz="4" w:space="0"/>
                    <w:right w:val="single" w:color="000000" w:sz="4" w:space="0"/>
                  </w:tcBorders>
                  <w:noWrap w:val="0"/>
                  <w:vAlign w:val="center"/>
                </w:tcPr>
                <w:p w14:paraId="7D5FE3A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45.395</w:t>
                  </w:r>
                </w:p>
              </w:tc>
            </w:tr>
            <w:tr w14:paraId="3875F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0E8412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辅料拆包</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19F98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包装废料</w:t>
                  </w:r>
                </w:p>
              </w:tc>
              <w:tc>
                <w:tcPr>
                  <w:tcW w:w="215" w:type="pct"/>
                  <w:vMerge w:val="continue"/>
                  <w:tcBorders>
                    <w:left w:val="single" w:color="000000" w:sz="4" w:space="0"/>
                    <w:right w:val="single" w:color="000000" w:sz="4" w:space="0"/>
                  </w:tcBorders>
                  <w:noWrap w:val="0"/>
                  <w:vAlign w:val="center"/>
                </w:tcPr>
                <w:p w14:paraId="60E834B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0ECC1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eastAsia="zh-CN"/>
                      <w14:textFill>
                        <w14:solidFill>
                          <w14:schemeClr w14:val="tx1"/>
                        </w14:solidFill>
                      </w14:textFill>
                    </w:rPr>
                    <w:t>900-003-S17、</w:t>
                  </w: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900-005-S17</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67292D1">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6373989">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880CD7">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938B30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424" w:type="pct"/>
                  <w:vMerge w:val="continue"/>
                  <w:tcBorders>
                    <w:left w:val="single" w:color="000000" w:sz="4" w:space="0"/>
                    <w:right w:val="single" w:color="000000" w:sz="4" w:space="0"/>
                  </w:tcBorders>
                  <w:noWrap w:val="0"/>
                  <w:vAlign w:val="center"/>
                </w:tcPr>
                <w:p w14:paraId="63F2FD5A">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6AD2245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auto" w:sz="4" w:space="0"/>
                    <w:left w:val="single" w:color="000000" w:sz="4" w:space="0"/>
                    <w:bottom w:val="single" w:color="000000" w:sz="4" w:space="0"/>
                    <w:right w:val="single" w:color="000000" w:sz="4" w:space="0"/>
                  </w:tcBorders>
                  <w:noWrap w:val="0"/>
                  <w:vAlign w:val="center"/>
                </w:tcPr>
                <w:p w14:paraId="6722DBC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r>
            <w:tr w14:paraId="35FFB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right w:val="single" w:color="000000" w:sz="4" w:space="0"/>
                  </w:tcBorders>
                  <w:noWrap w:val="0"/>
                  <w:vAlign w:val="center"/>
                </w:tcPr>
                <w:p w14:paraId="6675EB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3B88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沉降金属粉尘</w:t>
                  </w:r>
                </w:p>
              </w:tc>
              <w:tc>
                <w:tcPr>
                  <w:tcW w:w="215" w:type="pct"/>
                  <w:vMerge w:val="continue"/>
                  <w:tcBorders>
                    <w:left w:val="single" w:color="000000" w:sz="4" w:space="0"/>
                    <w:right w:val="single" w:color="000000" w:sz="4" w:space="0"/>
                  </w:tcBorders>
                  <w:noWrap w:val="0"/>
                  <w:vAlign w:val="center"/>
                </w:tcPr>
                <w:p w14:paraId="2B56FB5B">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CA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t>900-002-S17</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6FB30">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BDF4A">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D8D57">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A5A6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424" w:type="pct"/>
                  <w:vMerge w:val="continue"/>
                  <w:tcBorders>
                    <w:left w:val="single" w:color="000000" w:sz="4" w:space="0"/>
                    <w:right w:val="single" w:color="000000" w:sz="4" w:space="0"/>
                  </w:tcBorders>
                  <w:noWrap w:val="0"/>
                  <w:vAlign w:val="center"/>
                </w:tcPr>
                <w:p w14:paraId="7221AE5B">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6E8F4390">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254AC31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11.18</w:t>
                  </w:r>
                </w:p>
              </w:tc>
            </w:tr>
            <w:tr w14:paraId="59A67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25C850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2"/>
                      <w:sz w:val="21"/>
                      <w:szCs w:val="21"/>
                      <w:highlight w:val="none"/>
                      <w:u w:val="none"/>
                      <w:lang w:val="en-US" w:eastAsia="zh-CN" w:bidi="ar-SA"/>
                      <w14:textFill>
                        <w14:solidFill>
                          <w14:schemeClr w14:val="tx1"/>
                        </w14:solidFill>
                      </w14:textFill>
                    </w:rPr>
                    <w:t>废气处理</w:t>
                  </w: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5FC8B2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废滤芯</w:t>
                  </w:r>
                </w:p>
              </w:tc>
              <w:tc>
                <w:tcPr>
                  <w:tcW w:w="215" w:type="pct"/>
                  <w:vMerge w:val="continue"/>
                  <w:tcBorders>
                    <w:left w:val="single" w:color="000000" w:sz="4" w:space="0"/>
                    <w:right w:val="single" w:color="000000" w:sz="4" w:space="0"/>
                  </w:tcBorders>
                  <w:noWrap w:val="0"/>
                  <w:vAlign w:val="center"/>
                </w:tcPr>
                <w:p w14:paraId="55A42A6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0FEB20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color w:val="000000" w:themeColor="text1"/>
                      <w14:textFill>
                        <w14:solidFill>
                          <w14:schemeClr w14:val="tx1"/>
                        </w14:solidFill>
                      </w14:textFill>
                    </w:rPr>
                    <w:t>900-099-S59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1DCBD6F">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AC9C3A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33F43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484" w:type="pct"/>
                  <w:tcBorders>
                    <w:top w:val="single" w:color="000000" w:sz="4" w:space="0"/>
                    <w:left w:val="single" w:color="000000" w:sz="4" w:space="0"/>
                    <w:bottom w:val="single" w:color="auto" w:sz="4" w:space="0"/>
                    <w:right w:val="single" w:color="000000" w:sz="4" w:space="0"/>
                  </w:tcBorders>
                  <w:noWrap w:val="0"/>
                  <w:vAlign w:val="center"/>
                </w:tcPr>
                <w:p w14:paraId="44B1F43D">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w:t>
                  </w:r>
                </w:p>
              </w:tc>
              <w:tc>
                <w:tcPr>
                  <w:tcW w:w="424" w:type="pct"/>
                  <w:vMerge w:val="continue"/>
                  <w:tcBorders>
                    <w:left w:val="single" w:color="000000" w:sz="4" w:space="0"/>
                    <w:right w:val="single" w:color="000000" w:sz="4" w:space="0"/>
                  </w:tcBorders>
                  <w:noWrap w:val="0"/>
                  <w:vAlign w:val="center"/>
                </w:tcPr>
                <w:p w14:paraId="0363F80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46EF937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30261738">
                  <w:pPr>
                    <w:keepNext w:val="0"/>
                    <w:keepLines w:val="0"/>
                    <w:widowControl/>
                    <w:suppressLineNumbers w:val="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w:t>
                  </w:r>
                </w:p>
              </w:tc>
            </w:tr>
            <w:tr w14:paraId="409BB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7660F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脱脂、水洗、无铬钝化</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1FE3C5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废表面处理剂包装桶</w:t>
                  </w:r>
                </w:p>
              </w:tc>
              <w:tc>
                <w:tcPr>
                  <w:tcW w:w="215" w:type="pct"/>
                  <w:vMerge w:val="restart"/>
                  <w:tcBorders>
                    <w:top w:val="single" w:color="auto" w:sz="4" w:space="0"/>
                    <w:left w:val="single" w:color="000000" w:sz="4" w:space="0"/>
                    <w:right w:val="single" w:color="000000" w:sz="4" w:space="0"/>
                  </w:tcBorders>
                  <w:noWrap w:val="0"/>
                  <w:vAlign w:val="center"/>
                </w:tcPr>
                <w:p w14:paraId="38BF89AF">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w:t>
                  </w: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126AF0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7FC4C8DA">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无机酸</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645D335">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FA8ACB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484" w:type="pct"/>
                  <w:tcBorders>
                    <w:top w:val="single" w:color="auto" w:sz="4" w:space="0"/>
                    <w:left w:val="single" w:color="000000" w:sz="4" w:space="0"/>
                    <w:bottom w:val="single" w:color="000000" w:sz="4" w:space="0"/>
                    <w:right w:val="single" w:color="000000" w:sz="4" w:space="0"/>
                  </w:tcBorders>
                  <w:noWrap w:val="0"/>
                  <w:vAlign w:val="center"/>
                </w:tcPr>
                <w:p w14:paraId="4F80DAD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1.658</w:t>
                  </w:r>
                </w:p>
              </w:tc>
              <w:tc>
                <w:tcPr>
                  <w:tcW w:w="424" w:type="pct"/>
                  <w:vMerge w:val="restart"/>
                  <w:tcBorders>
                    <w:top w:val="single" w:color="auto" w:sz="4" w:space="0"/>
                    <w:left w:val="single" w:color="000000" w:sz="4" w:space="0"/>
                    <w:right w:val="single" w:color="000000" w:sz="4" w:space="0"/>
                  </w:tcBorders>
                  <w:noWrap w:val="0"/>
                  <w:vAlign w:val="center"/>
                </w:tcPr>
                <w:p w14:paraId="41E06E1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危废间暂存</w:t>
                  </w:r>
                </w:p>
              </w:tc>
              <w:tc>
                <w:tcPr>
                  <w:tcW w:w="552" w:type="pct"/>
                  <w:vMerge w:val="restart"/>
                  <w:tcBorders>
                    <w:top w:val="single" w:color="auto" w:sz="4" w:space="0"/>
                    <w:left w:val="single" w:color="000000" w:sz="4" w:space="0"/>
                    <w:right w:val="single" w:color="000000" w:sz="4" w:space="0"/>
                  </w:tcBorders>
                  <w:noWrap w:val="0"/>
                  <w:vAlign w:val="center"/>
                </w:tcPr>
                <w:p w14:paraId="79CB2ED0">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委托有资质的单位进行回收处理</w:t>
                  </w: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6964F15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1.658</w:t>
                  </w:r>
                </w:p>
              </w:tc>
            </w:tr>
            <w:tr w14:paraId="6B004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46A28D3E">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1E10F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预处理池泥渣及管道循环装置废物</w:t>
                  </w:r>
                </w:p>
              </w:tc>
              <w:tc>
                <w:tcPr>
                  <w:tcW w:w="215" w:type="pct"/>
                  <w:vMerge w:val="continue"/>
                  <w:tcBorders>
                    <w:left w:val="single" w:color="000000" w:sz="4" w:space="0"/>
                    <w:right w:val="single" w:color="000000" w:sz="4" w:space="0"/>
                  </w:tcBorders>
                  <w:noWrap w:val="0"/>
                  <w:vAlign w:val="center"/>
                </w:tcPr>
                <w:p w14:paraId="506D6DF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39ABA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48B5BD0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泥渣</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249DEAC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A31633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0FE7188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p>
              </w:tc>
              <w:tc>
                <w:tcPr>
                  <w:tcW w:w="424" w:type="pct"/>
                  <w:vMerge w:val="continue"/>
                  <w:tcBorders>
                    <w:left w:val="single" w:color="000000" w:sz="4" w:space="0"/>
                    <w:right w:val="single" w:color="000000" w:sz="4" w:space="0"/>
                  </w:tcBorders>
                  <w:noWrap w:val="0"/>
                  <w:vAlign w:val="center"/>
                </w:tcPr>
                <w:p w14:paraId="11C7D827">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52DCE4B0">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78A2FF1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p>
              </w:tc>
            </w:tr>
            <w:tr w14:paraId="1F60E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auto" w:sz="4" w:space="0"/>
                    <w:right w:val="single" w:color="000000" w:sz="4" w:space="0"/>
                  </w:tcBorders>
                  <w:noWrap w:val="0"/>
                  <w:vAlign w:val="center"/>
                </w:tcPr>
                <w:p w14:paraId="50FCB9A7">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13F90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无铬钝化池废槽液</w:t>
                  </w:r>
                </w:p>
              </w:tc>
              <w:tc>
                <w:tcPr>
                  <w:tcW w:w="215" w:type="pct"/>
                  <w:vMerge w:val="continue"/>
                  <w:tcBorders>
                    <w:left w:val="single" w:color="000000" w:sz="4" w:space="0"/>
                    <w:right w:val="single" w:color="000000" w:sz="4" w:space="0"/>
                  </w:tcBorders>
                  <w:noWrap w:val="0"/>
                  <w:vAlign w:val="center"/>
                </w:tcPr>
                <w:p w14:paraId="0304FF2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53D5B0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77C7A92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废槽液</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5EE5C40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6CAD474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1ECB98F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44.8</w:t>
                  </w:r>
                </w:p>
              </w:tc>
              <w:tc>
                <w:tcPr>
                  <w:tcW w:w="424" w:type="pct"/>
                  <w:vMerge w:val="continue"/>
                  <w:tcBorders>
                    <w:left w:val="single" w:color="000000" w:sz="4" w:space="0"/>
                    <w:right w:val="single" w:color="000000" w:sz="4" w:space="0"/>
                  </w:tcBorders>
                  <w:noWrap w:val="0"/>
                  <w:vAlign w:val="center"/>
                </w:tcPr>
                <w:p w14:paraId="1F4543D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5FEA774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55507EC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44.8</w:t>
                  </w:r>
                </w:p>
              </w:tc>
            </w:tr>
            <w:tr w14:paraId="74BD4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auto" w:sz="4" w:space="0"/>
                    <w:left w:val="single" w:color="000000" w:sz="4" w:space="0"/>
                    <w:right w:val="single" w:color="000000" w:sz="4" w:space="0"/>
                  </w:tcBorders>
                  <w:noWrap w:val="0"/>
                  <w:vAlign w:val="center"/>
                </w:tcPr>
                <w:p w14:paraId="0358A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废水处理设施</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FF9DF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废水处理站污泥</w:t>
                  </w:r>
                </w:p>
              </w:tc>
              <w:tc>
                <w:tcPr>
                  <w:tcW w:w="215" w:type="pct"/>
                  <w:vMerge w:val="continue"/>
                  <w:tcBorders>
                    <w:left w:val="single" w:color="000000" w:sz="4" w:space="0"/>
                    <w:right w:val="single" w:color="000000" w:sz="4" w:space="0"/>
                  </w:tcBorders>
                  <w:noWrap w:val="0"/>
                  <w:vAlign w:val="center"/>
                </w:tcPr>
                <w:p w14:paraId="6A650AD8">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66596E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35B3C78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油渣</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B27CEE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481E3B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4697162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1.985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424" w:type="pct"/>
                  <w:vMerge w:val="continue"/>
                  <w:tcBorders>
                    <w:left w:val="single" w:color="000000" w:sz="4" w:space="0"/>
                    <w:right w:val="single" w:color="000000" w:sz="4" w:space="0"/>
                  </w:tcBorders>
                  <w:noWrap w:val="0"/>
                  <w:vAlign w:val="center"/>
                </w:tcPr>
                <w:p w14:paraId="197FEE14">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1CA5401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5ACAFB6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1.985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36C02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000000" w:sz="4" w:space="0"/>
                    <w:right w:val="single" w:color="000000" w:sz="4" w:space="0"/>
                  </w:tcBorders>
                  <w:noWrap w:val="0"/>
                  <w:vAlign w:val="center"/>
                </w:tcPr>
                <w:p w14:paraId="7A9DBB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39413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废pH调整剂包装桶</w:t>
                  </w:r>
                </w:p>
              </w:tc>
              <w:tc>
                <w:tcPr>
                  <w:tcW w:w="215" w:type="pct"/>
                  <w:vMerge w:val="continue"/>
                  <w:tcBorders>
                    <w:left w:val="single" w:color="000000" w:sz="4" w:space="0"/>
                    <w:right w:val="single" w:color="000000" w:sz="4" w:space="0"/>
                  </w:tcBorders>
                  <w:noWrap w:val="0"/>
                  <w:vAlign w:val="center"/>
                </w:tcPr>
                <w:p w14:paraId="6C3BA612">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A0DE4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654833E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硫酸</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A524A3F">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8BD8BF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2313838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0.008</w:t>
                  </w:r>
                </w:p>
              </w:tc>
              <w:tc>
                <w:tcPr>
                  <w:tcW w:w="424" w:type="pct"/>
                  <w:vMerge w:val="continue"/>
                  <w:tcBorders>
                    <w:left w:val="single" w:color="000000" w:sz="4" w:space="0"/>
                    <w:right w:val="single" w:color="000000" w:sz="4" w:space="0"/>
                  </w:tcBorders>
                  <w:noWrap w:val="0"/>
                  <w:vAlign w:val="center"/>
                </w:tcPr>
                <w:p w14:paraId="7B2435EA">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0EF60CA5">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3B27327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0.008</w:t>
                  </w:r>
                </w:p>
              </w:tc>
            </w:tr>
            <w:tr w14:paraId="6A0B7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393F09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设备维护保养</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设备保养</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B061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废机油桶</w:t>
                  </w:r>
                </w:p>
              </w:tc>
              <w:tc>
                <w:tcPr>
                  <w:tcW w:w="215" w:type="pct"/>
                  <w:vMerge w:val="continue"/>
                  <w:tcBorders>
                    <w:left w:val="single" w:color="000000" w:sz="4" w:space="0"/>
                    <w:right w:val="single" w:color="000000" w:sz="4" w:space="0"/>
                  </w:tcBorders>
                  <w:noWrap w:val="0"/>
                  <w:vAlign w:val="center"/>
                </w:tcPr>
                <w:p w14:paraId="0CAA7F4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66C4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A2EC20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1656B1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9A6C53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2D5EFEC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c>
                <w:tcPr>
                  <w:tcW w:w="424" w:type="pct"/>
                  <w:vMerge w:val="continue"/>
                  <w:tcBorders>
                    <w:left w:val="single" w:color="000000" w:sz="4" w:space="0"/>
                    <w:right w:val="single" w:color="000000" w:sz="4" w:space="0"/>
                  </w:tcBorders>
                  <w:noWrap w:val="0"/>
                  <w:vAlign w:val="center"/>
                </w:tcPr>
                <w:p w14:paraId="02E49335">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41FDF442">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5FC4861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r>
            <w:tr w14:paraId="450C8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46D4E5D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FCFE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w:t>
                  </w:r>
                </w:p>
              </w:tc>
              <w:tc>
                <w:tcPr>
                  <w:tcW w:w="215" w:type="pct"/>
                  <w:vMerge w:val="continue"/>
                  <w:tcBorders>
                    <w:left w:val="single" w:color="000000" w:sz="4" w:space="0"/>
                    <w:right w:val="single" w:color="000000" w:sz="4" w:space="0"/>
                  </w:tcBorders>
                  <w:noWrap w:val="0"/>
                  <w:vAlign w:val="center"/>
                </w:tcPr>
                <w:p w14:paraId="544EF84A">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187D07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BE241A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AE5B72F">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66C48AC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F715B6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424" w:type="pct"/>
                  <w:vMerge w:val="continue"/>
                  <w:tcBorders>
                    <w:left w:val="single" w:color="000000" w:sz="4" w:space="0"/>
                    <w:right w:val="single" w:color="000000" w:sz="4" w:space="0"/>
                  </w:tcBorders>
                  <w:noWrap w:val="0"/>
                  <w:vAlign w:val="center"/>
                </w:tcPr>
                <w:p w14:paraId="5CE8860A">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4679819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1774EC3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r>
            <w:tr w14:paraId="3187C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55AA06D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0EEBB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废含油抹布手套</w:t>
                  </w:r>
                </w:p>
              </w:tc>
              <w:tc>
                <w:tcPr>
                  <w:tcW w:w="215" w:type="pct"/>
                  <w:vMerge w:val="continue"/>
                  <w:tcBorders>
                    <w:left w:val="single" w:color="000000" w:sz="4" w:space="0"/>
                    <w:right w:val="single" w:color="000000" w:sz="4" w:space="0"/>
                  </w:tcBorders>
                  <w:noWrap w:val="0"/>
                  <w:vAlign w:val="center"/>
                </w:tcPr>
                <w:p w14:paraId="39779CA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56435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DCFB69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3D931EE">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3C7AFB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6377C8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424" w:type="pct"/>
                  <w:vMerge w:val="continue"/>
                  <w:tcBorders>
                    <w:left w:val="single" w:color="000000" w:sz="4" w:space="0"/>
                    <w:right w:val="single" w:color="000000" w:sz="4" w:space="0"/>
                  </w:tcBorders>
                  <w:noWrap w:val="0"/>
                  <w:vAlign w:val="center"/>
                </w:tcPr>
                <w:p w14:paraId="51A4D61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3366269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1A77E39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5809D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1078D0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钣金成型</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4BC73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废液压油桶</w:t>
                  </w:r>
                </w:p>
              </w:tc>
              <w:tc>
                <w:tcPr>
                  <w:tcW w:w="215" w:type="pct"/>
                  <w:vMerge w:val="continue"/>
                  <w:tcBorders>
                    <w:left w:val="single" w:color="000000" w:sz="4" w:space="0"/>
                    <w:right w:val="single" w:color="000000" w:sz="4" w:space="0"/>
                  </w:tcBorders>
                  <w:noWrap w:val="0"/>
                  <w:vAlign w:val="center"/>
                </w:tcPr>
                <w:p w14:paraId="38F50BD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321F5F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3C9DC96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67CE894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6D1FD6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3C689FD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424" w:type="pct"/>
                  <w:vMerge w:val="continue"/>
                  <w:tcBorders>
                    <w:left w:val="single" w:color="000000" w:sz="4" w:space="0"/>
                    <w:right w:val="single" w:color="000000" w:sz="4" w:space="0"/>
                  </w:tcBorders>
                  <w:noWrap w:val="0"/>
                  <w:vAlign w:val="center"/>
                </w:tcPr>
                <w:p w14:paraId="4C04711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5C2AD4D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68BA804A">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r>
            <w:tr w14:paraId="2CC29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611DC2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98990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w:t>
                  </w:r>
                </w:p>
              </w:tc>
              <w:tc>
                <w:tcPr>
                  <w:tcW w:w="215" w:type="pct"/>
                  <w:vMerge w:val="continue"/>
                  <w:tcBorders>
                    <w:left w:val="single" w:color="000000" w:sz="4" w:space="0"/>
                    <w:right w:val="single" w:color="000000" w:sz="4" w:space="0"/>
                  </w:tcBorders>
                  <w:noWrap w:val="0"/>
                  <w:vAlign w:val="center"/>
                </w:tcPr>
                <w:p w14:paraId="0C0A41B7">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CB3DE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3DA473E8">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25EF07DF">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5A90EE89">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698F16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424" w:type="pct"/>
                  <w:vMerge w:val="continue"/>
                  <w:tcBorders>
                    <w:left w:val="single" w:color="000000" w:sz="4" w:space="0"/>
                    <w:right w:val="single" w:color="000000" w:sz="4" w:space="0"/>
                  </w:tcBorders>
                  <w:noWrap w:val="0"/>
                  <w:vAlign w:val="center"/>
                </w:tcPr>
                <w:p w14:paraId="5AF3147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61D0EAA5">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5A5BD953">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r>
            <w:tr w14:paraId="594E9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6114BD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生产过程</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E77DE9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废原料桶</w:t>
                  </w:r>
                </w:p>
              </w:tc>
              <w:tc>
                <w:tcPr>
                  <w:tcW w:w="215" w:type="pct"/>
                  <w:vMerge w:val="continue"/>
                  <w:tcBorders>
                    <w:left w:val="single" w:color="000000" w:sz="4" w:space="0"/>
                    <w:right w:val="single" w:color="000000" w:sz="4" w:space="0"/>
                  </w:tcBorders>
                  <w:noWrap w:val="0"/>
                  <w:vAlign w:val="center"/>
                </w:tcPr>
                <w:p w14:paraId="0BA0E8EC">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09FAB39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04841D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有机树脂、有机溶剂</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5A065138">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D9018A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0E0EA9B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0.062</w:t>
                  </w:r>
                </w:p>
              </w:tc>
              <w:tc>
                <w:tcPr>
                  <w:tcW w:w="424" w:type="pct"/>
                  <w:vMerge w:val="continue"/>
                  <w:tcBorders>
                    <w:left w:val="single" w:color="000000" w:sz="4" w:space="0"/>
                    <w:right w:val="single" w:color="000000" w:sz="4" w:space="0"/>
                  </w:tcBorders>
                  <w:noWrap w:val="0"/>
                  <w:vAlign w:val="center"/>
                </w:tcPr>
                <w:p w14:paraId="64B1455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3D7918D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0334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0.062</w:t>
                  </w:r>
                </w:p>
              </w:tc>
            </w:tr>
            <w:tr w14:paraId="61C5A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753844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喷漆工序</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3219F">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喷枪清洗液</w:t>
                  </w:r>
                </w:p>
              </w:tc>
              <w:tc>
                <w:tcPr>
                  <w:tcW w:w="215" w:type="pct"/>
                  <w:vMerge w:val="continue"/>
                  <w:tcBorders>
                    <w:left w:val="single" w:color="000000" w:sz="4" w:space="0"/>
                    <w:right w:val="single" w:color="000000" w:sz="4" w:space="0"/>
                  </w:tcBorders>
                  <w:shd w:val="clear" w:color="auto" w:fill="auto"/>
                  <w:noWrap w:val="0"/>
                  <w:vAlign w:val="center"/>
                </w:tcPr>
                <w:p w14:paraId="734C6A4A">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B237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900-402-06</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49301">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清洗剂</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749B0">
                  <w:pPr>
                    <w:widowControl/>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4822E">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T、I</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R</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2B32C">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0.045 </w:t>
                  </w:r>
                </w:p>
              </w:tc>
              <w:tc>
                <w:tcPr>
                  <w:tcW w:w="424" w:type="pct"/>
                  <w:vMerge w:val="continue"/>
                  <w:tcBorders>
                    <w:left w:val="single" w:color="000000" w:sz="4" w:space="0"/>
                    <w:right w:val="single" w:color="000000" w:sz="4" w:space="0"/>
                  </w:tcBorders>
                  <w:shd w:val="clear" w:color="auto" w:fill="auto"/>
                  <w:noWrap w:val="0"/>
                  <w:vAlign w:val="center"/>
                </w:tcPr>
                <w:p w14:paraId="1B4F2CFC">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52" w:type="pct"/>
                  <w:vMerge w:val="continue"/>
                  <w:tcBorders>
                    <w:left w:val="single" w:color="000000" w:sz="4" w:space="0"/>
                    <w:right w:val="single" w:color="000000" w:sz="4" w:space="0"/>
                  </w:tcBorders>
                  <w:shd w:val="clear" w:color="auto" w:fill="auto"/>
                  <w:noWrap w:val="0"/>
                  <w:vAlign w:val="center"/>
                </w:tcPr>
                <w:p w14:paraId="1B02C122">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EF29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0.045 </w:t>
                  </w:r>
                </w:p>
              </w:tc>
            </w:tr>
            <w:tr w14:paraId="3977D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69DF39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喷粉工序</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585161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废静电喷粉滤芯</w:t>
                  </w:r>
                </w:p>
              </w:tc>
              <w:tc>
                <w:tcPr>
                  <w:tcW w:w="215" w:type="pct"/>
                  <w:vMerge w:val="continue"/>
                  <w:tcBorders>
                    <w:left w:val="single" w:color="000000" w:sz="4" w:space="0"/>
                    <w:right w:val="single" w:color="000000" w:sz="4" w:space="0"/>
                  </w:tcBorders>
                  <w:noWrap w:val="0"/>
                  <w:vAlign w:val="center"/>
                </w:tcPr>
                <w:p w14:paraId="3F35D944">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69A06D9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93C028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E6BA3F2">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386153B4">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color w:val="000000" w:themeColor="text1"/>
                      <w:szCs w:val="21"/>
                      <w14:textFill>
                        <w14:solidFill>
                          <w14:schemeClr w14:val="tx1"/>
                        </w14:solidFill>
                      </w14:textFill>
                    </w:rPr>
                    <w:t>T</w:t>
                  </w:r>
                  <w:r>
                    <w:rPr>
                      <w:rFonts w:hint="eastAsia"/>
                      <w:color w:val="000000" w:themeColor="text1"/>
                      <w:szCs w:val="21"/>
                      <w:lang w:val="en-US" w:eastAsia="zh-CN"/>
                      <w14:textFill>
                        <w14:solidFill>
                          <w14:schemeClr w14:val="tx1"/>
                        </w14:solidFill>
                      </w14:textFill>
                    </w:rPr>
                    <w: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F887E7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c>
                <w:tcPr>
                  <w:tcW w:w="424" w:type="pct"/>
                  <w:vMerge w:val="continue"/>
                  <w:tcBorders>
                    <w:left w:val="single" w:color="000000" w:sz="4" w:space="0"/>
                    <w:right w:val="single" w:color="000000" w:sz="4" w:space="0"/>
                  </w:tcBorders>
                  <w:noWrap w:val="0"/>
                  <w:vAlign w:val="center"/>
                </w:tcPr>
                <w:p w14:paraId="3F06129A">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1999CB5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6528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r>
            <w:tr w14:paraId="6729F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left w:val="single" w:color="000000" w:sz="4" w:space="0"/>
                    <w:right w:val="single" w:color="000000" w:sz="4" w:space="0"/>
                  </w:tcBorders>
                  <w:noWrap w:val="0"/>
                  <w:vAlign w:val="center"/>
                </w:tcPr>
                <w:p w14:paraId="49EE4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6C2515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废过滤棉</w:t>
                  </w:r>
                </w:p>
              </w:tc>
              <w:tc>
                <w:tcPr>
                  <w:tcW w:w="215" w:type="pct"/>
                  <w:vMerge w:val="continue"/>
                  <w:tcBorders>
                    <w:left w:val="single" w:color="000000" w:sz="4" w:space="0"/>
                    <w:right w:val="single" w:color="000000" w:sz="4" w:space="0"/>
                  </w:tcBorders>
                  <w:noWrap w:val="0"/>
                  <w:vAlign w:val="center"/>
                </w:tcPr>
                <w:p w14:paraId="25F113C8">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35D93A70">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6B4C342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3770198">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77FE0D2">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color w:val="000000" w:themeColor="text1"/>
                      <w:szCs w:val="21"/>
                      <w14:textFill>
                        <w14:solidFill>
                          <w14:schemeClr w14:val="tx1"/>
                        </w14:solidFill>
                      </w14:textFill>
                    </w:rPr>
                    <w:t>T</w:t>
                  </w:r>
                  <w:r>
                    <w:rPr>
                      <w:rFonts w:hint="eastAsia"/>
                      <w:color w:val="000000" w:themeColor="text1"/>
                      <w:szCs w:val="21"/>
                      <w:lang w:val="en-US" w:eastAsia="zh-CN"/>
                      <w14:textFill>
                        <w14:solidFill>
                          <w14:schemeClr w14:val="tx1"/>
                        </w14:solidFill>
                      </w14:textFill>
                    </w:rPr>
                    <w: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AE829A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424" w:type="pct"/>
                  <w:vMerge w:val="continue"/>
                  <w:tcBorders>
                    <w:left w:val="single" w:color="000000" w:sz="4" w:space="0"/>
                    <w:right w:val="single" w:color="000000" w:sz="4" w:space="0"/>
                  </w:tcBorders>
                  <w:noWrap w:val="0"/>
                  <w:vAlign w:val="center"/>
                </w:tcPr>
                <w:p w14:paraId="1C8F95F2">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24D707F7">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1E8E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r>
            <w:tr w14:paraId="06492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004751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B2A142D">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废活性炭</w:t>
                  </w:r>
                </w:p>
              </w:tc>
              <w:tc>
                <w:tcPr>
                  <w:tcW w:w="215" w:type="pct"/>
                  <w:vMerge w:val="continue"/>
                  <w:tcBorders>
                    <w:left w:val="single" w:color="000000" w:sz="4" w:space="0"/>
                    <w:right w:val="single" w:color="000000" w:sz="4" w:space="0"/>
                  </w:tcBorders>
                  <w:noWrap w:val="0"/>
                  <w:vAlign w:val="center"/>
                </w:tcPr>
                <w:p w14:paraId="1BB4D3D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0FC160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900-039-49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000CDBA">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活性炭</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413B31B">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909C69">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color w:val="000000" w:themeColor="text1"/>
                      <w:szCs w:val="21"/>
                      <w14:textFill>
                        <w14:solidFill>
                          <w14:schemeClr w14:val="tx1"/>
                        </w14:solidFill>
                      </w14:textFill>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F294FB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424" w:type="pct"/>
                  <w:vMerge w:val="continue"/>
                  <w:tcBorders>
                    <w:left w:val="single" w:color="000000" w:sz="4" w:space="0"/>
                    <w:right w:val="single" w:color="000000" w:sz="4" w:space="0"/>
                  </w:tcBorders>
                  <w:noWrap w:val="0"/>
                  <w:vAlign w:val="center"/>
                </w:tcPr>
                <w:p w14:paraId="2EA4CF10">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68349A9C">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BFA3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0356A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shd w:val="clear" w:color="auto" w:fill="auto"/>
                  <w:noWrap w:val="0"/>
                  <w:vAlign w:val="center"/>
                </w:tcPr>
                <w:p w14:paraId="33BD52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喷粉工序</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A3E9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废粉末涂料</w:t>
                  </w:r>
                </w:p>
              </w:tc>
              <w:tc>
                <w:tcPr>
                  <w:tcW w:w="215" w:type="pct"/>
                  <w:vMerge w:val="continue"/>
                  <w:tcBorders>
                    <w:left w:val="single" w:color="000000" w:sz="4" w:space="0"/>
                    <w:right w:val="single" w:color="000000" w:sz="4" w:space="0"/>
                  </w:tcBorders>
                  <w:noWrap w:val="0"/>
                  <w:vAlign w:val="center"/>
                </w:tcPr>
                <w:p w14:paraId="1B526447">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53F4C">
                  <w:pPr>
                    <w:pStyle w:val="109"/>
                    <w:pageBreakBefore w:val="0"/>
                    <w:tabs>
                      <w:tab w:val="left" w:pos="-2848"/>
                    </w:tabs>
                    <w:wordWrap w:val="0"/>
                    <w:topLinePunct/>
                    <w:bidi w:val="0"/>
                    <w:spacing w:beforeAutospacing="0" w:afterAutospacing="0"/>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待鉴定</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7258F">
                  <w:pPr>
                    <w:widowControl/>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85272">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FC2D7">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4AC83">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3.593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424" w:type="pct"/>
                  <w:vMerge w:val="continue"/>
                  <w:tcBorders>
                    <w:left w:val="single" w:color="000000" w:sz="4" w:space="0"/>
                    <w:right w:val="single" w:color="000000" w:sz="4" w:space="0"/>
                  </w:tcBorders>
                  <w:noWrap w:val="0"/>
                  <w:vAlign w:val="center"/>
                </w:tcPr>
                <w:p w14:paraId="30108725">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087609A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49FB6">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3.593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1C493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left w:val="single" w:color="000000" w:sz="4" w:space="0"/>
                    <w:right w:val="single" w:color="000000" w:sz="4" w:space="0"/>
                  </w:tcBorders>
                  <w:noWrap w:val="0"/>
                  <w:vAlign w:val="center"/>
                </w:tcPr>
                <w:p w14:paraId="03E1AC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F9BB4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废催化剂</w:t>
                  </w:r>
                </w:p>
              </w:tc>
              <w:tc>
                <w:tcPr>
                  <w:tcW w:w="215" w:type="pct"/>
                  <w:vMerge w:val="continue"/>
                  <w:tcBorders>
                    <w:left w:val="single" w:color="000000" w:sz="4" w:space="0"/>
                    <w:right w:val="single" w:color="000000" w:sz="4" w:space="0"/>
                  </w:tcBorders>
                  <w:noWrap w:val="0"/>
                  <w:vAlign w:val="center"/>
                </w:tcPr>
                <w:p w14:paraId="293F2E0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157A58BD">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900-049-50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51E99C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791150A">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31BB037E">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color w:val="000000" w:themeColor="text1"/>
                      <w:szCs w:val="21"/>
                      <w14:textFill>
                        <w14:solidFill>
                          <w14:schemeClr w14:val="tx1"/>
                        </w14:solidFill>
                      </w14:textFill>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B9469A8">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c>
                <w:tcPr>
                  <w:tcW w:w="424" w:type="pct"/>
                  <w:vMerge w:val="continue"/>
                  <w:tcBorders>
                    <w:left w:val="single" w:color="000000" w:sz="4" w:space="0"/>
                    <w:right w:val="single" w:color="000000" w:sz="4" w:space="0"/>
                  </w:tcBorders>
                  <w:noWrap w:val="0"/>
                  <w:vAlign w:val="center"/>
                </w:tcPr>
                <w:p w14:paraId="637DA294">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228C6E26">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EAF5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r>
            <w:tr w14:paraId="31FA7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07111FB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1796823A">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喷淋废液及沉渣</w:t>
                  </w:r>
                </w:p>
              </w:tc>
              <w:tc>
                <w:tcPr>
                  <w:tcW w:w="215" w:type="pct"/>
                  <w:vMerge w:val="continue"/>
                  <w:tcBorders>
                    <w:left w:val="single" w:color="000000" w:sz="4" w:space="0"/>
                    <w:right w:val="single" w:color="000000" w:sz="4" w:space="0"/>
                  </w:tcBorders>
                  <w:noWrap w:val="0"/>
                  <w:vAlign w:val="center"/>
                </w:tcPr>
                <w:p w14:paraId="206707F8">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5B5D2D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900-252-12</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7AA1DDB9">
                  <w:pPr>
                    <w:widowControl/>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377721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w:t>
                  </w:r>
                  <w:r>
                    <w:rPr>
                      <w:rFonts w:hint="eastAsia" w:cs="Times New Roman"/>
                      <w:color w:val="000000" w:themeColor="text1"/>
                      <w:sz w:val="21"/>
                      <w:szCs w:val="21"/>
                      <w:highlight w:val="none"/>
                      <w:lang w:val="en-US" w:eastAsia="zh-CN"/>
                      <w14:textFill>
                        <w14:solidFill>
                          <w14:schemeClr w14:val="tx1"/>
                        </w14:solidFill>
                      </w14:textFill>
                    </w:rPr>
                    <w:t>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0DCF5CE">
                  <w:pPr>
                    <w:widowControl/>
                    <w:spacing w:line="24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0B5481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229.091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424" w:type="pct"/>
                  <w:vMerge w:val="continue"/>
                  <w:tcBorders>
                    <w:left w:val="single" w:color="000000" w:sz="4" w:space="0"/>
                    <w:right w:val="single" w:color="000000" w:sz="4" w:space="0"/>
                  </w:tcBorders>
                  <w:noWrap w:val="0"/>
                  <w:vAlign w:val="center"/>
                </w:tcPr>
                <w:p w14:paraId="586974B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52" w:type="pct"/>
                  <w:vMerge w:val="continue"/>
                  <w:tcBorders>
                    <w:left w:val="single" w:color="000000" w:sz="4" w:space="0"/>
                    <w:right w:val="single" w:color="000000" w:sz="4" w:space="0"/>
                  </w:tcBorders>
                  <w:noWrap w:val="0"/>
                  <w:vAlign w:val="center"/>
                </w:tcPr>
                <w:p w14:paraId="6C45501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656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229.091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bl>
          <w:p w14:paraId="77941C0C">
            <w:pPr>
              <w:pStyle w:val="39"/>
              <w:spacing w:after="0" w:line="120" w:lineRule="auto"/>
              <w:ind w:firstLine="482"/>
              <w:rPr>
                <w:rFonts w:hint="default" w:ascii="Times New Roman" w:hAnsi="Times New Roman" w:eastAsia="宋体" w:cs="Times New Roman"/>
                <w:b/>
                <w:color w:val="000000" w:themeColor="text1"/>
                <w:szCs w:val="21"/>
                <w:highlight w:val="none"/>
                <w14:textFill>
                  <w14:solidFill>
                    <w14:schemeClr w14:val="tx1"/>
                  </w14:solidFill>
                </w14:textFill>
              </w:rPr>
            </w:pPr>
          </w:p>
          <w:p w14:paraId="248A027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表4-3</w:t>
            </w:r>
            <w:r>
              <w:rPr>
                <w:rFonts w:hint="eastAsia" w:cs="Times New Roman"/>
                <w:b/>
                <w:bCs/>
                <w:color w:val="000000" w:themeColor="text1"/>
                <w:kern w:val="2"/>
                <w:sz w:val="21"/>
                <w:szCs w:val="21"/>
                <w:lang w:val="en-US" w:eastAsia="zh-CN" w:bidi="ar-SA"/>
                <w14:textFill>
                  <w14:solidFill>
                    <w14:schemeClr w14:val="tx1"/>
                  </w14:solidFill>
                </w14:textFill>
              </w:rPr>
              <w:t xml:space="preserve">8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危险废物汇总表</w:t>
            </w:r>
          </w:p>
          <w:tbl>
            <w:tblPr>
              <w:tblStyle w:val="4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848"/>
              <w:gridCol w:w="902"/>
              <w:gridCol w:w="710"/>
              <w:gridCol w:w="735"/>
              <w:gridCol w:w="660"/>
              <w:gridCol w:w="770"/>
              <w:gridCol w:w="637"/>
              <w:gridCol w:w="558"/>
              <w:gridCol w:w="616"/>
              <w:gridCol w:w="653"/>
            </w:tblGrid>
            <w:tr w14:paraId="41BE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5938EBB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危险废物名称</w:t>
                  </w:r>
                </w:p>
              </w:tc>
              <w:tc>
                <w:tcPr>
                  <w:tcW w:w="510" w:type="pct"/>
                  <w:noWrap w:val="0"/>
                  <w:vAlign w:val="center"/>
                </w:tcPr>
                <w:p w14:paraId="5F6AC92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危险废物类别</w:t>
                  </w:r>
                </w:p>
              </w:tc>
              <w:tc>
                <w:tcPr>
                  <w:tcW w:w="542" w:type="pct"/>
                  <w:noWrap w:val="0"/>
                  <w:vAlign w:val="center"/>
                </w:tcPr>
                <w:p w14:paraId="4AEC846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危险废物代码</w:t>
                  </w:r>
                </w:p>
              </w:tc>
              <w:tc>
                <w:tcPr>
                  <w:tcW w:w="427" w:type="pct"/>
                  <w:noWrap w:val="0"/>
                  <w:vAlign w:val="center"/>
                </w:tcPr>
                <w:p w14:paraId="01728D0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产生量t/a</w:t>
                  </w:r>
                </w:p>
              </w:tc>
              <w:tc>
                <w:tcPr>
                  <w:tcW w:w="442" w:type="pct"/>
                  <w:noWrap w:val="0"/>
                  <w:vAlign w:val="center"/>
                </w:tcPr>
                <w:p w14:paraId="6254471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产生工序及装置</w:t>
                  </w:r>
                </w:p>
              </w:tc>
              <w:tc>
                <w:tcPr>
                  <w:tcW w:w="397" w:type="pct"/>
                  <w:noWrap w:val="0"/>
                  <w:vAlign w:val="center"/>
                </w:tcPr>
                <w:p w14:paraId="1AD1E58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形态</w:t>
                  </w:r>
                </w:p>
              </w:tc>
              <w:tc>
                <w:tcPr>
                  <w:tcW w:w="463" w:type="pct"/>
                  <w:noWrap w:val="0"/>
                  <w:vAlign w:val="center"/>
                </w:tcPr>
                <w:p w14:paraId="7F47745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主要成分</w:t>
                  </w:r>
                </w:p>
              </w:tc>
              <w:tc>
                <w:tcPr>
                  <w:tcW w:w="383" w:type="pct"/>
                  <w:noWrap w:val="0"/>
                  <w:vAlign w:val="center"/>
                </w:tcPr>
                <w:p w14:paraId="4ABFB74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有害成分</w:t>
                  </w:r>
                </w:p>
              </w:tc>
              <w:tc>
                <w:tcPr>
                  <w:tcW w:w="335" w:type="pct"/>
                  <w:noWrap w:val="0"/>
                  <w:vAlign w:val="center"/>
                </w:tcPr>
                <w:p w14:paraId="72EBDA5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产废周期</w:t>
                  </w:r>
                </w:p>
              </w:tc>
              <w:tc>
                <w:tcPr>
                  <w:tcW w:w="370" w:type="pct"/>
                  <w:noWrap w:val="0"/>
                  <w:vAlign w:val="center"/>
                </w:tcPr>
                <w:p w14:paraId="6A31725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危险特性</w:t>
                  </w:r>
                </w:p>
              </w:tc>
              <w:tc>
                <w:tcPr>
                  <w:tcW w:w="392" w:type="pct"/>
                  <w:noWrap w:val="0"/>
                  <w:vAlign w:val="center"/>
                </w:tcPr>
                <w:p w14:paraId="37CE12F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14:textFill>
                        <w14:solidFill>
                          <w14:schemeClr w14:val="tx1"/>
                        </w14:solidFill>
                      </w14:textFill>
                    </w:rPr>
                    <w:t>污染防治措施</w:t>
                  </w:r>
                </w:p>
              </w:tc>
            </w:tr>
            <w:tr w14:paraId="484B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3096E9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废表面处理剂包装桶</w:t>
                  </w:r>
                </w:p>
              </w:tc>
              <w:tc>
                <w:tcPr>
                  <w:tcW w:w="510" w:type="pct"/>
                  <w:noWrap w:val="0"/>
                  <w:vAlign w:val="center"/>
                </w:tcPr>
                <w:p w14:paraId="3966D6C4">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HW49</w:t>
                  </w:r>
                </w:p>
              </w:tc>
              <w:tc>
                <w:tcPr>
                  <w:tcW w:w="542" w:type="pct"/>
                  <w:noWrap w:val="0"/>
                  <w:vAlign w:val="center"/>
                </w:tcPr>
                <w:p w14:paraId="4226946B">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427" w:type="pct"/>
                  <w:noWrap w:val="0"/>
                  <w:vAlign w:val="center"/>
                </w:tcPr>
                <w:p w14:paraId="5340661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1.658</w:t>
                  </w:r>
                </w:p>
              </w:tc>
              <w:tc>
                <w:tcPr>
                  <w:tcW w:w="442" w:type="pct"/>
                  <w:noWrap w:val="0"/>
                  <w:vAlign w:val="center"/>
                </w:tcPr>
                <w:p w14:paraId="6F2A4BF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前处理</w:t>
                  </w:r>
                </w:p>
              </w:tc>
              <w:tc>
                <w:tcPr>
                  <w:tcW w:w="397" w:type="pct"/>
                  <w:noWrap w:val="0"/>
                  <w:vAlign w:val="center"/>
                </w:tcPr>
                <w:p w14:paraId="4FE2A92B">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625E117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无机酸</w:t>
                  </w:r>
                </w:p>
              </w:tc>
              <w:tc>
                <w:tcPr>
                  <w:tcW w:w="383" w:type="pct"/>
                  <w:noWrap w:val="0"/>
                  <w:vAlign w:val="center"/>
                </w:tcPr>
                <w:p w14:paraId="52DE7AC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无机酸</w:t>
                  </w:r>
                </w:p>
              </w:tc>
              <w:tc>
                <w:tcPr>
                  <w:tcW w:w="335" w:type="pct"/>
                  <w:noWrap w:val="0"/>
                  <w:vAlign w:val="center"/>
                </w:tcPr>
                <w:p w14:paraId="37011FC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每周</w:t>
                  </w:r>
                </w:p>
              </w:tc>
              <w:tc>
                <w:tcPr>
                  <w:tcW w:w="370" w:type="pct"/>
                  <w:noWrap w:val="0"/>
                  <w:vAlign w:val="center"/>
                </w:tcPr>
                <w:p w14:paraId="07B3CB3A">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392" w:type="pct"/>
                  <w:vMerge w:val="restart"/>
                  <w:noWrap w:val="0"/>
                  <w:vAlign w:val="center"/>
                </w:tcPr>
                <w:p w14:paraId="11C2C2C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暂存在</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危险废物贮存间</w:t>
                  </w:r>
                  <w:r>
                    <w:rPr>
                      <w:rFonts w:hint="default" w:ascii="Times New Roman" w:hAnsi="Times New Roman" w:cs="Times New Roman"/>
                      <w:color w:val="000000" w:themeColor="text1"/>
                      <w:kern w:val="2"/>
                      <w:sz w:val="21"/>
                      <w:szCs w:val="21"/>
                      <w:highlight w:val="none"/>
                      <w14:textFill>
                        <w14:solidFill>
                          <w14:schemeClr w14:val="tx1"/>
                        </w14:solidFill>
                      </w14:textFill>
                    </w:rPr>
                    <w:t>，定期由危废资质单位处理。</w:t>
                  </w:r>
                </w:p>
              </w:tc>
            </w:tr>
            <w:tr w14:paraId="5EDF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367E88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预处理池泥渣及管道循环装置废物</w:t>
                  </w:r>
                </w:p>
              </w:tc>
              <w:tc>
                <w:tcPr>
                  <w:tcW w:w="510" w:type="pct"/>
                  <w:noWrap w:val="0"/>
                  <w:vAlign w:val="center"/>
                </w:tcPr>
                <w:p w14:paraId="498E8C4B">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HW17</w:t>
                  </w:r>
                </w:p>
              </w:tc>
              <w:tc>
                <w:tcPr>
                  <w:tcW w:w="542" w:type="pct"/>
                  <w:noWrap w:val="0"/>
                  <w:vAlign w:val="center"/>
                </w:tcPr>
                <w:p w14:paraId="60970DE9">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427" w:type="pct"/>
                  <w:noWrap w:val="0"/>
                  <w:vAlign w:val="center"/>
                </w:tcPr>
                <w:p w14:paraId="00A9295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p>
              </w:tc>
              <w:tc>
                <w:tcPr>
                  <w:tcW w:w="442" w:type="pct"/>
                  <w:noWrap w:val="0"/>
                  <w:vAlign w:val="center"/>
                </w:tcPr>
                <w:p w14:paraId="00CA5D9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前处理</w:t>
                  </w:r>
                </w:p>
              </w:tc>
              <w:tc>
                <w:tcPr>
                  <w:tcW w:w="397" w:type="pct"/>
                  <w:noWrap w:val="0"/>
                  <w:vAlign w:val="center"/>
                </w:tcPr>
                <w:p w14:paraId="23CAA022">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态</w:t>
                  </w:r>
                </w:p>
              </w:tc>
              <w:tc>
                <w:tcPr>
                  <w:tcW w:w="463" w:type="pct"/>
                  <w:noWrap w:val="0"/>
                  <w:vAlign w:val="center"/>
                </w:tcPr>
                <w:p w14:paraId="26E068BD">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2"/>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泥渣</w:t>
                  </w:r>
                </w:p>
              </w:tc>
              <w:tc>
                <w:tcPr>
                  <w:tcW w:w="383" w:type="pct"/>
                  <w:noWrap w:val="0"/>
                  <w:vAlign w:val="center"/>
                </w:tcPr>
                <w:p w14:paraId="7327EC7B">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泥渣</w:t>
                  </w:r>
                </w:p>
              </w:tc>
              <w:tc>
                <w:tcPr>
                  <w:tcW w:w="335" w:type="pct"/>
                  <w:noWrap w:val="0"/>
                  <w:vAlign w:val="center"/>
                </w:tcPr>
                <w:p w14:paraId="6747785A">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1个月</w:t>
                  </w:r>
                </w:p>
              </w:tc>
              <w:tc>
                <w:tcPr>
                  <w:tcW w:w="370" w:type="pct"/>
                  <w:noWrap w:val="0"/>
                  <w:vAlign w:val="center"/>
                </w:tcPr>
                <w:p w14:paraId="590960A0">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C</w:t>
                  </w:r>
                </w:p>
              </w:tc>
              <w:tc>
                <w:tcPr>
                  <w:tcW w:w="392" w:type="pct"/>
                  <w:vMerge w:val="continue"/>
                  <w:noWrap w:val="0"/>
                  <w:vAlign w:val="center"/>
                </w:tcPr>
                <w:p w14:paraId="76F8DFD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537C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ECB98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无铬钝化池废槽液</w:t>
                  </w:r>
                </w:p>
              </w:tc>
              <w:tc>
                <w:tcPr>
                  <w:tcW w:w="510" w:type="pct"/>
                  <w:noWrap w:val="0"/>
                  <w:vAlign w:val="center"/>
                </w:tcPr>
                <w:p w14:paraId="2A61761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HW17</w:t>
                  </w:r>
                </w:p>
              </w:tc>
              <w:tc>
                <w:tcPr>
                  <w:tcW w:w="542" w:type="pct"/>
                  <w:noWrap w:val="0"/>
                  <w:vAlign w:val="center"/>
                </w:tcPr>
                <w:p w14:paraId="6E9D70C0">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427" w:type="pct"/>
                  <w:noWrap w:val="0"/>
                  <w:vAlign w:val="center"/>
                </w:tcPr>
                <w:p w14:paraId="30502F6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44.8</w:t>
                  </w:r>
                </w:p>
              </w:tc>
              <w:tc>
                <w:tcPr>
                  <w:tcW w:w="442" w:type="pct"/>
                  <w:noWrap w:val="0"/>
                  <w:vAlign w:val="center"/>
                </w:tcPr>
                <w:p w14:paraId="63B3189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w:t>
                  </w:r>
                </w:p>
              </w:tc>
              <w:tc>
                <w:tcPr>
                  <w:tcW w:w="397" w:type="pct"/>
                  <w:noWrap w:val="0"/>
                  <w:vAlign w:val="center"/>
                </w:tcPr>
                <w:p w14:paraId="6253B94E">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463" w:type="pct"/>
                  <w:noWrap w:val="0"/>
                  <w:vAlign w:val="center"/>
                </w:tcPr>
                <w:p w14:paraId="6735B77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废槽液</w:t>
                  </w:r>
                </w:p>
              </w:tc>
              <w:tc>
                <w:tcPr>
                  <w:tcW w:w="383" w:type="pct"/>
                  <w:noWrap w:val="0"/>
                  <w:vAlign w:val="center"/>
                </w:tcPr>
                <w:p w14:paraId="4A6A9FD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废槽液</w:t>
                  </w:r>
                </w:p>
              </w:tc>
              <w:tc>
                <w:tcPr>
                  <w:tcW w:w="335" w:type="pct"/>
                  <w:noWrap w:val="0"/>
                  <w:vAlign w:val="center"/>
                </w:tcPr>
                <w:p w14:paraId="0A17DAD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3个月</w:t>
                  </w:r>
                </w:p>
              </w:tc>
              <w:tc>
                <w:tcPr>
                  <w:tcW w:w="370" w:type="pct"/>
                  <w:noWrap w:val="0"/>
                  <w:vAlign w:val="center"/>
                </w:tcPr>
                <w:p w14:paraId="183B3545">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C</w:t>
                  </w:r>
                </w:p>
              </w:tc>
              <w:tc>
                <w:tcPr>
                  <w:tcW w:w="392" w:type="pct"/>
                  <w:vMerge w:val="continue"/>
                  <w:noWrap w:val="0"/>
                  <w:vAlign w:val="center"/>
                </w:tcPr>
                <w:p w14:paraId="48FEB15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3C10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34" w:type="pct"/>
                  <w:noWrap w:val="0"/>
                  <w:vAlign w:val="center"/>
                </w:tcPr>
                <w:p w14:paraId="2C68C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废水处理站污泥</w:t>
                  </w:r>
                </w:p>
              </w:tc>
              <w:tc>
                <w:tcPr>
                  <w:tcW w:w="510" w:type="pct"/>
                  <w:noWrap w:val="0"/>
                  <w:vAlign w:val="center"/>
                </w:tcPr>
                <w:p w14:paraId="02475E3A">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HW17</w:t>
                  </w:r>
                </w:p>
              </w:tc>
              <w:tc>
                <w:tcPr>
                  <w:tcW w:w="542" w:type="pct"/>
                  <w:noWrap w:val="0"/>
                  <w:vAlign w:val="center"/>
                </w:tcPr>
                <w:p w14:paraId="6D50A5AC">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427" w:type="pct"/>
                  <w:noWrap w:val="0"/>
                  <w:vAlign w:val="center"/>
                </w:tcPr>
                <w:p w14:paraId="41F2178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1.985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442" w:type="pct"/>
                  <w:noWrap w:val="0"/>
                  <w:vAlign w:val="center"/>
                </w:tcPr>
                <w:p w14:paraId="6AA6F55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14:textFill>
                        <w14:solidFill>
                          <w14:schemeClr w14:val="tx1"/>
                        </w14:solidFill>
                      </w14:textFill>
                    </w:rPr>
                    <w:t>废</w:t>
                  </w:r>
                  <w:r>
                    <w:rPr>
                      <w:rFonts w:hint="default" w:ascii="Times New Roman" w:hAnsi="Times New Roman" w:cs="Times New Roman"/>
                      <w:color w:val="000000" w:themeColor="text1"/>
                      <w:kern w:val="2"/>
                      <w:position w:val="0"/>
                      <w:sz w:val="21"/>
                      <w:szCs w:val="21"/>
                      <w:highlight w:val="none"/>
                      <w:lang w:eastAsia="zh-CN"/>
                      <w14:textFill>
                        <w14:solidFill>
                          <w14:schemeClr w14:val="tx1"/>
                        </w14:solidFill>
                      </w14:textFill>
                    </w:rPr>
                    <w:t>水</w:t>
                  </w:r>
                  <w:r>
                    <w:rPr>
                      <w:rFonts w:hint="default" w:ascii="Times New Roman" w:hAnsi="Times New Roman" w:cs="Times New Roman"/>
                      <w:color w:val="000000" w:themeColor="text1"/>
                      <w:kern w:val="2"/>
                      <w:position w:val="0"/>
                      <w:sz w:val="21"/>
                      <w:szCs w:val="21"/>
                      <w:highlight w:val="none"/>
                      <w14:textFill>
                        <w14:solidFill>
                          <w14:schemeClr w14:val="tx1"/>
                        </w14:solidFill>
                      </w14:textFill>
                    </w:rPr>
                    <w:t>处理</w:t>
                  </w:r>
                </w:p>
              </w:tc>
              <w:tc>
                <w:tcPr>
                  <w:tcW w:w="397" w:type="pct"/>
                  <w:noWrap w:val="0"/>
                  <w:vAlign w:val="center"/>
                </w:tcPr>
                <w:p w14:paraId="73E6ED26">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态</w:t>
                  </w:r>
                </w:p>
              </w:tc>
              <w:tc>
                <w:tcPr>
                  <w:tcW w:w="463" w:type="pct"/>
                  <w:noWrap w:val="0"/>
                  <w:vAlign w:val="center"/>
                </w:tcPr>
                <w:p w14:paraId="6D773FC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油渣</w:t>
                  </w:r>
                </w:p>
              </w:tc>
              <w:tc>
                <w:tcPr>
                  <w:tcW w:w="383" w:type="pct"/>
                  <w:noWrap w:val="0"/>
                  <w:vAlign w:val="center"/>
                </w:tcPr>
                <w:p w14:paraId="5368F2B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油渣</w:t>
                  </w:r>
                </w:p>
              </w:tc>
              <w:tc>
                <w:tcPr>
                  <w:tcW w:w="335" w:type="pct"/>
                  <w:noWrap w:val="0"/>
                  <w:vAlign w:val="center"/>
                </w:tcPr>
                <w:p w14:paraId="3C36FE26">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1个月</w:t>
                  </w:r>
                </w:p>
              </w:tc>
              <w:tc>
                <w:tcPr>
                  <w:tcW w:w="370" w:type="pct"/>
                  <w:noWrap w:val="0"/>
                  <w:vAlign w:val="center"/>
                </w:tcPr>
                <w:p w14:paraId="502D56BF">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C</w:t>
                  </w:r>
                </w:p>
              </w:tc>
              <w:tc>
                <w:tcPr>
                  <w:tcW w:w="392" w:type="pct"/>
                  <w:vMerge w:val="continue"/>
                  <w:noWrap w:val="0"/>
                  <w:vAlign w:val="center"/>
                </w:tcPr>
                <w:p w14:paraId="143B53B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30F1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34" w:type="pct"/>
                  <w:noWrap w:val="0"/>
                  <w:vAlign w:val="center"/>
                </w:tcPr>
                <w:p w14:paraId="3156DD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废pH调整剂包装桶</w:t>
                  </w:r>
                </w:p>
              </w:tc>
              <w:tc>
                <w:tcPr>
                  <w:tcW w:w="510" w:type="pct"/>
                  <w:noWrap w:val="0"/>
                  <w:vAlign w:val="center"/>
                </w:tcPr>
                <w:p w14:paraId="1FA7A999">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HW49</w:t>
                  </w:r>
                </w:p>
              </w:tc>
              <w:tc>
                <w:tcPr>
                  <w:tcW w:w="542" w:type="pct"/>
                  <w:noWrap w:val="0"/>
                  <w:vAlign w:val="center"/>
                </w:tcPr>
                <w:p w14:paraId="14BDE496">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427" w:type="pct"/>
                  <w:noWrap w:val="0"/>
                  <w:vAlign w:val="center"/>
                </w:tcPr>
                <w:p w14:paraId="274A6F8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0.008</w:t>
                  </w:r>
                </w:p>
              </w:tc>
              <w:tc>
                <w:tcPr>
                  <w:tcW w:w="442" w:type="pct"/>
                  <w:noWrap w:val="0"/>
                  <w:vAlign w:val="center"/>
                </w:tcPr>
                <w:p w14:paraId="6B7E0B5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14:textFill>
                        <w14:solidFill>
                          <w14:schemeClr w14:val="tx1"/>
                        </w14:solidFill>
                      </w14:textFill>
                    </w:rPr>
                    <w:t>废</w:t>
                  </w:r>
                  <w:r>
                    <w:rPr>
                      <w:rFonts w:hint="default" w:ascii="Times New Roman" w:hAnsi="Times New Roman" w:cs="Times New Roman"/>
                      <w:color w:val="000000" w:themeColor="text1"/>
                      <w:kern w:val="2"/>
                      <w:position w:val="0"/>
                      <w:sz w:val="21"/>
                      <w:szCs w:val="21"/>
                      <w:highlight w:val="none"/>
                      <w:lang w:eastAsia="zh-CN"/>
                      <w14:textFill>
                        <w14:solidFill>
                          <w14:schemeClr w14:val="tx1"/>
                        </w14:solidFill>
                      </w14:textFill>
                    </w:rPr>
                    <w:t>水</w:t>
                  </w:r>
                  <w:r>
                    <w:rPr>
                      <w:rFonts w:hint="default" w:ascii="Times New Roman" w:hAnsi="Times New Roman" w:cs="Times New Roman"/>
                      <w:color w:val="000000" w:themeColor="text1"/>
                      <w:kern w:val="2"/>
                      <w:position w:val="0"/>
                      <w:sz w:val="21"/>
                      <w:szCs w:val="21"/>
                      <w:highlight w:val="none"/>
                      <w14:textFill>
                        <w14:solidFill>
                          <w14:schemeClr w14:val="tx1"/>
                        </w14:solidFill>
                      </w14:textFill>
                    </w:rPr>
                    <w:t>处理</w:t>
                  </w:r>
                </w:p>
              </w:tc>
              <w:tc>
                <w:tcPr>
                  <w:tcW w:w="397" w:type="pct"/>
                  <w:noWrap w:val="0"/>
                  <w:vAlign w:val="center"/>
                </w:tcPr>
                <w:p w14:paraId="74DF4D0D">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3440D7D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eastAsia="zh-CN"/>
                      <w14:textFill>
                        <w14:solidFill>
                          <w14:schemeClr w14:val="tx1"/>
                        </w14:solidFill>
                      </w14:textFill>
                    </w:rPr>
                    <w:t>硫酸</w:t>
                  </w:r>
                </w:p>
              </w:tc>
              <w:tc>
                <w:tcPr>
                  <w:tcW w:w="383" w:type="pct"/>
                  <w:noWrap w:val="0"/>
                  <w:vAlign w:val="center"/>
                </w:tcPr>
                <w:p w14:paraId="150F901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eastAsia="zh-CN"/>
                      <w14:textFill>
                        <w14:solidFill>
                          <w14:schemeClr w14:val="tx1"/>
                        </w14:solidFill>
                      </w14:textFill>
                    </w:rPr>
                    <w:t>硫酸</w:t>
                  </w:r>
                </w:p>
              </w:tc>
              <w:tc>
                <w:tcPr>
                  <w:tcW w:w="335" w:type="pct"/>
                  <w:noWrap w:val="0"/>
                  <w:vAlign w:val="center"/>
                </w:tcPr>
                <w:p w14:paraId="1726BCD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1个月</w:t>
                  </w:r>
                </w:p>
              </w:tc>
              <w:tc>
                <w:tcPr>
                  <w:tcW w:w="370" w:type="pct"/>
                  <w:noWrap w:val="0"/>
                  <w:vAlign w:val="center"/>
                </w:tcPr>
                <w:p w14:paraId="2E71F55C">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392" w:type="pct"/>
                  <w:vMerge w:val="continue"/>
                  <w:noWrap w:val="0"/>
                  <w:vAlign w:val="center"/>
                </w:tcPr>
                <w:p w14:paraId="385684A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p>
              </w:tc>
            </w:tr>
            <w:tr w14:paraId="75E9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2F3E25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废机油桶</w:t>
                  </w:r>
                </w:p>
              </w:tc>
              <w:tc>
                <w:tcPr>
                  <w:tcW w:w="510" w:type="pct"/>
                  <w:noWrap w:val="0"/>
                  <w:vAlign w:val="center"/>
                </w:tcPr>
                <w:p w14:paraId="3EFD3DE1">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HW08</w:t>
                  </w:r>
                </w:p>
              </w:tc>
              <w:tc>
                <w:tcPr>
                  <w:tcW w:w="542" w:type="pct"/>
                  <w:noWrap w:val="0"/>
                  <w:vAlign w:val="center"/>
                </w:tcPr>
                <w:p w14:paraId="166488E6">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427" w:type="pct"/>
                  <w:noWrap w:val="0"/>
                  <w:vAlign w:val="center"/>
                </w:tcPr>
                <w:p w14:paraId="7F7AEE4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c>
                <w:tcPr>
                  <w:tcW w:w="442" w:type="pct"/>
                  <w:noWrap w:val="0"/>
                  <w:vAlign w:val="center"/>
                </w:tcPr>
                <w:p w14:paraId="3330C1A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14:textFill>
                        <w14:solidFill>
                          <w14:schemeClr w14:val="tx1"/>
                        </w14:solidFill>
                      </w14:textFill>
                    </w:rPr>
                    <w:t>设备保养</w:t>
                  </w:r>
                </w:p>
              </w:tc>
              <w:tc>
                <w:tcPr>
                  <w:tcW w:w="397" w:type="pct"/>
                  <w:noWrap w:val="0"/>
                  <w:vAlign w:val="center"/>
                </w:tcPr>
                <w:p w14:paraId="6ACE2719">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107C454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000000" w:themeColor="text1"/>
                      <w:kern w:val="2"/>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83" w:type="pct"/>
                  <w:noWrap w:val="0"/>
                  <w:vAlign w:val="center"/>
                </w:tcPr>
                <w:p w14:paraId="69CB06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000000" w:themeColor="text1"/>
                      <w:kern w:val="2"/>
                      <w:positio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35" w:type="pct"/>
                  <w:noWrap w:val="0"/>
                  <w:vAlign w:val="center"/>
                </w:tcPr>
                <w:p w14:paraId="02D5CDB7">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370" w:type="pct"/>
                  <w:noWrap w:val="0"/>
                  <w:vAlign w:val="center"/>
                </w:tcPr>
                <w:p w14:paraId="3F017CFB">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I</w:t>
                  </w:r>
                </w:p>
              </w:tc>
              <w:tc>
                <w:tcPr>
                  <w:tcW w:w="392" w:type="pct"/>
                  <w:vMerge w:val="continue"/>
                  <w:noWrap w:val="0"/>
                  <w:vAlign w:val="center"/>
                </w:tcPr>
                <w:p w14:paraId="2A92368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6CC9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4A472C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w:t>
                  </w:r>
                </w:p>
              </w:tc>
              <w:tc>
                <w:tcPr>
                  <w:tcW w:w="510" w:type="pct"/>
                  <w:noWrap w:val="0"/>
                  <w:vAlign w:val="center"/>
                </w:tcPr>
                <w:p w14:paraId="6315AB0F">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HW08</w:t>
                  </w:r>
                </w:p>
              </w:tc>
              <w:tc>
                <w:tcPr>
                  <w:tcW w:w="542" w:type="pct"/>
                  <w:noWrap w:val="0"/>
                  <w:vAlign w:val="center"/>
                </w:tcPr>
                <w:p w14:paraId="01BD6D15">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427" w:type="pct"/>
                  <w:noWrap w:val="0"/>
                  <w:vAlign w:val="center"/>
                </w:tcPr>
                <w:p w14:paraId="0C13B42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442" w:type="pct"/>
                  <w:noWrap w:val="0"/>
                  <w:vAlign w:val="center"/>
                </w:tcPr>
                <w:p w14:paraId="015FD702">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14:textFill>
                        <w14:solidFill>
                          <w14:schemeClr w14:val="tx1"/>
                        </w14:solidFill>
                      </w14:textFill>
                    </w:rPr>
                    <w:t>设备保养</w:t>
                  </w:r>
                </w:p>
              </w:tc>
              <w:tc>
                <w:tcPr>
                  <w:tcW w:w="397" w:type="pct"/>
                  <w:noWrap w:val="0"/>
                  <w:vAlign w:val="center"/>
                </w:tcPr>
                <w:p w14:paraId="1C13AC07">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463" w:type="pct"/>
                  <w:noWrap w:val="0"/>
                  <w:vAlign w:val="center"/>
                </w:tcPr>
                <w:p w14:paraId="74D180E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83" w:type="pct"/>
                  <w:noWrap w:val="0"/>
                  <w:vAlign w:val="center"/>
                </w:tcPr>
                <w:p w14:paraId="45E9848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35" w:type="pct"/>
                  <w:noWrap w:val="0"/>
                  <w:vAlign w:val="center"/>
                </w:tcPr>
                <w:p w14:paraId="3FCDC47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370" w:type="pct"/>
                  <w:noWrap w:val="0"/>
                  <w:vAlign w:val="center"/>
                </w:tcPr>
                <w:p w14:paraId="51FAC08D">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w:t>
                  </w:r>
                </w:p>
              </w:tc>
              <w:tc>
                <w:tcPr>
                  <w:tcW w:w="392" w:type="pct"/>
                  <w:vMerge w:val="continue"/>
                  <w:noWrap w:val="0"/>
                  <w:vAlign w:val="center"/>
                </w:tcPr>
                <w:p w14:paraId="22F6B89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4C61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EC933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废含油抹布手套</w:t>
                  </w:r>
                </w:p>
              </w:tc>
              <w:tc>
                <w:tcPr>
                  <w:tcW w:w="510" w:type="pct"/>
                  <w:noWrap w:val="0"/>
                  <w:vAlign w:val="center"/>
                </w:tcPr>
                <w:p w14:paraId="3DD11139">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HW49</w:t>
                  </w:r>
                </w:p>
              </w:tc>
              <w:tc>
                <w:tcPr>
                  <w:tcW w:w="542" w:type="pct"/>
                  <w:noWrap w:val="0"/>
                  <w:vAlign w:val="center"/>
                </w:tcPr>
                <w:p w14:paraId="23A5EF4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427" w:type="pct"/>
                  <w:noWrap w:val="0"/>
                  <w:vAlign w:val="center"/>
                </w:tcPr>
                <w:p w14:paraId="006B5FA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442" w:type="pct"/>
                  <w:noWrap w:val="0"/>
                  <w:vAlign w:val="center"/>
                </w:tcPr>
                <w:p w14:paraId="7595B65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14:textFill>
                        <w14:solidFill>
                          <w14:schemeClr w14:val="tx1"/>
                        </w14:solidFill>
                      </w14:textFill>
                    </w:rPr>
                    <w:t>设备保养</w:t>
                  </w:r>
                </w:p>
              </w:tc>
              <w:tc>
                <w:tcPr>
                  <w:tcW w:w="397" w:type="pct"/>
                  <w:noWrap w:val="0"/>
                  <w:vAlign w:val="center"/>
                </w:tcPr>
                <w:p w14:paraId="280BC0B2">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7E29163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83" w:type="pct"/>
                  <w:noWrap w:val="0"/>
                  <w:vAlign w:val="center"/>
                </w:tcPr>
                <w:p w14:paraId="78DF0C9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35" w:type="pct"/>
                  <w:noWrap w:val="0"/>
                  <w:vAlign w:val="center"/>
                </w:tcPr>
                <w:p w14:paraId="31DAE464">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370" w:type="pct"/>
                  <w:noWrap w:val="0"/>
                  <w:vAlign w:val="center"/>
                </w:tcPr>
                <w:p w14:paraId="5CDAA9A3">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392" w:type="pct"/>
                  <w:vMerge w:val="continue"/>
                  <w:noWrap w:val="0"/>
                  <w:vAlign w:val="center"/>
                </w:tcPr>
                <w:p w14:paraId="2E0697D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2FD3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67CE8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废液压油桶</w:t>
                  </w:r>
                </w:p>
              </w:tc>
              <w:tc>
                <w:tcPr>
                  <w:tcW w:w="510" w:type="pct"/>
                  <w:noWrap w:val="0"/>
                  <w:vAlign w:val="center"/>
                </w:tcPr>
                <w:p w14:paraId="7FFBB67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HW08</w:t>
                  </w:r>
                </w:p>
              </w:tc>
              <w:tc>
                <w:tcPr>
                  <w:tcW w:w="542" w:type="pct"/>
                  <w:noWrap w:val="0"/>
                  <w:vAlign w:val="center"/>
                </w:tcPr>
                <w:p w14:paraId="200ECF4F">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427" w:type="pct"/>
                  <w:noWrap w:val="0"/>
                  <w:vAlign w:val="center"/>
                </w:tcPr>
                <w:p w14:paraId="05074D0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442" w:type="pct"/>
                  <w:noWrap w:val="0"/>
                  <w:vAlign w:val="center"/>
                </w:tcPr>
                <w:p w14:paraId="24F7E8F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eastAsia" w:ascii="Times New Roman" w:hAnsi="Times New Roman" w:eastAsia="宋体" w:cs="Times New Roman"/>
                      <w:color w:val="000000" w:themeColor="text1"/>
                      <w:kern w:val="2"/>
                      <w:position w:val="0"/>
                      <w:sz w:val="21"/>
                      <w:szCs w:val="21"/>
                      <w:highlight w:val="none"/>
                      <w:lang w:eastAsia="zh-CN"/>
                      <w14:textFill>
                        <w14:solidFill>
                          <w14:schemeClr w14:val="tx1"/>
                        </w14:solidFill>
                      </w14:textFill>
                    </w:rPr>
                  </w:pPr>
                  <w:r>
                    <w:rPr>
                      <w:rFonts w:hint="eastAsia"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钣金成型</w:t>
                  </w:r>
                </w:p>
              </w:tc>
              <w:tc>
                <w:tcPr>
                  <w:tcW w:w="397" w:type="pct"/>
                  <w:noWrap w:val="0"/>
                  <w:vAlign w:val="center"/>
                </w:tcPr>
                <w:p w14:paraId="1380E728">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60681B9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83" w:type="pct"/>
                  <w:noWrap w:val="0"/>
                  <w:vAlign w:val="center"/>
                </w:tcPr>
                <w:p w14:paraId="48E68FE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35" w:type="pct"/>
                  <w:noWrap w:val="0"/>
                  <w:vAlign w:val="center"/>
                </w:tcPr>
                <w:p w14:paraId="333243C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370" w:type="pct"/>
                  <w:noWrap w:val="0"/>
                  <w:vAlign w:val="center"/>
                </w:tcPr>
                <w:p w14:paraId="13E5B663">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w:t>
                  </w:r>
                </w:p>
              </w:tc>
              <w:tc>
                <w:tcPr>
                  <w:tcW w:w="392" w:type="pct"/>
                  <w:vMerge w:val="continue"/>
                  <w:noWrap w:val="0"/>
                  <w:vAlign w:val="center"/>
                </w:tcPr>
                <w:p w14:paraId="4BBB4BB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3B30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2B022C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w:t>
                  </w:r>
                </w:p>
              </w:tc>
              <w:tc>
                <w:tcPr>
                  <w:tcW w:w="510" w:type="pct"/>
                  <w:noWrap w:val="0"/>
                  <w:vAlign w:val="center"/>
                </w:tcPr>
                <w:p w14:paraId="0EBAA9A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HW08</w:t>
                  </w:r>
                </w:p>
              </w:tc>
              <w:tc>
                <w:tcPr>
                  <w:tcW w:w="542" w:type="pct"/>
                  <w:noWrap w:val="0"/>
                  <w:vAlign w:val="center"/>
                </w:tcPr>
                <w:p w14:paraId="2BCA154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-08</w:t>
                  </w:r>
                </w:p>
              </w:tc>
              <w:tc>
                <w:tcPr>
                  <w:tcW w:w="427" w:type="pct"/>
                  <w:noWrap w:val="0"/>
                  <w:vAlign w:val="center"/>
                </w:tcPr>
                <w:p w14:paraId="40C3F7C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442" w:type="pct"/>
                  <w:noWrap w:val="0"/>
                  <w:vAlign w:val="center"/>
                </w:tcPr>
                <w:p w14:paraId="41215C1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eastAsia"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钣金成型</w:t>
                  </w:r>
                </w:p>
              </w:tc>
              <w:tc>
                <w:tcPr>
                  <w:tcW w:w="397" w:type="pct"/>
                  <w:noWrap w:val="0"/>
                  <w:vAlign w:val="center"/>
                </w:tcPr>
                <w:p w14:paraId="58DC92C2">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液态</w:t>
                  </w:r>
                </w:p>
              </w:tc>
              <w:tc>
                <w:tcPr>
                  <w:tcW w:w="463" w:type="pct"/>
                  <w:noWrap w:val="0"/>
                  <w:vAlign w:val="center"/>
                </w:tcPr>
                <w:p w14:paraId="148CFD5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83" w:type="pct"/>
                  <w:noWrap w:val="0"/>
                  <w:vAlign w:val="center"/>
                </w:tcPr>
                <w:p w14:paraId="1FF3323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000000" w:themeColor="text1"/>
                      <w:kern w:val="2"/>
                      <w:position w:val="0"/>
                      <w:sz w:val="21"/>
                      <w:szCs w:val="21"/>
                      <w:highlight w:val="none"/>
                      <w14:textFill>
                        <w14:solidFill>
                          <w14:schemeClr w14:val="tx1"/>
                        </w14:solidFill>
                      </w14:textFill>
                    </w:rPr>
                  </w:pPr>
                  <w: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t>矿物油</w:t>
                  </w:r>
                </w:p>
              </w:tc>
              <w:tc>
                <w:tcPr>
                  <w:tcW w:w="335" w:type="pct"/>
                  <w:noWrap w:val="0"/>
                  <w:vAlign w:val="center"/>
                </w:tcPr>
                <w:p w14:paraId="741FC37C">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370" w:type="pct"/>
                  <w:noWrap w:val="0"/>
                  <w:vAlign w:val="center"/>
                </w:tcPr>
                <w:p w14:paraId="27CF8711">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w:t>
                  </w:r>
                </w:p>
              </w:tc>
              <w:tc>
                <w:tcPr>
                  <w:tcW w:w="392" w:type="pct"/>
                  <w:vMerge w:val="continue"/>
                  <w:noWrap w:val="0"/>
                  <w:vAlign w:val="center"/>
                </w:tcPr>
                <w:p w14:paraId="31B035D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73DF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5430E9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废原料桶</w:t>
                  </w:r>
                </w:p>
              </w:tc>
              <w:tc>
                <w:tcPr>
                  <w:tcW w:w="510" w:type="pct"/>
                  <w:noWrap w:val="0"/>
                  <w:vAlign w:val="center"/>
                </w:tcPr>
                <w:p w14:paraId="45B243F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HW49</w:t>
                  </w:r>
                </w:p>
              </w:tc>
              <w:tc>
                <w:tcPr>
                  <w:tcW w:w="542" w:type="pct"/>
                  <w:noWrap w:val="0"/>
                  <w:vAlign w:val="center"/>
                </w:tcPr>
                <w:p w14:paraId="3B1A2A3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900-041-49</w:t>
                  </w:r>
                </w:p>
              </w:tc>
              <w:tc>
                <w:tcPr>
                  <w:tcW w:w="427" w:type="pct"/>
                  <w:shd w:val="clear" w:color="auto" w:fill="auto"/>
                  <w:noWrap w:val="0"/>
                  <w:vAlign w:val="center"/>
                </w:tcPr>
                <w:p w14:paraId="5D11FB5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0.062</w:t>
                  </w:r>
                </w:p>
              </w:tc>
              <w:tc>
                <w:tcPr>
                  <w:tcW w:w="442" w:type="pct"/>
                  <w:noWrap w:val="0"/>
                  <w:vAlign w:val="center"/>
                </w:tcPr>
                <w:p w14:paraId="0B7A6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喷漆工序</w:t>
                  </w:r>
                </w:p>
              </w:tc>
              <w:tc>
                <w:tcPr>
                  <w:tcW w:w="397" w:type="pct"/>
                  <w:noWrap w:val="0"/>
                  <w:vAlign w:val="center"/>
                </w:tcPr>
                <w:p w14:paraId="3DF54C46">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3001732F">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有机树脂、有机溶剂</w:t>
                  </w:r>
                </w:p>
              </w:tc>
              <w:tc>
                <w:tcPr>
                  <w:tcW w:w="383" w:type="pct"/>
                  <w:noWrap w:val="0"/>
                  <w:vAlign w:val="center"/>
                </w:tcPr>
                <w:p w14:paraId="6D964DAD">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有机树脂、有机溶剂</w:t>
                  </w:r>
                </w:p>
              </w:tc>
              <w:tc>
                <w:tcPr>
                  <w:tcW w:w="335" w:type="pct"/>
                  <w:noWrap w:val="0"/>
                  <w:vAlign w:val="center"/>
                </w:tcPr>
                <w:p w14:paraId="05653BDE">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每周</w:t>
                  </w:r>
                </w:p>
              </w:tc>
              <w:tc>
                <w:tcPr>
                  <w:tcW w:w="370" w:type="pct"/>
                  <w:shd w:val="clear" w:color="auto" w:fill="auto"/>
                  <w:noWrap w:val="0"/>
                  <w:vAlign w:val="center"/>
                </w:tcPr>
                <w:p w14:paraId="5A4FD040">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T/In</w:t>
                  </w:r>
                </w:p>
              </w:tc>
              <w:tc>
                <w:tcPr>
                  <w:tcW w:w="392" w:type="pct"/>
                  <w:vMerge w:val="continue"/>
                  <w:noWrap w:val="0"/>
                  <w:vAlign w:val="center"/>
                </w:tcPr>
                <w:p w14:paraId="76B171E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2040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7C5C366A">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喷枪清洗液</w:t>
                  </w:r>
                </w:p>
              </w:tc>
              <w:tc>
                <w:tcPr>
                  <w:tcW w:w="510" w:type="pct"/>
                  <w:noWrap w:val="0"/>
                  <w:vAlign w:val="center"/>
                </w:tcPr>
                <w:p w14:paraId="53A29705">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HW06</w:t>
                  </w:r>
                </w:p>
              </w:tc>
              <w:tc>
                <w:tcPr>
                  <w:tcW w:w="542" w:type="pct"/>
                  <w:noWrap w:val="0"/>
                  <w:vAlign w:val="center"/>
                </w:tcPr>
                <w:p w14:paraId="48EA27A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900-402-06</w:t>
                  </w:r>
                </w:p>
              </w:tc>
              <w:tc>
                <w:tcPr>
                  <w:tcW w:w="427" w:type="pct"/>
                  <w:shd w:val="clear" w:color="auto" w:fill="auto"/>
                  <w:noWrap w:val="0"/>
                  <w:vAlign w:val="center"/>
                </w:tcPr>
                <w:p w14:paraId="0129189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0.045 </w:t>
                  </w:r>
                </w:p>
              </w:tc>
              <w:tc>
                <w:tcPr>
                  <w:tcW w:w="442" w:type="pct"/>
                  <w:noWrap w:val="0"/>
                  <w:vAlign w:val="center"/>
                </w:tcPr>
                <w:p w14:paraId="0441E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喷漆工序</w:t>
                  </w:r>
                </w:p>
              </w:tc>
              <w:tc>
                <w:tcPr>
                  <w:tcW w:w="397" w:type="pct"/>
                  <w:noWrap w:val="0"/>
                  <w:vAlign w:val="center"/>
                </w:tcPr>
                <w:p w14:paraId="3BCAD1F1">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态</w:t>
                  </w:r>
                </w:p>
              </w:tc>
              <w:tc>
                <w:tcPr>
                  <w:tcW w:w="463" w:type="pct"/>
                  <w:noWrap w:val="0"/>
                  <w:vAlign w:val="center"/>
                </w:tcPr>
                <w:p w14:paraId="49103A98">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清洗剂</w:t>
                  </w:r>
                </w:p>
              </w:tc>
              <w:tc>
                <w:tcPr>
                  <w:tcW w:w="383" w:type="pct"/>
                  <w:noWrap w:val="0"/>
                  <w:vAlign w:val="center"/>
                </w:tcPr>
                <w:p w14:paraId="12651C64">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清洗剂</w:t>
                  </w:r>
                </w:p>
              </w:tc>
              <w:tc>
                <w:tcPr>
                  <w:tcW w:w="335" w:type="pct"/>
                  <w:noWrap w:val="0"/>
                  <w:vAlign w:val="center"/>
                </w:tcPr>
                <w:p w14:paraId="1E41331B">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每月</w:t>
                  </w:r>
                </w:p>
              </w:tc>
              <w:tc>
                <w:tcPr>
                  <w:tcW w:w="370" w:type="pct"/>
                  <w:shd w:val="clear" w:color="auto" w:fill="auto"/>
                  <w:noWrap w:val="0"/>
                  <w:vAlign w:val="center"/>
                </w:tcPr>
                <w:p w14:paraId="24539E94">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T、I</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R</w:t>
                  </w:r>
                </w:p>
              </w:tc>
              <w:tc>
                <w:tcPr>
                  <w:tcW w:w="392" w:type="pct"/>
                  <w:vMerge w:val="continue"/>
                  <w:noWrap w:val="0"/>
                  <w:vAlign w:val="center"/>
                </w:tcPr>
                <w:p w14:paraId="20CDC7E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6321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4BC38C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废静电喷粉滤芯</w:t>
                  </w:r>
                </w:p>
              </w:tc>
              <w:tc>
                <w:tcPr>
                  <w:tcW w:w="510" w:type="pct"/>
                  <w:noWrap w:val="0"/>
                  <w:vAlign w:val="center"/>
                </w:tcPr>
                <w:p w14:paraId="234536A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HW49</w:t>
                  </w:r>
                </w:p>
              </w:tc>
              <w:tc>
                <w:tcPr>
                  <w:tcW w:w="542" w:type="pct"/>
                  <w:noWrap w:val="0"/>
                  <w:vAlign w:val="center"/>
                </w:tcPr>
                <w:p w14:paraId="4ED4DC4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900-041-49</w:t>
                  </w:r>
                </w:p>
              </w:tc>
              <w:tc>
                <w:tcPr>
                  <w:tcW w:w="427" w:type="pct"/>
                  <w:shd w:val="clear" w:color="auto" w:fill="auto"/>
                  <w:noWrap w:val="0"/>
                  <w:vAlign w:val="center"/>
                </w:tcPr>
                <w:p w14:paraId="74B459E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c>
                <w:tcPr>
                  <w:tcW w:w="442" w:type="pct"/>
                  <w:noWrap w:val="0"/>
                  <w:vAlign w:val="center"/>
                </w:tcPr>
                <w:p w14:paraId="61D70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喷粉工序</w:t>
                  </w:r>
                </w:p>
              </w:tc>
              <w:tc>
                <w:tcPr>
                  <w:tcW w:w="397" w:type="pct"/>
                  <w:noWrap w:val="0"/>
                  <w:vAlign w:val="center"/>
                </w:tcPr>
                <w:p w14:paraId="3FF831B8">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6D3E062D">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w:t>
                  </w:r>
                </w:p>
              </w:tc>
              <w:tc>
                <w:tcPr>
                  <w:tcW w:w="383" w:type="pct"/>
                  <w:noWrap w:val="0"/>
                  <w:vAlign w:val="center"/>
                </w:tcPr>
                <w:p w14:paraId="4CB913CA">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w:t>
                  </w:r>
                </w:p>
              </w:tc>
              <w:tc>
                <w:tcPr>
                  <w:tcW w:w="335" w:type="pct"/>
                  <w:noWrap w:val="0"/>
                  <w:vAlign w:val="center"/>
                </w:tcPr>
                <w:p w14:paraId="536A060B">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每月</w:t>
                  </w:r>
                </w:p>
              </w:tc>
              <w:tc>
                <w:tcPr>
                  <w:tcW w:w="370" w:type="pct"/>
                  <w:shd w:val="clear" w:color="auto" w:fill="auto"/>
                  <w:noWrap w:val="0"/>
                  <w:vAlign w:val="center"/>
                </w:tcPr>
                <w:p w14:paraId="58D24FFA">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T</w:t>
                  </w:r>
                  <w:r>
                    <w:rPr>
                      <w:rFonts w:hint="eastAsia"/>
                      <w:color w:val="000000" w:themeColor="text1"/>
                      <w:szCs w:val="21"/>
                      <w:lang w:val="en-US" w:eastAsia="zh-CN"/>
                      <w14:textFill>
                        <w14:solidFill>
                          <w14:schemeClr w14:val="tx1"/>
                        </w14:solidFill>
                      </w14:textFill>
                    </w:rPr>
                    <w:t>/In</w:t>
                  </w:r>
                </w:p>
              </w:tc>
              <w:tc>
                <w:tcPr>
                  <w:tcW w:w="392" w:type="pct"/>
                  <w:vMerge w:val="continue"/>
                  <w:noWrap w:val="0"/>
                  <w:vAlign w:val="center"/>
                </w:tcPr>
                <w:p w14:paraId="2CE5B3B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36FA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5EB057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废过滤棉</w:t>
                  </w:r>
                </w:p>
              </w:tc>
              <w:tc>
                <w:tcPr>
                  <w:tcW w:w="510" w:type="pct"/>
                  <w:noWrap w:val="0"/>
                  <w:vAlign w:val="center"/>
                </w:tcPr>
                <w:p w14:paraId="76A3308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HW49</w:t>
                  </w:r>
                </w:p>
              </w:tc>
              <w:tc>
                <w:tcPr>
                  <w:tcW w:w="542" w:type="pct"/>
                  <w:noWrap w:val="0"/>
                  <w:vAlign w:val="center"/>
                </w:tcPr>
                <w:p w14:paraId="2E4CDDD5">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900-041-49</w:t>
                  </w:r>
                </w:p>
              </w:tc>
              <w:tc>
                <w:tcPr>
                  <w:tcW w:w="427" w:type="pct"/>
                  <w:shd w:val="clear" w:color="auto" w:fill="auto"/>
                  <w:noWrap w:val="0"/>
                  <w:vAlign w:val="center"/>
                </w:tcPr>
                <w:p w14:paraId="36538614">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442" w:type="pct"/>
                  <w:vMerge w:val="restart"/>
                  <w:noWrap w:val="0"/>
                  <w:vAlign w:val="center"/>
                </w:tcPr>
                <w:p w14:paraId="04BAB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废气处理</w:t>
                  </w:r>
                </w:p>
              </w:tc>
              <w:tc>
                <w:tcPr>
                  <w:tcW w:w="397" w:type="pct"/>
                  <w:noWrap w:val="0"/>
                  <w:vAlign w:val="center"/>
                </w:tcPr>
                <w:p w14:paraId="60FF032D">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6D2F55A3">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有机物</w:t>
                  </w:r>
                </w:p>
              </w:tc>
              <w:tc>
                <w:tcPr>
                  <w:tcW w:w="383" w:type="pct"/>
                  <w:noWrap w:val="0"/>
                  <w:vAlign w:val="center"/>
                </w:tcPr>
                <w:p w14:paraId="402B385D">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有机物</w:t>
                  </w:r>
                </w:p>
              </w:tc>
              <w:tc>
                <w:tcPr>
                  <w:tcW w:w="335" w:type="pct"/>
                  <w:noWrap w:val="0"/>
                  <w:vAlign w:val="center"/>
                </w:tcPr>
                <w:p w14:paraId="33B2AAF7">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每月</w:t>
                  </w:r>
                </w:p>
              </w:tc>
              <w:tc>
                <w:tcPr>
                  <w:tcW w:w="370" w:type="pct"/>
                  <w:shd w:val="clear" w:color="auto" w:fill="auto"/>
                  <w:noWrap w:val="0"/>
                  <w:vAlign w:val="center"/>
                </w:tcPr>
                <w:p w14:paraId="7E7F8220">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T</w:t>
                  </w:r>
                  <w:r>
                    <w:rPr>
                      <w:rFonts w:hint="eastAsia"/>
                      <w:color w:val="000000" w:themeColor="text1"/>
                      <w:szCs w:val="21"/>
                      <w:lang w:val="en-US" w:eastAsia="zh-CN"/>
                      <w14:textFill>
                        <w14:solidFill>
                          <w14:schemeClr w14:val="tx1"/>
                        </w14:solidFill>
                      </w14:textFill>
                    </w:rPr>
                    <w:t>/In</w:t>
                  </w:r>
                </w:p>
              </w:tc>
              <w:tc>
                <w:tcPr>
                  <w:tcW w:w="392" w:type="pct"/>
                  <w:vMerge w:val="continue"/>
                  <w:noWrap w:val="0"/>
                  <w:vAlign w:val="center"/>
                </w:tcPr>
                <w:p w14:paraId="1828013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012F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D522D6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废活性炭</w:t>
                  </w:r>
                </w:p>
              </w:tc>
              <w:tc>
                <w:tcPr>
                  <w:tcW w:w="510" w:type="pct"/>
                  <w:noWrap w:val="0"/>
                  <w:vAlign w:val="center"/>
                </w:tcPr>
                <w:p w14:paraId="0376D37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HW49</w:t>
                  </w:r>
                </w:p>
              </w:tc>
              <w:tc>
                <w:tcPr>
                  <w:tcW w:w="542" w:type="pct"/>
                  <w:noWrap w:val="0"/>
                  <w:vAlign w:val="center"/>
                </w:tcPr>
                <w:p w14:paraId="474B2106">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900-039-49</w:t>
                  </w:r>
                </w:p>
              </w:tc>
              <w:tc>
                <w:tcPr>
                  <w:tcW w:w="427" w:type="pct"/>
                  <w:shd w:val="clear" w:color="auto" w:fill="auto"/>
                  <w:noWrap w:val="0"/>
                  <w:vAlign w:val="center"/>
                </w:tcPr>
                <w:p w14:paraId="5D3F3A0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29.027</w:t>
                  </w:r>
                </w:p>
              </w:tc>
              <w:tc>
                <w:tcPr>
                  <w:tcW w:w="442" w:type="pct"/>
                  <w:vMerge w:val="continue"/>
                  <w:noWrap w:val="0"/>
                  <w:vAlign w:val="center"/>
                </w:tcPr>
                <w:p w14:paraId="082937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p>
              </w:tc>
              <w:tc>
                <w:tcPr>
                  <w:tcW w:w="397" w:type="pct"/>
                  <w:noWrap w:val="0"/>
                  <w:vAlign w:val="center"/>
                </w:tcPr>
                <w:p w14:paraId="78AAE520">
                  <w:pPr>
                    <w:widowControl/>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noWrap w:val="0"/>
                  <w:vAlign w:val="center"/>
                </w:tcPr>
                <w:p w14:paraId="030FB811">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活性炭</w:t>
                  </w:r>
                </w:p>
              </w:tc>
              <w:tc>
                <w:tcPr>
                  <w:tcW w:w="383" w:type="pct"/>
                  <w:noWrap w:val="0"/>
                  <w:vAlign w:val="center"/>
                </w:tcPr>
                <w:p w14:paraId="33E875BA">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活性炭</w:t>
                  </w:r>
                </w:p>
              </w:tc>
              <w:tc>
                <w:tcPr>
                  <w:tcW w:w="335" w:type="pct"/>
                  <w:noWrap w:val="0"/>
                  <w:vAlign w:val="center"/>
                </w:tcPr>
                <w:p w14:paraId="04004874">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每年</w:t>
                  </w:r>
                </w:p>
              </w:tc>
              <w:tc>
                <w:tcPr>
                  <w:tcW w:w="370" w:type="pct"/>
                  <w:shd w:val="clear" w:color="auto" w:fill="auto"/>
                  <w:noWrap w:val="0"/>
                  <w:vAlign w:val="center"/>
                </w:tcPr>
                <w:p w14:paraId="234FE681">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T</w:t>
                  </w:r>
                </w:p>
              </w:tc>
              <w:tc>
                <w:tcPr>
                  <w:tcW w:w="392" w:type="pct"/>
                  <w:vMerge w:val="continue"/>
                  <w:noWrap w:val="0"/>
                  <w:vAlign w:val="center"/>
                </w:tcPr>
                <w:p w14:paraId="5E6A844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7A16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shd w:val="clear" w:color="auto" w:fill="auto"/>
                  <w:noWrap w:val="0"/>
                  <w:vAlign w:val="center"/>
                </w:tcPr>
                <w:p w14:paraId="13FBACF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废粉末涂料</w:t>
                  </w:r>
                </w:p>
              </w:tc>
              <w:tc>
                <w:tcPr>
                  <w:tcW w:w="510" w:type="pct"/>
                  <w:shd w:val="clear" w:color="auto" w:fill="auto"/>
                  <w:noWrap w:val="0"/>
                  <w:vAlign w:val="center"/>
                </w:tcPr>
                <w:p w14:paraId="046F1EC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待鉴定</w:t>
                  </w:r>
                </w:p>
              </w:tc>
              <w:tc>
                <w:tcPr>
                  <w:tcW w:w="542" w:type="pct"/>
                  <w:shd w:val="clear" w:color="auto" w:fill="auto"/>
                  <w:noWrap w:val="0"/>
                  <w:vAlign w:val="center"/>
                </w:tcPr>
                <w:p w14:paraId="3562021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待鉴定</w:t>
                  </w:r>
                </w:p>
              </w:tc>
              <w:tc>
                <w:tcPr>
                  <w:tcW w:w="427" w:type="pct"/>
                  <w:shd w:val="clear" w:color="auto" w:fill="auto"/>
                  <w:noWrap w:val="0"/>
                  <w:vAlign w:val="center"/>
                </w:tcPr>
                <w:p w14:paraId="5B0A684D">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3.593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442" w:type="pct"/>
                  <w:shd w:val="clear" w:color="auto" w:fill="auto"/>
                  <w:noWrap w:val="0"/>
                  <w:vAlign w:val="center"/>
                </w:tcPr>
                <w:p w14:paraId="40E8E0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喷粉工序</w:t>
                  </w:r>
                </w:p>
              </w:tc>
              <w:tc>
                <w:tcPr>
                  <w:tcW w:w="397" w:type="pct"/>
                  <w:shd w:val="clear" w:color="auto" w:fill="auto"/>
                  <w:noWrap w:val="0"/>
                  <w:vAlign w:val="center"/>
                </w:tcPr>
                <w:p w14:paraId="758A6BA8">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固态</w:t>
                  </w:r>
                </w:p>
              </w:tc>
              <w:tc>
                <w:tcPr>
                  <w:tcW w:w="463" w:type="pct"/>
                  <w:shd w:val="clear" w:color="auto" w:fill="auto"/>
                  <w:noWrap w:val="0"/>
                  <w:vAlign w:val="center"/>
                </w:tcPr>
                <w:p w14:paraId="1D7D2C37">
                  <w:pPr>
                    <w:widowControl/>
                    <w:spacing w:line="240" w:lineRule="auto"/>
                    <w:jc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w:t>
                  </w:r>
                </w:p>
              </w:tc>
              <w:tc>
                <w:tcPr>
                  <w:tcW w:w="383" w:type="pct"/>
                  <w:shd w:val="clear" w:color="auto" w:fill="auto"/>
                  <w:noWrap w:val="0"/>
                  <w:vAlign w:val="center"/>
                </w:tcPr>
                <w:p w14:paraId="2E2699CF">
                  <w:pPr>
                    <w:widowControl/>
                    <w:spacing w:line="240" w:lineRule="auto"/>
                    <w:jc w:val="center"/>
                    <w:rPr>
                      <w:rFonts w:hint="eastAsia"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有机树脂</w:t>
                  </w:r>
                </w:p>
              </w:tc>
              <w:tc>
                <w:tcPr>
                  <w:tcW w:w="335" w:type="pct"/>
                  <w:shd w:val="clear" w:color="auto" w:fill="auto"/>
                  <w:noWrap w:val="0"/>
                  <w:vAlign w:val="center"/>
                </w:tcPr>
                <w:p w14:paraId="3F03C199">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每月</w:t>
                  </w:r>
                </w:p>
              </w:tc>
              <w:tc>
                <w:tcPr>
                  <w:tcW w:w="370" w:type="pct"/>
                  <w:shd w:val="clear" w:color="auto" w:fill="auto"/>
                  <w:noWrap w:val="0"/>
                  <w:vAlign w:val="center"/>
                </w:tcPr>
                <w:p w14:paraId="02663230">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Cs w:val="21"/>
                      <w14:textFill>
                        <w14:solidFill>
                          <w14:schemeClr w14:val="tx1"/>
                        </w14:solidFill>
                      </w14:textFill>
                    </w:rPr>
                    <w:t>T</w:t>
                  </w:r>
                </w:p>
              </w:tc>
              <w:tc>
                <w:tcPr>
                  <w:tcW w:w="392" w:type="pct"/>
                  <w:vMerge w:val="continue"/>
                  <w:noWrap w:val="0"/>
                  <w:vAlign w:val="center"/>
                </w:tcPr>
                <w:p w14:paraId="5A26E25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6C06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EB53B6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废催化剂</w:t>
                  </w:r>
                </w:p>
              </w:tc>
              <w:tc>
                <w:tcPr>
                  <w:tcW w:w="510" w:type="pct"/>
                  <w:noWrap w:val="0"/>
                  <w:vAlign w:val="center"/>
                </w:tcPr>
                <w:p w14:paraId="4D6C2F26">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HW50</w:t>
                  </w:r>
                </w:p>
              </w:tc>
              <w:tc>
                <w:tcPr>
                  <w:tcW w:w="542" w:type="pct"/>
                  <w:noWrap w:val="0"/>
                  <w:vAlign w:val="center"/>
                </w:tcPr>
                <w:p w14:paraId="5F22144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900-049-50</w:t>
                  </w:r>
                </w:p>
              </w:tc>
              <w:tc>
                <w:tcPr>
                  <w:tcW w:w="427" w:type="pct"/>
                  <w:shd w:val="clear" w:color="auto" w:fill="auto"/>
                  <w:noWrap w:val="0"/>
                  <w:vAlign w:val="center"/>
                </w:tcPr>
                <w:p w14:paraId="7C72666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c>
                <w:tcPr>
                  <w:tcW w:w="442" w:type="pct"/>
                  <w:noWrap w:val="0"/>
                  <w:vAlign w:val="center"/>
                </w:tcPr>
                <w:p w14:paraId="6F207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kern w:val="2"/>
                      <w:position w:val="0"/>
                      <w:sz w:val="21"/>
                      <w:szCs w:val="21"/>
                      <w:highlight w:val="none"/>
                      <w:lang w:val="en-US" w:eastAsia="zh-CN"/>
                      <w14:textFill>
                        <w14:solidFill>
                          <w14:schemeClr w14:val="tx1"/>
                        </w14:solidFill>
                      </w14:textFill>
                    </w:rPr>
                    <w:t>废气处理</w:t>
                  </w:r>
                </w:p>
              </w:tc>
              <w:tc>
                <w:tcPr>
                  <w:tcW w:w="397" w:type="pct"/>
                  <w:noWrap w:val="0"/>
                  <w:vAlign w:val="center"/>
                </w:tcPr>
                <w:p w14:paraId="08929B11">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固体</w:t>
                  </w:r>
                </w:p>
              </w:tc>
              <w:tc>
                <w:tcPr>
                  <w:tcW w:w="463" w:type="pct"/>
                  <w:noWrap w:val="0"/>
                  <w:vAlign w:val="center"/>
                </w:tcPr>
                <w:p w14:paraId="36028E85">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kern w:val="2"/>
                      <w:position w:val="0"/>
                      <w:sz w:val="21"/>
                      <w:szCs w:val="21"/>
                      <w:highlight w:val="none"/>
                      <w:lang w:val="en-US" w:eastAsia="zh-CN"/>
                      <w14:textFill>
                        <w14:solidFill>
                          <w14:schemeClr w14:val="tx1"/>
                        </w14:solidFill>
                      </w14:textFill>
                    </w:rPr>
                    <w:t>有机物</w:t>
                  </w:r>
                </w:p>
              </w:tc>
              <w:tc>
                <w:tcPr>
                  <w:tcW w:w="383" w:type="pct"/>
                  <w:noWrap w:val="0"/>
                  <w:vAlign w:val="center"/>
                </w:tcPr>
                <w:p w14:paraId="744261CA">
                  <w:pPr>
                    <w:widowControl/>
                    <w:spacing w:line="240" w:lineRule="auto"/>
                    <w:jc w:val="center"/>
                    <w:rPr>
                      <w:rFonts w:hint="default" w:ascii="Times New Roman" w:hAnsi="Times New Roman"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kern w:val="2"/>
                      <w:position w:val="0"/>
                      <w:sz w:val="21"/>
                      <w:szCs w:val="21"/>
                      <w:highlight w:val="none"/>
                      <w:lang w:val="en-US" w:eastAsia="zh-CN"/>
                      <w14:textFill>
                        <w14:solidFill>
                          <w14:schemeClr w14:val="tx1"/>
                        </w14:solidFill>
                      </w14:textFill>
                    </w:rPr>
                    <w:t>有机物</w:t>
                  </w:r>
                </w:p>
              </w:tc>
              <w:tc>
                <w:tcPr>
                  <w:tcW w:w="335" w:type="pct"/>
                  <w:noWrap w:val="0"/>
                  <w:vAlign w:val="center"/>
                </w:tcPr>
                <w:p w14:paraId="227D50E2">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每年</w:t>
                  </w:r>
                </w:p>
              </w:tc>
              <w:tc>
                <w:tcPr>
                  <w:tcW w:w="370" w:type="pct"/>
                  <w:shd w:val="clear" w:color="auto" w:fill="auto"/>
                  <w:noWrap w:val="0"/>
                  <w:vAlign w:val="center"/>
                </w:tcPr>
                <w:p w14:paraId="56D6F38F">
                  <w:pPr>
                    <w:widowControl/>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T</w:t>
                  </w:r>
                </w:p>
              </w:tc>
              <w:tc>
                <w:tcPr>
                  <w:tcW w:w="392" w:type="pct"/>
                  <w:vMerge w:val="continue"/>
                  <w:noWrap w:val="0"/>
                  <w:vAlign w:val="center"/>
                </w:tcPr>
                <w:p w14:paraId="35C6DF7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r w14:paraId="7814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5953E1E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喷淋废液及沉渣</w:t>
                  </w:r>
                </w:p>
              </w:tc>
              <w:tc>
                <w:tcPr>
                  <w:tcW w:w="510" w:type="pct"/>
                  <w:noWrap w:val="0"/>
                  <w:vAlign w:val="center"/>
                </w:tcPr>
                <w:p w14:paraId="1B5CFD1C">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HW12</w:t>
                  </w:r>
                </w:p>
              </w:tc>
              <w:tc>
                <w:tcPr>
                  <w:tcW w:w="542" w:type="pct"/>
                  <w:noWrap w:val="0"/>
                  <w:vAlign w:val="center"/>
                </w:tcPr>
                <w:p w14:paraId="0FFB74C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900-252-12</w:t>
                  </w:r>
                </w:p>
              </w:tc>
              <w:tc>
                <w:tcPr>
                  <w:tcW w:w="427" w:type="pct"/>
                  <w:shd w:val="clear" w:color="auto" w:fill="auto"/>
                  <w:noWrap w:val="0"/>
                  <w:vAlign w:val="center"/>
                </w:tcPr>
                <w:p w14:paraId="26ADD1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229.091</w:t>
                  </w:r>
                </w:p>
              </w:tc>
              <w:tc>
                <w:tcPr>
                  <w:tcW w:w="442" w:type="pct"/>
                  <w:noWrap w:val="0"/>
                  <w:vAlign w:val="center"/>
                </w:tcPr>
                <w:p w14:paraId="4D2527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kern w:val="2"/>
                      <w:position w:val="0"/>
                      <w:sz w:val="21"/>
                      <w:szCs w:val="21"/>
                      <w:highlight w:val="none"/>
                      <w:lang w:val="en-US" w:eastAsia="zh-CN"/>
                      <w14:textFill>
                        <w14:solidFill>
                          <w14:schemeClr w14:val="tx1"/>
                        </w14:solidFill>
                      </w14:textFill>
                    </w:rPr>
                    <w:t>废气处理</w:t>
                  </w:r>
                </w:p>
              </w:tc>
              <w:tc>
                <w:tcPr>
                  <w:tcW w:w="397" w:type="pct"/>
                  <w:noWrap w:val="0"/>
                  <w:vAlign w:val="center"/>
                </w:tcPr>
                <w:p w14:paraId="1474E471">
                  <w:pPr>
                    <w:widowControl/>
                    <w:spacing w:line="240" w:lineRule="auto"/>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固体</w:t>
                  </w:r>
                </w:p>
              </w:tc>
              <w:tc>
                <w:tcPr>
                  <w:tcW w:w="463" w:type="pct"/>
                  <w:noWrap w:val="0"/>
                  <w:vAlign w:val="center"/>
                </w:tcPr>
                <w:p w14:paraId="1D9C2C2C">
                  <w:pPr>
                    <w:widowControl/>
                    <w:spacing w:line="240" w:lineRule="auto"/>
                    <w:jc w:val="center"/>
                    <w:rPr>
                      <w:rFonts w:hint="eastAsia"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kern w:val="2"/>
                      <w:position w:val="0"/>
                      <w:sz w:val="21"/>
                      <w:szCs w:val="21"/>
                      <w:highlight w:val="none"/>
                      <w:lang w:val="en-US" w:eastAsia="zh-CN"/>
                      <w14:textFill>
                        <w14:solidFill>
                          <w14:schemeClr w14:val="tx1"/>
                        </w14:solidFill>
                      </w14:textFill>
                    </w:rPr>
                    <w:t>有机物</w:t>
                  </w:r>
                </w:p>
              </w:tc>
              <w:tc>
                <w:tcPr>
                  <w:tcW w:w="383" w:type="pct"/>
                  <w:noWrap w:val="0"/>
                  <w:vAlign w:val="center"/>
                </w:tcPr>
                <w:p w14:paraId="300ED2A4">
                  <w:pPr>
                    <w:widowControl/>
                    <w:spacing w:line="240" w:lineRule="auto"/>
                    <w:jc w:val="center"/>
                    <w:rPr>
                      <w:rFonts w:hint="eastAsia" w:cs="Times New Roman"/>
                      <w:color w:val="000000" w:themeColor="text1"/>
                      <w:kern w:val="2"/>
                      <w:position w:val="0"/>
                      <w:sz w:val="21"/>
                      <w:szCs w:val="21"/>
                      <w:highlight w:val="none"/>
                      <w:lang w:val="en-US" w:eastAsia="zh-CN"/>
                      <w14:textFill>
                        <w14:solidFill>
                          <w14:schemeClr w14:val="tx1"/>
                        </w14:solidFill>
                      </w14:textFill>
                    </w:rPr>
                  </w:pPr>
                  <w:r>
                    <w:rPr>
                      <w:rFonts w:hint="eastAsia" w:cs="Times New Roman"/>
                      <w:color w:val="000000" w:themeColor="text1"/>
                      <w:kern w:val="2"/>
                      <w:position w:val="0"/>
                      <w:sz w:val="21"/>
                      <w:szCs w:val="21"/>
                      <w:highlight w:val="none"/>
                      <w:lang w:val="en-US" w:eastAsia="zh-CN"/>
                      <w14:textFill>
                        <w14:solidFill>
                          <w14:schemeClr w14:val="tx1"/>
                        </w14:solidFill>
                      </w14:textFill>
                    </w:rPr>
                    <w:t>有机物</w:t>
                  </w:r>
                </w:p>
              </w:tc>
              <w:tc>
                <w:tcPr>
                  <w:tcW w:w="335" w:type="pct"/>
                  <w:noWrap w:val="0"/>
                  <w:vAlign w:val="center"/>
                </w:tcPr>
                <w:p w14:paraId="6F82A71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每月</w:t>
                  </w:r>
                </w:p>
              </w:tc>
              <w:tc>
                <w:tcPr>
                  <w:tcW w:w="370" w:type="pct"/>
                  <w:shd w:val="clear" w:color="auto" w:fill="auto"/>
                  <w:noWrap w:val="0"/>
                  <w:vAlign w:val="center"/>
                </w:tcPr>
                <w:p w14:paraId="4F650726">
                  <w:pPr>
                    <w:widowControl/>
                    <w:spacing w:line="240" w:lineRule="auto"/>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T</w:t>
                  </w:r>
                </w:p>
              </w:tc>
              <w:tc>
                <w:tcPr>
                  <w:tcW w:w="392" w:type="pct"/>
                  <w:vMerge w:val="continue"/>
                  <w:noWrap w:val="0"/>
                  <w:vAlign w:val="center"/>
                </w:tcPr>
                <w:p w14:paraId="7AE7AD6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000000" w:themeColor="text1"/>
                      <w:kern w:val="2"/>
                      <w:sz w:val="21"/>
                      <w:szCs w:val="21"/>
                      <w:highlight w:val="none"/>
                      <w14:textFill>
                        <w14:solidFill>
                          <w14:schemeClr w14:val="tx1"/>
                        </w14:solidFill>
                      </w14:textFill>
                    </w:rPr>
                  </w:pPr>
                </w:p>
              </w:tc>
            </w:tr>
          </w:tbl>
          <w:p w14:paraId="0C7E1541">
            <w:pPr>
              <w:pStyle w:val="39"/>
              <w:spacing w:after="0" w:line="120" w:lineRule="auto"/>
              <w:ind w:firstLine="482"/>
              <w:rPr>
                <w:rFonts w:hint="default" w:ascii="Times New Roman" w:hAnsi="Times New Roman" w:eastAsia="宋体" w:cs="Times New Roman"/>
                <w:b/>
                <w:color w:val="000000" w:themeColor="text1"/>
                <w:szCs w:val="21"/>
                <w:highlight w:val="none"/>
                <w14:textFill>
                  <w14:solidFill>
                    <w14:schemeClr w14:val="tx1"/>
                  </w14:solidFill>
                </w14:textFill>
              </w:rPr>
            </w:pPr>
          </w:p>
          <w:p w14:paraId="255D5E53">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（1）生活垃圾</w:t>
            </w:r>
          </w:p>
          <w:p w14:paraId="072F153D">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①</w:t>
            </w:r>
            <w:r>
              <w:rPr>
                <w:rFonts w:hint="default" w:ascii="Times New Roman" w:hAnsi="Times New Roman" w:cs="Times New Roman"/>
                <w:color w:val="000000" w:themeColor="text1"/>
                <w:sz w:val="24"/>
                <w:szCs w:val="24"/>
                <w:highlight w:val="none"/>
                <w14:textFill>
                  <w14:solidFill>
                    <w14:schemeClr w14:val="tx1"/>
                  </w14:solidFill>
                </w14:textFill>
              </w:rPr>
              <w:t>本项目劳动定员</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160</w:t>
            </w:r>
            <w:r>
              <w:rPr>
                <w:rFonts w:hint="default" w:ascii="Times New Roman" w:hAnsi="Times New Roman" w:cs="Times New Roman"/>
                <w:color w:val="000000" w:themeColor="text1"/>
                <w:sz w:val="24"/>
                <w:szCs w:val="24"/>
                <w:highlight w:val="none"/>
                <w14:textFill>
                  <w14:solidFill>
                    <w14:schemeClr w14:val="tx1"/>
                  </w14:solidFill>
                </w14:textFill>
              </w:rPr>
              <w:t>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其中140人</w:t>
            </w:r>
            <w:r>
              <w:rPr>
                <w:rFonts w:hint="default" w:ascii="Times New Roman" w:hAnsi="Times New Roman" w:cs="Times New Roman"/>
                <w:color w:val="000000" w:themeColor="text1"/>
                <w:sz w:val="24"/>
                <w:szCs w:val="24"/>
                <w:highlight w:val="none"/>
                <w14:textFill>
                  <w14:solidFill>
                    <w14:schemeClr w14:val="tx1"/>
                  </w14:solidFill>
                </w14:textFill>
              </w:rPr>
              <w:t>在厂内</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食宿</w:t>
            </w:r>
            <w:r>
              <w:rPr>
                <w:rFonts w:hint="default" w:ascii="Times New Roman" w:hAnsi="Times New Roman" w:cs="Times New Roman"/>
                <w:color w:val="000000" w:themeColor="text1"/>
                <w:sz w:val="24"/>
                <w:szCs w:val="24"/>
                <w:highlight w:val="none"/>
                <w14:textFill>
                  <w14:solidFill>
                    <w14:schemeClr w14:val="tx1"/>
                  </w14:solidFill>
                </w14:textFill>
              </w:rPr>
              <w:t>，年工作</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241</w:t>
            </w:r>
            <w:r>
              <w:rPr>
                <w:rFonts w:hint="default" w:ascii="Times New Roman" w:hAnsi="Times New Roman" w:cs="Times New Roman"/>
                <w:color w:val="000000" w:themeColor="text1"/>
                <w:sz w:val="24"/>
                <w:szCs w:val="24"/>
                <w:highlight w:val="none"/>
                <w14:textFill>
                  <w14:solidFill>
                    <w14:schemeClr w14:val="tx1"/>
                  </w14:solidFill>
                </w14:textFill>
              </w:rPr>
              <w:t>天，</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住宿</w:t>
            </w:r>
            <w:r>
              <w:rPr>
                <w:rFonts w:hint="default" w:ascii="Times New Roman" w:hAnsi="Times New Roman" w:cs="Times New Roman"/>
                <w:color w:val="000000" w:themeColor="text1"/>
                <w:sz w:val="24"/>
                <w:szCs w:val="24"/>
                <w:highlight w:val="none"/>
                <w14:textFill>
                  <w14:solidFill>
                    <w14:schemeClr w14:val="tx1"/>
                  </w14:solidFill>
                </w14:textFill>
              </w:rPr>
              <w:t>按每人每天生活垃圾产生量为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sz w:val="24"/>
                <w:szCs w:val="24"/>
                <w:highlight w:val="none"/>
                <w14:textFill>
                  <w14:solidFill>
                    <w14:schemeClr w14:val="tx1"/>
                  </w14:solidFill>
                </w14:textFill>
              </w:rPr>
              <w:t>kg，</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不住宿</w:t>
            </w:r>
            <w:r>
              <w:rPr>
                <w:rFonts w:hint="default" w:ascii="Times New Roman" w:hAnsi="Times New Roman" w:cs="Times New Roman"/>
                <w:color w:val="000000" w:themeColor="text1"/>
                <w:sz w:val="24"/>
                <w:szCs w:val="24"/>
                <w:highlight w:val="none"/>
                <w14:textFill>
                  <w14:solidFill>
                    <w14:schemeClr w14:val="tx1"/>
                  </w14:solidFill>
                </w14:textFill>
              </w:rPr>
              <w:t>按每人每天生活垃圾产生量为0.5kg，生活垃圾产生量为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36.15</w:t>
            </w:r>
            <w:r>
              <w:rPr>
                <w:rFonts w:hint="default" w:ascii="Times New Roman" w:hAnsi="Times New Roman" w:cs="Times New Roman"/>
                <w:color w:val="000000" w:themeColor="text1"/>
                <w:sz w:val="24"/>
                <w:szCs w:val="24"/>
                <w:highlight w:val="none"/>
                <w14:textFill>
                  <w14:solidFill>
                    <w14:schemeClr w14:val="tx1"/>
                  </w14:solidFill>
                </w14:textFill>
              </w:rPr>
              <w:t>t/a。</w:t>
            </w:r>
          </w:p>
          <w:p w14:paraId="57BABF4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4"/>
                <w:sz w:val="24"/>
                <w:szCs w:val="24"/>
                <w:highlight w:val="none"/>
                <w:lang w:eastAsia="zh-CN"/>
                <w14:textFill>
                  <w14:solidFill>
                    <w14:schemeClr w14:val="tx1"/>
                  </w14:solidFill>
                </w14:textFill>
              </w:rPr>
              <w:t>生活垃圾</w:t>
            </w:r>
            <w:r>
              <w:rPr>
                <w:rFonts w:hint="default" w:ascii="Times New Roman" w:hAnsi="Times New Roman" w:eastAsia="宋体" w:cs="Times New Roman"/>
                <w:color w:val="000000" w:themeColor="text1"/>
                <w:kern w:val="24"/>
                <w:sz w:val="24"/>
                <w:szCs w:val="24"/>
                <w:highlight w:val="none"/>
                <w14:textFill>
                  <w14:solidFill>
                    <w14:schemeClr w14:val="tx1"/>
                  </w14:solidFill>
                </w14:textFill>
              </w:rPr>
              <w:t>属于《固体废物分类与代码</w:t>
            </w:r>
            <w:r>
              <w:rPr>
                <w:rFonts w:hint="eastAsia" w:cs="Times New Roman"/>
                <w:color w:val="000000" w:themeColor="text1"/>
                <w:kern w:val="24"/>
                <w:sz w:val="24"/>
                <w:szCs w:val="24"/>
                <w:highlight w:val="none"/>
                <w:lang w:val="en-US" w:eastAsia="zh-CN"/>
                <w14:textFill>
                  <w14:solidFill>
                    <w14:schemeClr w14:val="tx1"/>
                  </w14:solidFill>
                </w14:textFill>
              </w:rPr>
              <w:t>目</w:t>
            </w:r>
            <w:r>
              <w:rPr>
                <w:rFonts w:hint="default" w:ascii="Times New Roman" w:hAnsi="Times New Roman" w:eastAsia="宋体" w:cs="Times New Roman"/>
                <w:color w:val="000000" w:themeColor="text1"/>
                <w:kern w:val="24"/>
                <w:sz w:val="24"/>
                <w:szCs w:val="24"/>
                <w:highlight w:val="none"/>
                <w14:textFill>
                  <w14:solidFill>
                    <w14:schemeClr w14:val="tx1"/>
                  </w14:solidFill>
                </w14:textFill>
              </w:rPr>
              <w:t>录》（公告2024年第4号）</w:t>
            </w:r>
            <w:r>
              <w:rPr>
                <w:rFonts w:hint="default" w:ascii="Times New Roman" w:hAnsi="Times New Roman" w:eastAsia="宋体" w:cs="Times New Roman"/>
                <w:color w:val="000000" w:themeColor="text1"/>
                <w:kern w:val="24"/>
                <w:sz w:val="24"/>
                <w:szCs w:val="24"/>
                <w:highlight w:val="none"/>
                <w:lang w:eastAsia="zh-CN"/>
                <w14:textFill>
                  <w14:solidFill>
                    <w14:schemeClr w14:val="tx1"/>
                  </w14:solidFill>
                </w14:textFill>
              </w:rPr>
              <w:t>中“SW64其他垃圾”，代码900-099-S64，</w:t>
            </w:r>
            <w:r>
              <w:rPr>
                <w:rFonts w:hint="default" w:ascii="Times New Roman" w:hAnsi="Times New Roman" w:eastAsia="宋体" w:cs="Times New Roman"/>
                <w:color w:val="000000" w:themeColor="text1"/>
                <w:kern w:val="24"/>
                <w:sz w:val="24"/>
                <w:szCs w:val="24"/>
                <w:highlight w:val="none"/>
                <w14:textFill>
                  <w14:solidFill>
                    <w14:schemeClr w14:val="tx1"/>
                  </w14:solidFill>
                </w14:textFill>
              </w:rPr>
              <w:t>生活垃圾主要成分是废纸张、瓜果皮核、饮料包装瓶和塑料包装纸等，统一收集后交由环卫部门定期清运处理</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05DF21BC">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t>②废油脂</w:t>
            </w:r>
          </w:p>
          <w:p w14:paraId="423179A9">
            <w:pPr>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4"/>
                <w:sz w:val="24"/>
                <w:szCs w:val="24"/>
                <w:highlight w:val="none"/>
                <w:lang w:eastAsia="zh-CN"/>
                <w14:textFill>
                  <w14:solidFill>
                    <w14:schemeClr w14:val="tx1"/>
                  </w14:solidFill>
                </w14:textFill>
              </w:rPr>
              <w:t>废油脂来源于隔油隔渣池和静电除油烟净化器，根据前文工程分析，隔油隔渣池废油脂产生量按动植物油削减量核算（</w:t>
            </w:r>
            <w:r>
              <w:rPr>
                <w:rFonts w:hint="eastAsia"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t>0.166</w:t>
            </w:r>
            <w:r>
              <w:rPr>
                <w:rFonts w:hint="eastAsia" w:ascii="Times New Roman" w:hAnsi="Times New Roman" w:eastAsia="宋体" w:cs="Times New Roman"/>
                <w:color w:val="000000" w:themeColor="text1"/>
                <w:kern w:val="24"/>
                <w:sz w:val="24"/>
                <w:szCs w:val="24"/>
                <w:highlight w:val="none"/>
                <w:lang w:eastAsia="zh-CN"/>
                <w14:textFill>
                  <w14:solidFill>
                    <w14:schemeClr w14:val="tx1"/>
                  </w14:solidFill>
                </w14:textFill>
              </w:rPr>
              <w:t>t/a），即本项目废油脂产生量约为</w:t>
            </w:r>
            <w:r>
              <w:rPr>
                <w:rFonts w:hint="eastAsia"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t>0.166</w:t>
            </w:r>
            <w:r>
              <w:rPr>
                <w:rFonts w:hint="eastAsia" w:ascii="Times New Roman" w:hAnsi="Times New Roman" w:eastAsia="宋体" w:cs="Times New Roman"/>
                <w:color w:val="000000" w:themeColor="text1"/>
                <w:kern w:val="24"/>
                <w:sz w:val="24"/>
                <w:szCs w:val="24"/>
                <w:highlight w:val="none"/>
                <w:lang w:eastAsia="zh-CN"/>
                <w14:textFill>
                  <w14:solidFill>
                    <w14:schemeClr w14:val="tx1"/>
                  </w14:solidFill>
                </w14:textFill>
              </w:rPr>
              <w:t>t/a。食堂餐厨垃圾及废油脂经收集后，交专业单位进行回收处置。</w:t>
            </w:r>
            <w:r>
              <w:rPr>
                <w:rFonts w:hint="default"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t>根据《固体废物分类与代码目录》（生态环境部公告2024年第4号），其属于SW61厨余垃圾（900-002-S61餐厨垃圾）</w:t>
            </w:r>
            <w:r>
              <w:rPr>
                <w:rFonts w:hint="eastAsia"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t>。</w:t>
            </w:r>
          </w:p>
          <w:p w14:paraId="177DCB8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（2）一般工业固体废物</w:t>
            </w:r>
          </w:p>
          <w:p w14:paraId="1127183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①边角料</w:t>
            </w:r>
          </w:p>
          <w:p w14:paraId="1BE75F2A">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本项目机加工过程会产生少量边角料，</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边角料产生量约为铝卷使用量的0.5%，铝卷使用量为8</w:t>
            </w:r>
            <w:r>
              <w:rPr>
                <w:rFonts w:hint="eastAsia" w:ascii="Times New Roman" w:cs="Times New Roman"/>
                <w:color w:val="000000" w:themeColor="text1"/>
                <w:sz w:val="24"/>
                <w:szCs w:val="24"/>
                <w:highlight w:val="none"/>
                <w:lang w:val="en-US" w:eastAsia="zh-CN"/>
                <w14:textFill>
                  <w14:solidFill>
                    <w14:schemeClr w14:val="tx1"/>
                  </w14:solidFill>
                </w14:textFill>
              </w:rPr>
              <w:t>91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0t/a，则边角料</w:t>
            </w:r>
            <w:r>
              <w:rPr>
                <w:rFonts w:hint="default" w:ascii="Times New Roman" w:hAnsi="Times New Roman" w:cs="Times New Roman"/>
                <w:color w:val="000000" w:themeColor="text1"/>
                <w:sz w:val="24"/>
                <w:szCs w:val="24"/>
                <w:highlight w:val="none"/>
                <w14:textFill>
                  <w14:solidFill>
                    <w14:schemeClr w14:val="tx1"/>
                  </w14:solidFill>
                </w14:textFill>
              </w:rPr>
              <w:t>产生量为</w:t>
            </w:r>
            <w:r>
              <w:rPr>
                <w:rFonts w:hint="eastAsia" w:ascii="Times New Roman" w:cs="Times New Roman"/>
                <w:color w:val="000000" w:themeColor="text1"/>
                <w:sz w:val="24"/>
                <w:szCs w:val="24"/>
                <w:highlight w:val="none"/>
                <w:lang w:val="en-US" w:eastAsia="zh-CN"/>
                <w14:textFill>
                  <w14:solidFill>
                    <w14:schemeClr w14:val="tx1"/>
                  </w14:solidFill>
                </w14:textFill>
              </w:rPr>
              <w:t>44.55</w:t>
            </w:r>
            <w:r>
              <w:rPr>
                <w:rFonts w:hint="default" w:ascii="Times New Roman" w:hAnsi="Times New Roman" w:cs="Times New Roman"/>
                <w:color w:val="000000" w:themeColor="text1"/>
                <w:sz w:val="24"/>
                <w:szCs w:val="24"/>
                <w:highlight w:val="none"/>
                <w14:textFill>
                  <w14:solidFill>
                    <w14:schemeClr w14:val="tx1"/>
                  </w14:solidFill>
                </w14:textFill>
              </w:rPr>
              <w:t>t/a，属于一般工业固体废物，</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为《固体废物分类与代码目录》（生态环境部公告2024年第4号）中的“SW17可再生类废物”</w:t>
            </w:r>
            <w:r>
              <w:rPr>
                <w:rFonts w:hint="default" w:ascii="Times New Roman" w:hAnsi="Times New Roman" w:cs="Times New Roman"/>
                <w:color w:val="000000" w:themeColor="text1"/>
                <w:sz w:val="24"/>
                <w:szCs w:val="24"/>
                <w:highlight w:val="none"/>
                <w14:textFill>
                  <w14:solidFill>
                    <w14:schemeClr w14:val="tx1"/>
                  </w14:solidFill>
                </w14:textFill>
              </w:rPr>
              <w:t>，代码为900-0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02</w:t>
            </w:r>
            <w:r>
              <w:rPr>
                <w:rFonts w:hint="default" w:ascii="Times New Roman" w:hAnsi="Times New Roman" w:cs="Times New Roman"/>
                <w:color w:val="000000" w:themeColor="text1"/>
                <w:sz w:val="24"/>
                <w:szCs w:val="24"/>
                <w:highlight w:val="none"/>
                <w14:textFill>
                  <w14:solidFill>
                    <w14:schemeClr w14:val="tx1"/>
                  </w14:solidFill>
                </w14:textFill>
              </w:rPr>
              <w:t>-S17</w:t>
            </w:r>
            <w:r>
              <w:rPr>
                <w:rFonts w:hint="default" w:ascii="Times New Roman" w:hAnsi="Times New Roman" w:cs="Times New Roman"/>
                <w:color w:val="000000" w:themeColor="text1"/>
                <w:sz w:val="24"/>
                <w:szCs w:val="24"/>
                <w:highlight w:val="none"/>
                <w:lang w:eastAsia="zh-CN"/>
                <w14:textFill>
                  <w14:solidFill>
                    <w14:schemeClr w14:val="tx1"/>
                  </w14:solidFill>
                </w14:textFill>
              </w:rPr>
              <w:t>（废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有色金属</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考虑到焊接</w:t>
            </w:r>
            <w:r>
              <w:rPr>
                <w:rFonts w:hint="eastAsia" w:ascii="Times New Roman" w:hAnsi="Times New Roman" w:cs="Times New Roman"/>
                <w:color w:val="000000" w:themeColor="text1"/>
                <w:highlight w:val="none"/>
                <w:lang w:val="en-US" w:eastAsia="zh-CN"/>
                <w14:textFill>
                  <w14:solidFill>
                    <w14:schemeClr w14:val="tx1"/>
                  </w14:solidFill>
                </w14:textFill>
              </w:rPr>
              <w:t>过程</w:t>
            </w:r>
            <w:r>
              <w:rPr>
                <w:rFonts w:hint="default" w:ascii="Times New Roman" w:hAnsi="Times New Roman" w:cs="Times New Roman"/>
                <w:color w:val="000000" w:themeColor="text1"/>
                <w:highlight w:val="none"/>
                <w:lang w:val="en-US" w:eastAsia="zh-CN"/>
                <w14:textFill>
                  <w14:solidFill>
                    <w14:schemeClr w14:val="tx1"/>
                  </w14:solidFill>
                </w14:textFill>
              </w:rPr>
              <w:t>会产生焊渣，</w:t>
            </w:r>
            <w:r>
              <w:rPr>
                <w:rFonts w:hint="default" w:ascii="Times New Roman" w:hAnsi="Times New Roman" w:cs="Times New Roman"/>
                <w:color w:val="000000" w:themeColor="text1"/>
                <w:highlight w:val="none"/>
                <w14:textFill>
                  <w14:solidFill>
                    <w14:schemeClr w14:val="tx1"/>
                  </w14:solidFill>
                </w14:textFill>
              </w:rPr>
              <w:t>焊渣约占焊材用量5%</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项目年用焊丝16.9吨，</w:t>
            </w:r>
            <w:r>
              <w:rPr>
                <w:rFonts w:hint="default" w:ascii="Times New Roman" w:hAnsi="Times New Roman" w:cs="Times New Roman"/>
                <w:color w:val="000000" w:themeColor="text1"/>
                <w:highlight w:val="none"/>
                <w:lang w:val="en-US" w:eastAsia="zh-CN"/>
                <w14:textFill>
                  <w14:solidFill>
                    <w14:schemeClr w14:val="tx1"/>
                  </w14:solidFill>
                </w14:textFill>
              </w:rPr>
              <w:t>计</w:t>
            </w:r>
            <w:r>
              <w:rPr>
                <w:rFonts w:hint="eastAsia" w:ascii="Times New Roman" w:hAnsi="Times New Roman" w:cs="Times New Roman"/>
                <w:color w:val="000000" w:themeColor="text1"/>
                <w:highlight w:val="none"/>
                <w:lang w:val="en-US" w:eastAsia="zh-CN"/>
                <w14:textFill>
                  <w14:solidFill>
                    <w14:schemeClr w14:val="tx1"/>
                  </w14:solidFill>
                </w14:textFill>
              </w:rPr>
              <w:t>得</w:t>
            </w:r>
            <w:r>
              <w:rPr>
                <w:rFonts w:hint="default" w:ascii="Times New Roman" w:hAnsi="Times New Roman" w:cs="Times New Roman"/>
                <w:color w:val="000000" w:themeColor="text1"/>
                <w:highlight w:val="none"/>
                <w:lang w:val="en-US" w:eastAsia="zh-CN"/>
                <w14:textFill>
                  <w14:solidFill>
                    <w14:schemeClr w14:val="tx1"/>
                  </w14:solidFill>
                </w14:textFill>
              </w:rPr>
              <w:t>焊渣产生量为0.</w:t>
            </w:r>
            <w:r>
              <w:rPr>
                <w:rFonts w:hint="eastAsia" w:ascii="Times New Roman" w:hAnsi="Times New Roman" w:cs="Times New Roman"/>
                <w:color w:val="000000" w:themeColor="text1"/>
                <w:highlight w:val="none"/>
                <w:lang w:val="en-US" w:eastAsia="zh-CN"/>
                <w14:textFill>
                  <w14:solidFill>
                    <w14:schemeClr w14:val="tx1"/>
                  </w14:solidFill>
                </w14:textFill>
              </w:rPr>
              <w:t>845</w:t>
            </w:r>
            <w:r>
              <w:rPr>
                <w:rFonts w:hint="default" w:ascii="Times New Roman" w:hAnsi="Times New Roman" w:cs="Times New Roman"/>
                <w:color w:val="000000" w:themeColor="text1"/>
                <w:highlight w:val="none"/>
                <w:lang w:val="en-US" w:eastAsia="zh-CN"/>
                <w14:textFill>
                  <w14:solidFill>
                    <w14:schemeClr w14:val="tx1"/>
                  </w14:solidFill>
                </w14:textFill>
              </w:rPr>
              <w:t>t/a，本项目将焊渣按作</w:t>
            </w:r>
            <w:r>
              <w:rPr>
                <w:rFonts w:hint="default" w:ascii="Times New Roman" w:hAnsi="Times New Roman" w:cs="Times New Roman"/>
                <w:color w:val="000000" w:themeColor="text1"/>
                <w:highlight w:val="none"/>
                <w14:textFill>
                  <w14:solidFill>
                    <w14:schemeClr w14:val="tx1"/>
                  </w14:solidFill>
                </w14:textFill>
              </w:rPr>
              <w:t>边角料</w:t>
            </w:r>
            <w:r>
              <w:rPr>
                <w:rFonts w:hint="default" w:ascii="Times New Roman" w:hAnsi="Times New Roman" w:cs="Times New Roman"/>
                <w:color w:val="000000" w:themeColor="text1"/>
                <w:highlight w:val="none"/>
                <w:lang w:val="en-US" w:eastAsia="zh-CN"/>
                <w14:textFill>
                  <w14:solidFill>
                    <w14:schemeClr w14:val="tx1"/>
                  </w14:solidFill>
                </w14:textFill>
              </w:rPr>
              <w:t>处理，计算得本项目边角料产生量为</w:t>
            </w:r>
            <w:r>
              <w:rPr>
                <w:rFonts w:hint="eastAsia" w:ascii="Times New Roman" w:cs="Times New Roman"/>
                <w:color w:val="000000" w:themeColor="text1"/>
                <w:highlight w:val="none"/>
                <w:lang w:val="en-US" w:eastAsia="zh-CN"/>
                <w14:textFill>
                  <w14:solidFill>
                    <w14:schemeClr w14:val="tx1"/>
                  </w14:solidFill>
                </w14:textFill>
              </w:rPr>
              <w:t>45.395</w:t>
            </w:r>
            <w:r>
              <w:rPr>
                <w:rFonts w:hint="default" w:ascii="Times New Roman" w:hAnsi="Times New Roman" w:cs="Times New Roman"/>
                <w:color w:val="000000" w:themeColor="text1"/>
                <w:highlight w:val="none"/>
                <w:lang w:val="en-US" w:eastAsia="zh-CN"/>
                <w14:textFill>
                  <w14:solidFill>
                    <w14:schemeClr w14:val="tx1"/>
                  </w14:solidFill>
                </w14:textFill>
              </w:rPr>
              <w:t>/a，</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边角料</w:t>
            </w:r>
            <w:r>
              <w:rPr>
                <w:rFonts w:hint="default" w:ascii="Times New Roman" w:hAnsi="Times New Roman" w:cs="Times New Roman"/>
                <w:color w:val="000000" w:themeColor="text1"/>
                <w:sz w:val="24"/>
                <w:szCs w:val="24"/>
                <w:highlight w:val="none"/>
                <w14:textFill>
                  <w14:solidFill>
                    <w14:schemeClr w14:val="tx1"/>
                  </w14:solidFill>
                </w14:textFill>
              </w:rPr>
              <w:t>统一收集后外售至资源回收利用单位。</w:t>
            </w:r>
          </w:p>
          <w:p w14:paraId="1951B308">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kern w:val="24"/>
                <w:sz w:val="24"/>
                <w:szCs w:val="24"/>
                <w:highlight w:val="none"/>
                <w14:textFill>
                  <w14:solidFill>
                    <w14:schemeClr w14:val="tx1"/>
                  </w14:solidFill>
                </w14:textFill>
              </w:rPr>
              <w:t>②</w:t>
            </w:r>
            <w:r>
              <w:rPr>
                <w:rFonts w:hint="default" w:ascii="Times New Roman" w:hAnsi="Times New Roman" w:cs="Times New Roman"/>
                <w:b/>
                <w:bCs/>
                <w:color w:val="000000" w:themeColor="text1"/>
                <w:sz w:val="24"/>
                <w:szCs w:val="24"/>
                <w:highlight w:val="none"/>
                <w14:textFill>
                  <w14:solidFill>
                    <w14:schemeClr w14:val="tx1"/>
                  </w14:solidFill>
                </w14:textFill>
              </w:rPr>
              <w:t>包装废料</w:t>
            </w:r>
          </w:p>
          <w:p w14:paraId="61A8EF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000000" w:themeColor="text1"/>
                <w:kern w:val="24"/>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主要为项目原辅材料的包装材料，主要为纸箱、包装绳、塑料袋等，产生量约为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t/a，属于一般工业固废，属于</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《固体废物分类与代码目录》（生态环境部公告2024年第4号）中的“SW17可再生类废物”</w:t>
            </w:r>
            <w:r>
              <w:rPr>
                <w:rFonts w:hint="default" w:ascii="Times New Roman" w:hAnsi="Times New Roman" w:cs="Times New Roman"/>
                <w:color w:val="000000" w:themeColor="text1"/>
                <w:sz w:val="24"/>
                <w:szCs w:val="24"/>
                <w:highlight w:val="none"/>
                <w14:textFill>
                  <w14:solidFill>
                    <w14:schemeClr w14:val="tx1"/>
                  </w14:solidFill>
                </w14:textFill>
              </w:rPr>
              <w:t>，代码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分别</w:t>
            </w:r>
            <w:r>
              <w:rPr>
                <w:rFonts w:hint="default" w:ascii="Times New Roman" w:hAnsi="Times New Roman" w:cs="Times New Roman"/>
                <w:color w:val="000000" w:themeColor="text1"/>
                <w:sz w:val="24"/>
                <w:szCs w:val="24"/>
                <w:highlight w:val="none"/>
                <w14:textFill>
                  <w14:solidFill>
                    <w14:schemeClr w14:val="tx1"/>
                  </w14:solidFill>
                </w14:textFill>
              </w:rPr>
              <w:t>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900-003-S17</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废塑料</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900-005-S17</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废纸</w:t>
            </w:r>
            <w:r>
              <w:rPr>
                <w:rFonts w:hint="default" w:ascii="Times New Roman" w:hAnsi="Times New Roman" w:cs="Times New Roman"/>
                <w:color w:val="000000" w:themeColor="text1"/>
                <w:sz w:val="24"/>
                <w:szCs w:val="24"/>
                <w:highlight w:val="none"/>
                <w14:textFill>
                  <w14:solidFill>
                    <w14:schemeClr w14:val="tx1"/>
                  </w14:solidFill>
                </w14:textFill>
              </w:rPr>
              <w:t>），统一收集后外售至资源回收利用单位。</w:t>
            </w:r>
          </w:p>
          <w:p w14:paraId="51D4E8E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③</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沉降金属粉尘</w:t>
            </w:r>
          </w:p>
          <w:p w14:paraId="19FF3F00">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本项目切割、抛光打磨粉尘比重和粒径较大，一般会沉降到工作台周边，根据上文计算，</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切割粉尘沉降量9.31t/a，</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金属粉尘</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沉降</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量为</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1.87</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t/a，合计为</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11.18</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t/a，</w:t>
            </w:r>
            <w:r>
              <w:rPr>
                <w:rFonts w:hint="default" w:ascii="Times New Roman" w:hAnsi="Times New Roman" w:cs="Times New Roman"/>
                <w:b w:val="0"/>
                <w:bCs w:val="0"/>
                <w:color w:val="000000" w:themeColor="text1"/>
                <w:sz w:val="24"/>
                <w:szCs w:val="24"/>
                <w:highlight w:val="none"/>
                <w14:textFill>
                  <w14:solidFill>
                    <w14:schemeClr w14:val="tx1"/>
                  </w14:solidFill>
                </w14:textFill>
              </w:rPr>
              <w:t>属</w:t>
            </w:r>
            <w:r>
              <w:rPr>
                <w:rFonts w:hint="default" w:ascii="Times New Roman" w:hAnsi="Times New Roman" w:cs="Times New Roman"/>
                <w:color w:val="000000" w:themeColor="text1"/>
                <w:sz w:val="24"/>
                <w:szCs w:val="24"/>
                <w:highlight w:val="none"/>
                <w14:textFill>
                  <w14:solidFill>
                    <w14:schemeClr w14:val="tx1"/>
                  </w14:solidFill>
                </w14:textFill>
              </w:rPr>
              <w:t>于一般固废，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为《固体废物分类与代码目录》（生态环境部公告2024年第4号）中的“SW17可再生类废物”</w:t>
            </w:r>
            <w:r>
              <w:rPr>
                <w:rFonts w:hint="default" w:ascii="Times New Roman" w:hAnsi="Times New Roman" w:cs="Times New Roman"/>
                <w:color w:val="000000" w:themeColor="text1"/>
                <w:sz w:val="24"/>
                <w:szCs w:val="24"/>
                <w:highlight w:val="none"/>
                <w14:textFill>
                  <w14:solidFill>
                    <w14:schemeClr w14:val="tx1"/>
                  </w14:solidFill>
                </w14:textFill>
              </w:rPr>
              <w:t>，代码为900-0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02</w:t>
            </w:r>
            <w:r>
              <w:rPr>
                <w:rFonts w:hint="default" w:ascii="Times New Roman" w:hAnsi="Times New Roman" w:cs="Times New Roman"/>
                <w:color w:val="000000" w:themeColor="text1"/>
                <w:sz w:val="24"/>
                <w:szCs w:val="24"/>
                <w:highlight w:val="none"/>
                <w14:textFill>
                  <w14:solidFill>
                    <w14:schemeClr w14:val="tx1"/>
                  </w14:solidFill>
                </w14:textFill>
              </w:rPr>
              <w:t>-S17</w:t>
            </w:r>
            <w:r>
              <w:rPr>
                <w:rFonts w:hint="default" w:ascii="Times New Roman" w:hAnsi="Times New Roman" w:cs="Times New Roman"/>
                <w:color w:val="000000" w:themeColor="text1"/>
                <w:sz w:val="24"/>
                <w:szCs w:val="24"/>
                <w:highlight w:val="none"/>
                <w:lang w:eastAsia="zh-CN"/>
                <w14:textFill>
                  <w14:solidFill>
                    <w14:schemeClr w14:val="tx1"/>
                  </w14:solidFill>
                </w14:textFill>
              </w:rPr>
              <w:t>（废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有色金属</w:t>
            </w:r>
            <w:r>
              <w:rPr>
                <w:rFonts w:hint="default" w:ascii="Times New Roman" w:hAnsi="Times New Roman" w:cs="Times New Roman"/>
                <w:color w:val="000000" w:themeColor="text1"/>
                <w:sz w:val="24"/>
                <w:szCs w:val="24"/>
                <w:highlight w:val="none"/>
                <w:lang w:eastAsia="zh-CN"/>
                <w14:textFill>
                  <w14:solidFill>
                    <w14:schemeClr w14:val="tx1"/>
                  </w14:solidFill>
                </w14:textFill>
              </w:rPr>
              <w:t>），沉降金属粉尘和除尘器收集粉尘</w:t>
            </w:r>
            <w:r>
              <w:rPr>
                <w:rFonts w:hint="default" w:ascii="Times New Roman" w:hAnsi="Times New Roman" w:cs="Times New Roman"/>
                <w:color w:val="000000" w:themeColor="text1"/>
                <w:sz w:val="24"/>
                <w:szCs w:val="24"/>
                <w:highlight w:val="none"/>
                <w14:textFill>
                  <w14:solidFill>
                    <w14:schemeClr w14:val="tx1"/>
                  </w14:solidFill>
                </w14:textFill>
              </w:rPr>
              <w:t>统一收集后外售至资源回收利用单位。</w:t>
            </w:r>
          </w:p>
          <w:p w14:paraId="29D0A0A1">
            <w:pPr>
              <w:pStyle w:val="158"/>
              <w:pageBreakBefore w:val="0"/>
              <w:wordWrap w:val="0"/>
              <w:topLinePunct/>
              <w:bidi w:val="0"/>
              <w:snapToGrid/>
              <w:spacing w:beforeAutospacing="0" w:afterAutospacing="0"/>
              <w:ind w:firstLine="482"/>
              <w:rPr>
                <w:b/>
                <w:bCs/>
                <w:color w:val="000000" w:themeColor="text1"/>
                <w14:textFill>
                  <w14:solidFill>
                    <w14:schemeClr w14:val="tx1"/>
                  </w14:solidFill>
                </w14:textFill>
              </w:rPr>
            </w:pPr>
            <w:bookmarkStart w:id="32" w:name="_Toc724"/>
            <w:r>
              <w:rPr>
                <w:rFonts w:hint="eastAsia"/>
                <w:b/>
                <w:bCs/>
                <w:color w:val="000000" w:themeColor="text1"/>
                <w:lang w:val="en-US" w:eastAsia="zh-CN"/>
                <w14:textFill>
                  <w14:solidFill>
                    <w14:schemeClr w14:val="tx1"/>
                  </w14:solidFill>
                </w14:textFill>
              </w:rPr>
              <w:t>④</w:t>
            </w:r>
            <w:r>
              <w:rPr>
                <w:b/>
                <w:bCs/>
                <w:color w:val="000000" w:themeColor="text1"/>
                <w14:textFill>
                  <w14:solidFill>
                    <w14:schemeClr w14:val="tx1"/>
                  </w14:solidFill>
                </w14:textFill>
              </w:rPr>
              <w:t>废滤芯</w:t>
            </w:r>
            <w:bookmarkEnd w:id="32"/>
          </w:p>
          <w:p w14:paraId="2D67FDFC">
            <w:pPr>
              <w:pStyle w:val="2"/>
              <w:keepNext w:val="0"/>
              <w:keepLines w:val="0"/>
              <w:suppressLineNumbers w:val="0"/>
              <w:spacing w:before="0" w:beforeAutospacing="0" w:after="0" w:afterAutospacing="0" w:line="360" w:lineRule="auto"/>
              <w:ind w:left="0" w:right="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w:t>
            </w:r>
            <w:r>
              <w:rPr>
                <w:rFonts w:hint="eastAsia" w:ascii="Times New Roman" w:cs="Times New Roman"/>
                <w:color w:val="000000" w:themeColor="text1"/>
                <w:lang w:val="en-US" w:eastAsia="zh-CN"/>
                <w14:textFill>
                  <w14:solidFill>
                    <w14:schemeClr w14:val="tx1"/>
                  </w14:solidFill>
                </w14:textFill>
              </w:rPr>
              <w:t>切割粉尘采用滤筒除尘器处理、</w:t>
            </w:r>
            <w:r>
              <w:rPr>
                <w:rFonts w:hint="default" w:ascii="Times New Roman" w:hAnsi="Times New Roman" w:cs="Times New Roman"/>
                <w:color w:val="000000" w:themeColor="text1"/>
                <w14:textFill>
                  <w14:solidFill>
                    <w14:schemeClr w14:val="tx1"/>
                  </w14:solidFill>
                </w14:textFill>
              </w:rPr>
              <w:t>焊接烟尘采用“移动式焊烟净化器”处理，需要定期更换滤芯，故产生废滤芯。其产生量</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滤芯年更换量</w:t>
            </w:r>
            <w:r>
              <w:rPr>
                <w:rFonts w:hint="default" w:ascii="Times New Roman" w:hAnsi="Times New Roman" w:cs="Times New Roman"/>
                <w:color w:val="000000" w:themeColor="text1"/>
                <w:lang w:val="en-US" w:eastAsia="zh-CN"/>
                <w14:textFill>
                  <w14:solidFill>
                    <w14:schemeClr w14:val="tx1"/>
                  </w14:solidFill>
                </w14:textFill>
              </w:rPr>
              <w:t>=滤芯单个重量×一次更换数量×年更换次数</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5kg×3个×12次/a=</w:t>
            </w:r>
            <w:r>
              <w:rPr>
                <w:rFonts w:hint="eastAsia" w:ascii="Times New Roman" w:cs="Times New Roman"/>
                <w:color w:val="000000" w:themeColor="text1"/>
                <w:lang w:val="en-US" w:eastAsia="zh-CN"/>
                <w14:textFill>
                  <w14:solidFill>
                    <w14:schemeClr w14:val="tx1"/>
                  </w14:solidFill>
                </w14:textFill>
              </w:rPr>
              <w:t>0.18</w:t>
            </w:r>
            <w:r>
              <w:rPr>
                <w:rFonts w:hint="default" w:ascii="Times New Roman" w:hAnsi="Times New Roman" w:cs="Times New Roman"/>
                <w:color w:val="000000" w:themeColor="text1"/>
                <w14:textFill>
                  <w14:solidFill>
                    <w14:schemeClr w14:val="tx1"/>
                  </w14:solidFill>
                </w14:textFill>
              </w:rPr>
              <w:t>t/a，属于《固体废物分类与代码名录》（公告 2024年 第4号）中“SW59 其他工业固体废物”，代码为900-099-S59，经统一收集后，外售至资源回收利用单位。</w:t>
            </w:r>
          </w:p>
          <w:p w14:paraId="5EF9FA1B">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（3）危险废物</w:t>
            </w:r>
          </w:p>
          <w:p w14:paraId="64C17939">
            <w:pPr>
              <w:pStyle w:val="22"/>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危险废物类别根据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进行辨识，分类收集后委托危险废物资质单位处理。</w:t>
            </w:r>
          </w:p>
          <w:p w14:paraId="672DB4F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①废表面处理剂包装桶</w:t>
            </w:r>
          </w:p>
          <w:p w14:paraId="43E332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项目预处理表面处理剂包括</w:t>
            </w:r>
            <w:r>
              <w:rPr>
                <w:rFonts w:hint="eastAsia" w:cs="Times New Roman"/>
                <w:color w:val="000000" w:themeColor="text1"/>
                <w:kern w:val="0"/>
                <w:sz w:val="24"/>
                <w:szCs w:val="24"/>
                <w:highlight w:val="none"/>
                <w:lang w:val="en-US" w:eastAsia="zh-CN" w:bidi="ar-SA"/>
                <w14:textFill>
                  <w14:solidFill>
                    <w14:schemeClr w14:val="tx1"/>
                  </w14:solidFill>
                </w14:textFill>
              </w:rPr>
              <w:t>除油</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剂、无铬钝化剂，表面处理剂使用完后会产生废表面处理剂包装桶，合计</w:t>
            </w:r>
            <w:r>
              <w:rPr>
                <w:rFonts w:hint="eastAsia" w:cs="Times New Roman"/>
                <w:color w:val="000000" w:themeColor="text1"/>
                <w:kern w:val="0"/>
                <w:sz w:val="24"/>
                <w:szCs w:val="24"/>
                <w:highlight w:val="none"/>
                <w:lang w:val="en-US" w:eastAsia="zh-CN" w:bidi="ar-SA"/>
                <w14:textFill>
                  <w14:solidFill>
                    <w14:schemeClr w14:val="tx1"/>
                  </w14:solidFill>
                </w14:textFill>
              </w:rPr>
              <w:t>1.658</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t/a（</w:t>
            </w:r>
            <w:r>
              <w:rPr>
                <w:rFonts w:hint="eastAsia" w:cs="Times New Roman"/>
                <w:color w:val="000000" w:themeColor="text1"/>
                <w:kern w:val="0"/>
                <w:sz w:val="24"/>
                <w:szCs w:val="24"/>
                <w:highlight w:val="none"/>
                <w:lang w:val="en-US" w:eastAsia="zh-CN" w:bidi="ar-SA"/>
                <w14:textFill>
                  <w14:solidFill>
                    <w14:schemeClr w14:val="tx1"/>
                  </w14:solidFill>
                </w14:textFill>
              </w:rPr>
              <w:t>约3315</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个，废空桶平均重0.5kg/个）。属于</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《国家危险废物名录》（2025年版）</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中编号为HW49其他废物，废物代码900-041-49。收集后交由有相应危险废物处理资质的单位处理。</w:t>
            </w:r>
          </w:p>
          <w:p w14:paraId="6B59941B">
            <w:pPr>
              <w:pStyle w:val="4"/>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bCs w:val="0"/>
                <w:color w:val="000000" w:themeColor="text1"/>
                <w:sz w:val="24"/>
                <w:szCs w:val="24"/>
                <w:highlight w:val="none"/>
                <w14:textFill>
                  <w14:solidFill>
                    <w14:schemeClr w14:val="tx1"/>
                  </w14:solidFill>
                </w14:textFill>
              </w:rPr>
              <w:t>②</w:t>
            </w:r>
            <w:r>
              <w:rPr>
                <w:rFonts w:hint="eastAsia" w:ascii="Times New Roman" w:cs="Times New Roman"/>
                <w:b/>
                <w:bCs w:val="0"/>
                <w:color w:val="000000" w:themeColor="text1"/>
                <w:sz w:val="24"/>
                <w:szCs w:val="24"/>
                <w:highlight w:val="none"/>
                <w:lang w:eastAsia="zh-CN"/>
                <w14:textFill>
                  <w14:solidFill>
                    <w14:schemeClr w14:val="tx1"/>
                  </w14:solidFill>
                </w14:textFill>
              </w:rPr>
              <w:t>预处理池泥渣及管道循环装置废物</w:t>
            </w:r>
          </w:p>
          <w:p w14:paraId="199DB39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根据企业提供的生产经验和行业相关类比分析，本项目</w:t>
            </w:r>
            <w:r>
              <w:rPr>
                <w:rFonts w:hint="eastAsia" w:cs="Times New Roman"/>
                <w:color w:val="000000" w:themeColor="text1"/>
                <w:sz w:val="24"/>
                <w:szCs w:val="24"/>
                <w:highlight w:val="none"/>
                <w:lang w:eastAsia="zh-CN"/>
                <w14:textFill>
                  <w14:solidFill>
                    <w14:schemeClr w14:val="tx1"/>
                  </w14:solidFill>
                </w14:textFill>
              </w:rPr>
              <w:t>预处理池泥渣及管道循环装置废物</w:t>
            </w:r>
            <w:r>
              <w:rPr>
                <w:rFonts w:hint="default" w:ascii="Times New Roman" w:hAnsi="Times New Roman" w:cs="Times New Roman"/>
                <w:color w:val="000000" w:themeColor="text1"/>
                <w:sz w:val="24"/>
                <w:szCs w:val="24"/>
                <w:highlight w:val="none"/>
                <w14:textFill>
                  <w14:solidFill>
                    <w14:schemeClr w14:val="tx1"/>
                  </w14:solidFill>
                </w14:textFill>
              </w:rPr>
              <w:t>预计产生量为</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cs="Times New Roman"/>
                <w:color w:val="000000" w:themeColor="text1"/>
                <w:sz w:val="24"/>
                <w:szCs w:val="24"/>
                <w:highlight w:val="none"/>
                <w14:textFill>
                  <w14:solidFill>
                    <w14:schemeClr w14:val="tx1"/>
                  </w14:solidFill>
                </w14:textFill>
              </w:rPr>
              <w:t>/a。属于</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中编号为HW17表面处理废物，危废代码336-064-17，收集后交由有危废处理资质单位处理。</w:t>
            </w:r>
          </w:p>
          <w:p w14:paraId="6C42C504">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③</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无铬钝化池废槽液</w:t>
            </w:r>
          </w:p>
          <w:p w14:paraId="0A72354B">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项目无铬钝化池的槽液日常循环使用，使用一定时间需要更换，更换频次为每季度更换一次。根据前文分析，前处理生产线更换出的无铬钝化池废槽液量合计为22.4</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×2=44.8t/a</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。根据《国家危险废物名录》（202</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年版），</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无铬钝化池废槽液</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属于HW</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17</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表面处理废物，废物代码为336-064-17，经收集后暂存于</w:t>
            </w:r>
            <w:r>
              <w:rPr>
                <w:rFonts w:hint="eastAsia" w:ascii="Times New Roman" w:cs="Times New Roman"/>
                <w:b w:val="0"/>
                <w:bCs w:val="0"/>
                <w:color w:val="000000" w:themeColor="text1"/>
                <w:sz w:val="24"/>
                <w:szCs w:val="24"/>
                <w:highlight w:val="none"/>
                <w:lang w:eastAsia="zh-CN"/>
                <w14:textFill>
                  <w14:solidFill>
                    <w14:schemeClr w14:val="tx1"/>
                  </w14:solidFill>
                </w14:textFill>
              </w:rPr>
              <w:t>危险废物贮存间</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，定期交由有危险废物处理资质单位处理。</w:t>
            </w:r>
          </w:p>
          <w:p w14:paraId="0FCA81C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④</w:t>
            </w:r>
            <w:r>
              <w:rPr>
                <w:rFonts w:hint="default" w:ascii="Times New Roman" w:hAnsi="Times New Roman" w:cs="Times New Roman"/>
                <w:b/>
                <w:bCs/>
                <w:color w:val="000000" w:themeColor="text1"/>
                <w:sz w:val="24"/>
                <w:szCs w:val="24"/>
                <w:highlight w:val="none"/>
                <w14:textFill>
                  <w14:solidFill>
                    <w14:schemeClr w14:val="tx1"/>
                  </w14:solidFill>
                </w14:textFill>
              </w:rPr>
              <w:t>废水处理站污泥</w:t>
            </w:r>
          </w:p>
          <w:p w14:paraId="6E4619F8">
            <w:pPr>
              <w:pStyle w:val="20"/>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000000" w:themeColor="text1"/>
                <w:kern w:val="24"/>
                <w:sz w:val="24"/>
                <w:szCs w:val="24"/>
                <w:highlight w:val="none"/>
                <w14:textFill>
                  <w14:solidFill>
                    <w14:schemeClr w14:val="tx1"/>
                  </w14:solidFill>
                </w14:textFill>
              </w:rPr>
            </w:pPr>
            <w:r>
              <w:rPr>
                <w:rFonts w:hint="eastAsia" w:cs="Times New Roman"/>
                <w:b w:val="0"/>
                <w:bCs w:val="0"/>
                <w:color w:val="000000" w:themeColor="text1"/>
                <w:kern w:val="24"/>
                <w:sz w:val="24"/>
                <w:szCs w:val="24"/>
                <w:highlight w:val="none"/>
                <w:lang w:val="en-US" w:eastAsia="zh-CN"/>
                <w14:textFill>
                  <w14:solidFill>
                    <w14:schemeClr w14:val="tx1"/>
                  </w14:solidFill>
                </w14:textFill>
              </w:rPr>
              <w:t>项目自建污水处理站运行过程中产生污泥。</w:t>
            </w:r>
            <w:r>
              <w:rPr>
                <w:rFonts w:hint="default" w:ascii="Times New Roman" w:hAnsi="Times New Roman" w:cs="Times New Roman"/>
                <w:b w:val="0"/>
                <w:bCs w:val="0"/>
                <w:color w:val="000000" w:themeColor="text1"/>
                <w:kern w:val="24"/>
                <w:sz w:val="24"/>
                <w:szCs w:val="24"/>
                <w:highlight w:val="none"/>
                <w:lang w:val="en-US" w:eastAsia="zh-CN"/>
                <w14:textFill>
                  <w14:solidFill>
                    <w14:schemeClr w14:val="tx1"/>
                  </w14:solidFill>
                </w14:textFill>
              </w:rPr>
              <w:t>根据公式：</w:t>
            </w:r>
            <w:r>
              <w:rPr>
                <w:rFonts w:hint="default" w:ascii="Times New Roman" w:hAnsi="Times New Roman" w:eastAsia="宋体" w:cs="Times New Roman"/>
                <w:i w:val="0"/>
                <w:iCs w:val="0"/>
                <w:caps w:val="0"/>
                <w:color w:val="000000" w:themeColor="text1"/>
                <w:spacing w:val="0"/>
                <w:sz w:val="24"/>
                <w:szCs w:val="24"/>
                <w:highlight w:val="none"/>
                <w:shd w:val="clear" w:color="auto" w:fill="FFFFFF"/>
                <w14:textFill>
                  <w14:solidFill>
                    <w14:schemeClr w14:val="tx1"/>
                  </w14:solidFill>
                </w14:textFill>
              </w:rPr>
              <w:t>干污泥量（t/a）=</w:t>
            </w:r>
            <w:r>
              <w:rPr>
                <w:rFonts w:hint="default" w:ascii="Times New Roman" w:hAnsi="Times New Roman" w:eastAsia="宋体" w:cs="Times New Roman"/>
                <w:i/>
                <w:iCs/>
                <w:caps w:val="0"/>
                <w:color w:val="000000" w:themeColor="text1"/>
                <w:spacing w:val="0"/>
                <w:sz w:val="24"/>
                <w:szCs w:val="24"/>
                <w:highlight w:val="none"/>
                <w:shd w:val="clear" w:color="auto" w:fill="FFFFFF"/>
                <w14:textFill>
                  <w14:solidFill>
                    <w14:schemeClr w14:val="tx1"/>
                  </w14:solidFill>
                </w14:textFill>
              </w:rPr>
              <w:t>Q</w:t>
            </w:r>
            <w:r>
              <w:rPr>
                <w:rFonts w:hint="default" w:ascii="Times New Roman" w:hAnsi="Times New Roman" w:eastAsia="宋体" w:cs="Times New Roman"/>
                <w:i w:val="0"/>
                <w:iCs w:val="0"/>
                <w:caps w:val="0"/>
                <w:color w:val="000000" w:themeColor="text1"/>
                <w:spacing w:val="0"/>
                <w:sz w:val="24"/>
                <w:szCs w:val="24"/>
                <w:highlight w:val="none"/>
                <w:shd w:val="clear" w:color="auto" w:fill="FFFFFF"/>
                <w14:textFill>
                  <w14:solidFill>
                    <w14:schemeClr w14:val="tx1"/>
                  </w14:solidFill>
                </w14:textFill>
              </w:rPr>
              <w:t>×(</w:t>
            </w:r>
            <w:r>
              <w:rPr>
                <w:rFonts w:hint="default" w:ascii="Times New Roman" w:hAnsi="Times New Roman" w:eastAsia="宋体" w:cs="Times New Roman"/>
                <w:i/>
                <w:iCs/>
                <w:caps w:val="0"/>
                <w:color w:val="000000" w:themeColor="text1"/>
                <w:spacing w:val="0"/>
                <w:sz w:val="24"/>
                <w:szCs w:val="24"/>
                <w:highlight w:val="none"/>
                <w:shd w:val="clear" w:color="auto" w:fill="FFFFFF"/>
                <w14:textFill>
                  <w14:solidFill>
                    <w14:schemeClr w14:val="tx1"/>
                  </w14:solidFill>
                </w14:textFill>
              </w:rPr>
              <w:t>C</w:t>
            </w:r>
            <w:r>
              <w:rPr>
                <w:rFonts w:hint="default" w:ascii="Times New Roman" w:hAnsi="Times New Roman" w:eastAsia="宋体" w:cs="Times New Roman"/>
                <w:i w:val="0"/>
                <w:iCs w:val="0"/>
                <w:caps w:val="0"/>
                <w:color w:val="000000" w:themeColor="text1"/>
                <w:spacing w:val="0"/>
                <w:sz w:val="24"/>
                <w:szCs w:val="24"/>
                <w:highlight w:val="none"/>
                <w:shd w:val="clear" w:color="auto" w:fill="FFFFFF"/>
                <w:vertAlign w:val="subscript"/>
                <w14:textFill>
                  <w14:solidFill>
                    <w14:schemeClr w14:val="tx1"/>
                  </w14:solidFill>
                </w14:textFill>
              </w:rPr>
              <w:t>进水</w:t>
            </w:r>
            <w:r>
              <w:rPr>
                <w:rFonts w:hint="default" w:ascii="Times New Roman" w:hAnsi="Times New Roman" w:eastAsia="宋体" w:cs="Times New Roman"/>
                <w:i w:val="0"/>
                <w:iCs w:val="0"/>
                <w:caps w:val="0"/>
                <w:color w:val="000000" w:themeColor="text1"/>
                <w:spacing w:val="0"/>
                <w:sz w:val="24"/>
                <w:szCs w:val="24"/>
                <w:highlight w:val="none"/>
                <w:shd w:val="clear" w:color="auto" w:fill="FFFFFF"/>
                <w14:textFill>
                  <w14:solidFill>
                    <w14:schemeClr w14:val="tx1"/>
                  </w14:solidFill>
                </w14:textFill>
              </w:rPr>
              <w:t>−</w:t>
            </w:r>
            <w:r>
              <w:rPr>
                <w:rFonts w:hint="default" w:ascii="Times New Roman" w:hAnsi="Times New Roman" w:eastAsia="宋体" w:cs="Times New Roman"/>
                <w:i/>
                <w:iCs/>
                <w:caps w:val="0"/>
                <w:color w:val="000000" w:themeColor="text1"/>
                <w:spacing w:val="0"/>
                <w:sz w:val="24"/>
                <w:szCs w:val="24"/>
                <w:highlight w:val="none"/>
                <w:shd w:val="clear" w:color="auto" w:fill="FFFFFF"/>
                <w14:textFill>
                  <w14:solidFill>
                    <w14:schemeClr w14:val="tx1"/>
                  </w14:solidFill>
                </w14:textFill>
              </w:rPr>
              <w:t>C</w:t>
            </w:r>
            <w:r>
              <w:rPr>
                <w:rFonts w:hint="default" w:ascii="Times New Roman" w:hAnsi="Times New Roman" w:eastAsia="宋体" w:cs="Times New Roman"/>
                <w:i w:val="0"/>
                <w:iCs w:val="0"/>
                <w:caps w:val="0"/>
                <w:color w:val="000000" w:themeColor="text1"/>
                <w:spacing w:val="0"/>
                <w:sz w:val="24"/>
                <w:szCs w:val="24"/>
                <w:highlight w:val="none"/>
                <w:shd w:val="clear" w:color="auto" w:fill="FFFFFF"/>
                <w:vertAlign w:val="subscript"/>
                <w14:textFill>
                  <w14:solidFill>
                    <w14:schemeClr w14:val="tx1"/>
                  </w14:solidFill>
                </w14:textFill>
              </w:rPr>
              <w:t>出水</w:t>
            </w:r>
            <w:r>
              <w:rPr>
                <w:rFonts w:hint="default" w:ascii="Times New Roman" w:hAnsi="Times New Roman" w:eastAsia="宋体" w:cs="Times New Roman"/>
                <w:i w:val="0"/>
                <w:iCs w:val="0"/>
                <w:caps w:val="0"/>
                <w:color w:val="000000" w:themeColor="text1"/>
                <w:spacing w:val="0"/>
                <w:sz w:val="24"/>
                <w:szCs w:val="24"/>
                <w:highlight w:val="none"/>
                <w:shd w:val="clear" w:color="auto" w:fill="FFFFFF"/>
                <w14:textFill>
                  <w14:solidFill>
                    <w14:schemeClr w14:val="tx1"/>
                  </w14:solidFill>
                </w14:textFill>
              </w:rPr>
              <w:t>)×10</w:t>
            </w:r>
            <w:r>
              <w:rPr>
                <w:rFonts w:hint="default" w:ascii="Times New Roman" w:hAnsi="Times New Roman" w:eastAsia="宋体" w:cs="Times New Roman"/>
                <w:i w:val="0"/>
                <w:iCs w:val="0"/>
                <w:caps w:val="0"/>
                <w:color w:val="000000" w:themeColor="text1"/>
                <w:spacing w:val="0"/>
                <w:sz w:val="24"/>
                <w:szCs w:val="24"/>
                <w:highlight w:val="none"/>
                <w:shd w:val="clear" w:color="auto" w:fill="FFFFFF"/>
                <w:vertAlign w:val="superscript"/>
                <w14:textFill>
                  <w14:solidFill>
                    <w14:schemeClr w14:val="tx1"/>
                  </w14:solidFill>
                </w14:textFill>
              </w:rPr>
              <w:t>−</w:t>
            </w:r>
            <w:r>
              <w:rPr>
                <w:rFonts w:hint="eastAsia" w:ascii="Times New Roman" w:hAnsi="Times New Roman" w:eastAsia="宋体" w:cs="Times New Roman"/>
                <w:i w:val="0"/>
                <w:iCs w:val="0"/>
                <w:caps w:val="0"/>
                <w:color w:val="000000" w:themeColor="text1"/>
                <w:spacing w:val="0"/>
                <w:sz w:val="24"/>
                <w:szCs w:val="24"/>
                <w:highlight w:val="none"/>
                <w:shd w:val="clear" w:color="auto" w:fill="FFFFFF"/>
                <w:vertAlign w:val="superscript"/>
                <w:lang w:val="en-US" w:eastAsia="zh-CN"/>
                <w14:textFill>
                  <w14:solidFill>
                    <w14:schemeClr w14:val="tx1"/>
                  </w14:solidFill>
                </w14:textFill>
              </w:rPr>
              <w:t>6</w:t>
            </w:r>
            <w:r>
              <w:rPr>
                <w:rFonts w:hint="default" w:ascii="Times New Roman" w:hAnsi="Times New Roman" w:eastAsia="宋体" w:cs="Times New Roman"/>
                <w:i w:val="0"/>
                <w:iCs w:val="0"/>
                <w:caps w:val="0"/>
                <w:color w:val="000000" w:themeColor="text1"/>
                <w:spacing w:val="0"/>
                <w:sz w:val="24"/>
                <w:szCs w:val="24"/>
                <w:highlight w:val="none"/>
                <w:shd w:val="clear" w:color="auto" w:fill="FFFFFF"/>
                <w14:textFill>
                  <w14:solidFill>
                    <w14:schemeClr w14:val="tx1"/>
                  </w14:solidFill>
                </w14:textFill>
              </w:rPr>
              <w:t>×污泥转化系数</w:t>
            </w:r>
          </w:p>
          <w:p w14:paraId="69B89A7B">
            <w:pPr>
              <w:pStyle w:val="4"/>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Q：处理水量（m³/a），本项目为</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10010.08</w:t>
            </w:r>
            <w:r>
              <w:rPr>
                <w:rFonts w:hint="default" w:ascii="Times New Roman" w:hAnsi="Times New Roman" w:cs="Times New Roman"/>
                <w:b w:val="0"/>
                <w:bCs w:val="0"/>
                <w:color w:val="000000" w:themeColor="text1"/>
                <w:sz w:val="24"/>
                <w:szCs w:val="24"/>
                <w:highlight w:val="none"/>
                <w14:textFill>
                  <w14:solidFill>
                    <w14:schemeClr w14:val="tx1"/>
                  </w14:solidFill>
                </w14:textFill>
              </w:rPr>
              <w:t>m³/a</w:t>
            </w:r>
          </w:p>
          <w:p w14:paraId="5666FD05">
            <w:pPr>
              <w:pStyle w:val="4"/>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C</w:t>
            </w:r>
            <w:r>
              <w:rPr>
                <w:rFonts w:hint="default" w:ascii="Times New Roman" w:hAnsi="Times New Roman" w:cs="Times New Roman"/>
                <w:b w:val="0"/>
                <w:bCs w:val="0"/>
                <w:color w:val="000000" w:themeColor="text1"/>
                <w:sz w:val="24"/>
                <w:szCs w:val="24"/>
                <w:highlight w:val="none"/>
                <w:vertAlign w:val="subscript"/>
                <w14:textFill>
                  <w14:solidFill>
                    <w14:schemeClr w14:val="tx1"/>
                  </w14:solidFill>
                </w14:textFill>
              </w:rPr>
              <w:t>进水</w:t>
            </w:r>
            <w:r>
              <w:rPr>
                <w:rFonts w:hint="default" w:ascii="Times New Roman" w:hAnsi="Times New Roman" w:cs="Times New Roman"/>
                <w:b w:val="0"/>
                <w:bCs w:val="0"/>
                <w:color w:val="000000" w:themeColor="text1"/>
                <w:sz w:val="24"/>
                <w:szCs w:val="24"/>
                <w:highlight w:val="none"/>
                <w14:textFill>
                  <w14:solidFill>
                    <w14:schemeClr w14:val="tx1"/>
                  </w14:solidFill>
                </w14:textFill>
              </w:rPr>
              <w:t>：进水污染物浓度（mg/L），如SS=</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67</w:t>
            </w:r>
            <w:r>
              <w:rPr>
                <w:rFonts w:hint="default" w:ascii="Times New Roman" w:hAnsi="Times New Roman" w:cs="Times New Roman"/>
                <w:b w:val="0"/>
                <w:bCs w:val="0"/>
                <w:color w:val="000000" w:themeColor="text1"/>
                <w:sz w:val="24"/>
                <w:szCs w:val="24"/>
                <w:highlight w:val="none"/>
                <w14:textFill>
                  <w14:solidFill>
                    <w14:schemeClr w14:val="tx1"/>
                  </w14:solidFill>
                </w14:textFill>
              </w:rPr>
              <w:t>mg/L</w:t>
            </w:r>
          </w:p>
          <w:p w14:paraId="418711F4">
            <w:pPr>
              <w:pStyle w:val="4"/>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C</w:t>
            </w:r>
            <w:r>
              <w:rPr>
                <w:rFonts w:hint="default" w:ascii="Times New Roman" w:hAnsi="Times New Roman" w:cs="Times New Roman"/>
                <w:b w:val="0"/>
                <w:bCs w:val="0"/>
                <w:color w:val="000000" w:themeColor="text1"/>
                <w:sz w:val="24"/>
                <w:szCs w:val="24"/>
                <w:highlight w:val="none"/>
                <w:vertAlign w:val="subscript"/>
                <w14:textFill>
                  <w14:solidFill>
                    <w14:schemeClr w14:val="tx1"/>
                  </w14:solidFill>
                </w14:textFill>
              </w:rPr>
              <w:t>出水</w:t>
            </w:r>
            <w:r>
              <w:rPr>
                <w:rFonts w:hint="default" w:ascii="Times New Roman" w:hAnsi="Times New Roman" w:cs="Times New Roman"/>
                <w:b w:val="0"/>
                <w:bCs w:val="0"/>
                <w:color w:val="000000" w:themeColor="text1"/>
                <w:sz w:val="24"/>
                <w:szCs w:val="24"/>
                <w:highlight w:val="none"/>
                <w14:textFill>
                  <w14:solidFill>
                    <w14:schemeClr w14:val="tx1"/>
                  </w14:solidFill>
                </w14:textFill>
              </w:rPr>
              <w:t>：出水污染物浓度（mg/L），如SS=</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0.9</w:t>
            </w:r>
            <w:r>
              <w:rPr>
                <w:rFonts w:hint="default" w:ascii="Times New Roman" w:hAnsi="Times New Roman" w:cs="Times New Roman"/>
                <w:b w:val="0"/>
                <w:bCs w:val="0"/>
                <w:color w:val="000000" w:themeColor="text1"/>
                <w:sz w:val="24"/>
                <w:szCs w:val="24"/>
                <w:highlight w:val="none"/>
                <w14:textFill>
                  <w14:solidFill>
                    <w14:schemeClr w14:val="tx1"/>
                  </w14:solidFill>
                </w14:textFill>
              </w:rPr>
              <w:t>mg/L</w:t>
            </w:r>
          </w:p>
          <w:p w14:paraId="164AD093">
            <w:pPr>
              <w:pStyle w:val="4"/>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污泥转化系数：SS按1.2（经验值，考虑药剂添加及絮体含水率）</w:t>
            </w:r>
          </w:p>
          <w:p w14:paraId="00307350">
            <w:pPr>
              <w:pStyle w:val="4"/>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根据公式计算可得，本项目</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干</w:t>
            </w:r>
            <w:r>
              <w:rPr>
                <w:rFonts w:hint="default" w:ascii="Times New Roman" w:hAnsi="Times New Roman" w:cs="Times New Roman"/>
                <w:b w:val="0"/>
                <w:bCs w:val="0"/>
                <w:color w:val="000000" w:themeColor="text1"/>
                <w:sz w:val="24"/>
                <w:szCs w:val="24"/>
                <w:highlight w:val="none"/>
                <w14:textFill>
                  <w14:solidFill>
                    <w14:schemeClr w14:val="tx1"/>
                  </w14:solidFill>
                </w14:textFill>
              </w:rPr>
              <w:t>污泥产生量约为</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0.794</w:t>
            </w:r>
            <w:r>
              <w:rPr>
                <w:rFonts w:hint="default" w:ascii="Times New Roman" w:hAnsi="Times New Roman" w:cs="Times New Roman"/>
                <w:b w:val="0"/>
                <w:bCs w:val="0"/>
                <w:color w:val="000000" w:themeColor="text1"/>
                <w:sz w:val="24"/>
                <w:szCs w:val="24"/>
                <w:highlight w:val="none"/>
                <w14:textFill>
                  <w14:solidFill>
                    <w14:schemeClr w14:val="tx1"/>
                  </w14:solidFill>
                </w14:textFill>
              </w:rPr>
              <w:t>t</w:t>
            </w:r>
            <w:r>
              <w:rPr>
                <w:rFonts w:hint="default" w:ascii="Times New Roman" w:hAnsi="Times New Roman" w:cs="Times New Roman"/>
                <w:b w:val="0"/>
                <w:bCs w:val="0"/>
                <w:color w:val="000000" w:themeColor="text1"/>
                <w:kern w:val="24"/>
                <w:sz w:val="24"/>
                <w:szCs w:val="24"/>
                <w:highlight w:val="none"/>
                <w14:textFill>
                  <w14:solidFill>
                    <w14:schemeClr w14:val="tx1"/>
                  </w14:solidFill>
                </w14:textFill>
              </w:rPr>
              <w:t>/a，</w:t>
            </w:r>
            <w:r>
              <w:rPr>
                <w:rFonts w:hint="default" w:ascii="Times New Roman" w:hAnsi="Times New Roman" w:cs="Times New Roman"/>
                <w:b w:val="0"/>
                <w:bCs w:val="0"/>
                <w:color w:val="000000" w:themeColor="text1"/>
                <w:sz w:val="24"/>
                <w:szCs w:val="24"/>
                <w:highlight w:val="none"/>
                <w14:textFill>
                  <w14:solidFill>
                    <w14:schemeClr w14:val="tx1"/>
                  </w14:solidFill>
                </w14:textFill>
              </w:rPr>
              <w:t>经板框压滤机处理后的污泥含水率控制在</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60</w:t>
            </w:r>
            <w:r>
              <w:rPr>
                <w:rFonts w:hint="default" w:ascii="Times New Roman" w:hAnsi="Times New Roman" w:cs="Times New Roman"/>
                <w:b w:val="0"/>
                <w:bCs w:val="0"/>
                <w:color w:val="000000" w:themeColor="text1"/>
                <w:sz w:val="24"/>
                <w:szCs w:val="24"/>
                <w:highlight w:val="none"/>
                <w14:textFill>
                  <w14:solidFill>
                    <w14:schemeClr w14:val="tx1"/>
                  </w14:solidFill>
                </w14:textFill>
              </w:rPr>
              <w:t>%，根据固含量守恒换算，脱水后湿污泥产生量为</w:t>
            </w:r>
            <w:r>
              <w:rPr>
                <w:rFonts w:hint="eastAsia" w:ascii="Times New Roman" w:cs="Times New Roman"/>
                <w:b w:val="0"/>
                <w:bCs w:val="0"/>
                <w:color w:val="000000" w:themeColor="text1"/>
                <w:sz w:val="24"/>
                <w:szCs w:val="24"/>
                <w:highlight w:val="none"/>
                <w:lang w:val="en-US" w:eastAsia="zh-CN"/>
                <w14:textFill>
                  <w14:solidFill>
                    <w14:schemeClr w14:val="tx1"/>
                  </w14:solidFill>
                </w14:textFill>
              </w:rPr>
              <w:t>1.985</w:t>
            </w:r>
            <w:r>
              <w:rPr>
                <w:rFonts w:hint="default" w:ascii="Times New Roman" w:hAnsi="Times New Roman" w:cs="Times New Roman"/>
                <w:b w:val="0"/>
                <w:bCs w:val="0"/>
                <w:color w:val="000000" w:themeColor="text1"/>
                <w:sz w:val="24"/>
                <w:szCs w:val="24"/>
                <w:highlight w:val="none"/>
                <w14:textFill>
                  <w14:solidFill>
                    <w14:schemeClr w14:val="tx1"/>
                  </w14:solidFill>
                </w14:textFill>
              </w:rPr>
              <w:t>t/a，属于《国家危险废物名录》（202</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val="0"/>
                <w:color w:val="000000" w:themeColor="text1"/>
                <w:sz w:val="24"/>
                <w:szCs w:val="24"/>
                <w:highlight w:val="none"/>
                <w14:textFill>
                  <w14:solidFill>
                    <w14:schemeClr w14:val="tx1"/>
                  </w14:solidFill>
                </w14:textFill>
              </w:rPr>
              <w:t>年版）中编号为</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HW</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17</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表面处理废物</w:t>
            </w:r>
            <w:r>
              <w:rPr>
                <w:rFonts w:hint="default" w:ascii="Times New Roman" w:hAnsi="Times New Roman" w:cs="Times New Roman"/>
                <w:b w:val="0"/>
                <w:bCs w:val="0"/>
                <w:color w:val="000000" w:themeColor="text1"/>
                <w:sz w:val="24"/>
                <w:szCs w:val="24"/>
                <w:highlight w:val="none"/>
                <w14:textFill>
                  <w14:solidFill>
                    <w14:schemeClr w14:val="tx1"/>
                  </w14:solidFill>
                </w14:textFill>
              </w:rPr>
              <w:t>，危废代码336-064-17。收集后交由有危废处理资质单位处理。</w:t>
            </w:r>
          </w:p>
          <w:p w14:paraId="042F7F81">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lang w:eastAsia="zh-CN"/>
                <w14:textFill>
                  <w14:solidFill>
                    <w14:schemeClr w14:val="tx1"/>
                  </w14:solidFill>
                </w14:textFill>
              </w:rPr>
            </w:pPr>
            <w:r>
              <w:rPr>
                <w:rFonts w:hint="eastAsia" w:ascii="Times New Roman" w:cs="Times New Roman"/>
                <w:b/>
                <w:bCs/>
                <w:color w:val="000000" w:themeColor="text1"/>
                <w:sz w:val="24"/>
                <w:szCs w:val="24"/>
                <w:highlight w:val="none"/>
                <w:lang w:val="en-US" w:eastAsia="zh-CN"/>
                <w14:textFill>
                  <w14:solidFill>
                    <w14:schemeClr w14:val="tx1"/>
                  </w14:solidFill>
                </w14:textFill>
              </w:rPr>
              <w:t>⑤</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废</w:t>
            </w:r>
            <w:r>
              <w:rPr>
                <w:rFonts w:hint="default" w:ascii="Times New Roman" w:hAnsi="Times New Roman" w:cs="Times New Roman"/>
                <w:b/>
                <w:bCs/>
                <w:color w:val="000000" w:themeColor="text1"/>
                <w:sz w:val="24"/>
                <w:szCs w:val="24"/>
                <w:highlight w:val="none"/>
                <w14:textFill>
                  <w14:solidFill>
                    <w14:schemeClr w14:val="tx1"/>
                  </w14:solidFill>
                </w14:textFill>
              </w:rPr>
              <w:t>pH调整剂</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包装桶</w:t>
            </w:r>
          </w:p>
          <w:p w14:paraId="24BCDD7D">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项目自建污水处理站使用</w:t>
            </w:r>
            <w:r>
              <w:rPr>
                <w:rFonts w:hint="default" w:ascii="Times New Roman" w:hAnsi="Times New Roman" w:cs="Times New Roman"/>
                <w:b w:val="0"/>
                <w:bCs w:val="0"/>
                <w:color w:val="000000" w:themeColor="text1"/>
                <w:sz w:val="24"/>
                <w:szCs w:val="24"/>
                <w:highlight w:val="none"/>
                <w14:textFill>
                  <w14:solidFill>
                    <w14:schemeClr w14:val="tx1"/>
                  </w14:solidFill>
                </w14:textFill>
              </w:rPr>
              <w:t>pH调整剂</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调节废水</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pH（70%硫酸），故会产生</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废</w:t>
            </w:r>
            <w:r>
              <w:rPr>
                <w:rFonts w:hint="default" w:ascii="Times New Roman" w:hAnsi="Times New Roman" w:cs="Times New Roman"/>
                <w:b w:val="0"/>
                <w:bCs w:val="0"/>
                <w:color w:val="000000" w:themeColor="text1"/>
                <w:sz w:val="24"/>
                <w:szCs w:val="24"/>
                <w:highlight w:val="none"/>
                <w14:textFill>
                  <w14:solidFill>
                    <w14:schemeClr w14:val="tx1"/>
                  </w14:solidFill>
                </w14:textFill>
              </w:rPr>
              <w:t>pH调整剂</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包装桶，项目年使用</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0.2吨</w:t>
            </w:r>
            <w:r>
              <w:rPr>
                <w:rFonts w:hint="default" w:ascii="Times New Roman" w:hAnsi="Times New Roman" w:cs="Times New Roman"/>
                <w:b w:val="0"/>
                <w:bCs w:val="0"/>
                <w:color w:val="000000" w:themeColor="text1"/>
                <w:sz w:val="24"/>
                <w:szCs w:val="24"/>
                <w:highlight w:val="none"/>
                <w14:textFill>
                  <w14:solidFill>
                    <w14:schemeClr w14:val="tx1"/>
                  </w14:solidFill>
                </w14:textFill>
              </w:rPr>
              <w:t>pH调整剂</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包装规格为25kg/桶，年使用8桶，单个废桶重1kg，故会产生</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废</w:t>
            </w:r>
            <w:r>
              <w:rPr>
                <w:rFonts w:hint="default" w:ascii="Times New Roman" w:hAnsi="Times New Roman" w:cs="Times New Roman"/>
                <w:b w:val="0"/>
                <w:bCs w:val="0"/>
                <w:color w:val="000000" w:themeColor="text1"/>
                <w:sz w:val="24"/>
                <w:szCs w:val="24"/>
                <w:highlight w:val="none"/>
                <w14:textFill>
                  <w14:solidFill>
                    <w14:schemeClr w14:val="tx1"/>
                  </w14:solidFill>
                </w14:textFill>
              </w:rPr>
              <w:t>pH调整剂</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包装桶</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0.008t/a。</w:t>
            </w:r>
            <w:r>
              <w:rPr>
                <w:rFonts w:hint="default" w:ascii="Times New Roman" w:hAnsi="Times New Roman" w:cs="Times New Roman"/>
                <w:color w:val="000000" w:themeColor="text1"/>
                <w:sz w:val="24"/>
                <w:szCs w:val="24"/>
                <w:highlight w:val="none"/>
                <w14:textFill>
                  <w14:solidFill>
                    <w14:schemeClr w14:val="tx1"/>
                  </w14:solidFill>
                </w14:textFill>
              </w:rPr>
              <w:t>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废</w:t>
            </w:r>
            <w:r>
              <w:rPr>
                <w:rFonts w:hint="default" w:ascii="Times New Roman" w:hAnsi="Times New Roman" w:cs="Times New Roman"/>
                <w:b w:val="0"/>
                <w:bCs w:val="0"/>
                <w:color w:val="000000" w:themeColor="text1"/>
                <w:sz w:val="24"/>
                <w:szCs w:val="24"/>
                <w:highlight w:val="none"/>
                <w14:textFill>
                  <w14:solidFill>
                    <w14:schemeClr w14:val="tx1"/>
                  </w14:solidFill>
                </w14:textFill>
              </w:rPr>
              <w:t>pH调整剂</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包装</w:t>
            </w:r>
            <w:r>
              <w:rPr>
                <w:rFonts w:hint="default" w:ascii="Times New Roman" w:hAnsi="Times New Roman" w:cs="Times New Roman"/>
                <w:color w:val="000000" w:themeColor="text1"/>
                <w:sz w:val="24"/>
                <w:szCs w:val="24"/>
                <w:highlight w:val="none"/>
                <w14:textFill>
                  <w14:solidFill>
                    <w14:schemeClr w14:val="tx1"/>
                  </w14:solidFill>
                </w14:textFill>
              </w:rPr>
              <w:t>桶属于</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中编号为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HW49其他废物</w:t>
            </w:r>
            <w:r>
              <w:rPr>
                <w:rFonts w:hint="default" w:ascii="Times New Roman" w:hAnsi="Times New Roman" w:cs="Times New Roman"/>
                <w:color w:val="000000" w:themeColor="text1"/>
                <w:sz w:val="24"/>
                <w:szCs w:val="24"/>
                <w:highlight w:val="none"/>
                <w14:textFill>
                  <w14:solidFill>
                    <w14:schemeClr w14:val="tx1"/>
                  </w14:solidFill>
                </w14:textFill>
              </w:rPr>
              <w:t>，废物代码</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900-041-49</w:t>
            </w:r>
            <w:r>
              <w:rPr>
                <w:rFonts w:hint="default" w:ascii="Times New Roman" w:hAnsi="Times New Roman" w:cs="Times New Roman"/>
                <w:color w:val="000000" w:themeColor="text1"/>
                <w:sz w:val="24"/>
                <w:szCs w:val="24"/>
                <w:highlight w:val="none"/>
                <w14:textFill>
                  <w14:solidFill>
                    <w14:schemeClr w14:val="tx1"/>
                  </w14:solidFill>
                </w14:textFill>
              </w:rPr>
              <w:t>，经统一收集后交由有危险废物处理资质的单位处理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2CAE2EE7">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⑥</w:t>
            </w:r>
            <w:r>
              <w:rPr>
                <w:rFonts w:hint="default" w:ascii="Times New Roman" w:hAnsi="Times New Roman" w:cs="Times New Roman"/>
                <w:b/>
                <w:bCs/>
                <w:color w:val="000000" w:themeColor="text1"/>
                <w:sz w:val="24"/>
                <w:szCs w:val="24"/>
                <w:highlight w:val="none"/>
                <w14:textFill>
                  <w14:solidFill>
                    <w14:schemeClr w14:val="tx1"/>
                  </w14:solidFill>
                </w14:textFill>
              </w:rPr>
              <w:t>废机油桶</w:t>
            </w:r>
          </w:p>
          <w:p w14:paraId="2BC65C7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保养设备设施会用到机油，用量很少，润滑油规格有：200L/桶（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本项目使用4</w:t>
            </w:r>
            <w:r>
              <w:rPr>
                <w:rFonts w:hint="default" w:ascii="Times New Roman" w:hAnsi="Times New Roman" w:cs="Times New Roman"/>
                <w:color w:val="000000" w:themeColor="text1"/>
                <w:sz w:val="24"/>
                <w:szCs w:val="24"/>
                <w:highlight w:val="none"/>
                <w14:textFill>
                  <w14:solidFill>
                    <w14:schemeClr w14:val="tx1"/>
                  </w14:solidFill>
                </w14:textFill>
              </w:rPr>
              <w:t>桶），润滑油空桶按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kg/桶计算。则本项目产生废机油空桶约0.0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2t</w:t>
            </w:r>
            <w:r>
              <w:rPr>
                <w:rFonts w:hint="default" w:ascii="Times New Roman" w:hAnsi="Times New Roman" w:cs="Times New Roman"/>
                <w:color w:val="000000" w:themeColor="text1"/>
                <w:sz w:val="24"/>
                <w:szCs w:val="24"/>
                <w:highlight w:val="none"/>
                <w14:textFill>
                  <w14:solidFill>
                    <w14:schemeClr w14:val="tx1"/>
                  </w14:solidFill>
                </w14:textFill>
              </w:rPr>
              <w:t>/a。根据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，废机油空桶属于</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中编号为HW08废矿物油与含矿物油废物，废物代码900-249-08</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其他生产、销售、使用过程中产生的废矿物油及沾染矿物油的废弃包装物”危险废物，经统一收集后交由有危险废物处理资质的单位处理。</w:t>
            </w:r>
          </w:p>
          <w:p w14:paraId="1F85CAE2">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⑦</w:t>
            </w:r>
            <w:r>
              <w:rPr>
                <w:rFonts w:hint="default" w:ascii="Times New Roman" w:hAnsi="Times New Roman" w:cs="Times New Roman"/>
                <w:b/>
                <w:bCs/>
                <w:color w:val="000000" w:themeColor="text1"/>
                <w:sz w:val="24"/>
                <w:szCs w:val="24"/>
                <w:highlight w:val="none"/>
                <w14:textFill>
                  <w14:solidFill>
                    <w14:schemeClr w14:val="tx1"/>
                  </w14:solidFill>
                </w14:textFill>
              </w:rPr>
              <w:t>废机油</w:t>
            </w:r>
          </w:p>
          <w:p w14:paraId="530540EB">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本项目在进行设备保养的过程中会产生废机油，废机油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年产量约为</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0.80t/a</w:t>
            </w:r>
            <w:r>
              <w:rPr>
                <w:rFonts w:hint="default" w:ascii="Times New Roman" w:hAnsi="Times New Roman" w:cs="Times New Roman"/>
                <w:color w:val="000000" w:themeColor="text1"/>
                <w:sz w:val="24"/>
                <w:szCs w:val="24"/>
                <w:highlight w:val="none"/>
                <w14:textFill>
                  <w14:solidFill>
                    <w14:schemeClr w14:val="tx1"/>
                  </w14:solidFill>
                </w14:textFill>
              </w:rPr>
              <w:t>，根据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，废机油属于“HW08废矿物油与含矿物油废物”类别中代码为900-249-08“其他生产、销售、使用过程中产生的废矿物油及沾染矿物油的废弃包装物”危险废物，经统一收集后交由有危险废物处理资质的单位处理。</w:t>
            </w:r>
          </w:p>
          <w:p w14:paraId="547CE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⑧</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废含油抹布</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手套</w:t>
            </w:r>
          </w:p>
          <w:p w14:paraId="1C243905">
            <w:pPr>
              <w:pStyle w:val="2"/>
              <w:keepNext w:val="0"/>
              <w:keepLines w:val="0"/>
              <w:suppressLineNumbers w:val="0"/>
              <w:spacing w:before="0" w:beforeAutospacing="0" w:after="0" w:afterAutospacing="0" w:line="360" w:lineRule="auto"/>
              <w:ind w:left="0" w:right="0" w:firstLine="480" w:firstLineChars="200"/>
              <w:rPr>
                <w:rFonts w:hint="default"/>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项目生产过程中会产生一定量的含矿物油废抹布及手套，根据建设单位提供的资料，其产生量约0.05t/a，根据《国家危险废物名录（2025年版）》，废含油抹布及手套（</w:t>
            </w:r>
            <w:r>
              <w:rPr>
                <w:rFonts w:hint="eastAsia" w:ascii="Times New Roman" w:cs="Times New Roman"/>
                <w:color w:val="000000" w:themeColor="text1"/>
                <w:sz w:val="24"/>
                <w:szCs w:val="24"/>
                <w:highlight w:val="none"/>
                <w:lang w:val="en-US" w:eastAsia="zh-CN"/>
                <w14:textFill>
                  <w14:solidFill>
                    <w14:schemeClr w14:val="tx1"/>
                  </w14:solidFill>
                </w14:textFill>
              </w:rPr>
              <w:t>废物代码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900-041-49）在满足特定条件时可豁免管理，但本项目为从严管理，仍将其作为危险废物进行全过程管理。</w:t>
            </w:r>
          </w:p>
          <w:p w14:paraId="590CE40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⑨</w:t>
            </w:r>
            <w:r>
              <w:rPr>
                <w:rFonts w:hint="default" w:ascii="Times New Roman" w:hAnsi="Times New Roman" w:cs="Times New Roman"/>
                <w:b/>
                <w:bCs/>
                <w:color w:val="000000" w:themeColor="text1"/>
                <w:sz w:val="24"/>
                <w:szCs w:val="24"/>
                <w:highlight w:val="none"/>
                <w14:textFill>
                  <w14:solidFill>
                    <w14:schemeClr w14:val="tx1"/>
                  </w14:solidFill>
                </w14:textFill>
              </w:rPr>
              <w:t>废液压油桶</w:t>
            </w:r>
          </w:p>
          <w:p w14:paraId="1F3E4B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本项目自动化冲床设备需用到液压油，用量很少，液压油规格有：200L/桶（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本项目使用3</w:t>
            </w:r>
            <w:r>
              <w:rPr>
                <w:rFonts w:hint="default" w:ascii="Times New Roman" w:hAnsi="Times New Roman" w:cs="Times New Roman"/>
                <w:color w:val="000000" w:themeColor="text1"/>
                <w:sz w:val="24"/>
                <w:szCs w:val="24"/>
                <w:highlight w:val="none"/>
                <w14:textFill>
                  <w14:solidFill>
                    <w14:schemeClr w14:val="tx1"/>
                  </w14:solidFill>
                </w14:textFill>
              </w:rPr>
              <w:t>桶），液压油空桶按</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kg/桶计算。则本项目产生废液压油空桶约0.0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15</w:t>
            </w:r>
            <w:r>
              <w:rPr>
                <w:rFonts w:hint="default" w:ascii="Times New Roman" w:hAnsi="Times New Roman" w:cs="Times New Roman"/>
                <w:color w:val="000000" w:themeColor="text1"/>
                <w:sz w:val="24"/>
                <w:szCs w:val="24"/>
                <w:highlight w:val="none"/>
                <w14:textFill>
                  <w14:solidFill>
                    <w14:schemeClr w14:val="tx1"/>
                  </w14:solidFill>
                </w14:textFill>
              </w:rPr>
              <w:t>t/a。根据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，废液压油空桶属于</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中编号为为900-249-08“其他生产、销售、使用过程中产生的废矿物油及沾染矿物油的废弃包装物”危险废物，经统一收集后交由有危险废物处理资质的单位处理。</w:t>
            </w:r>
          </w:p>
          <w:p w14:paraId="472666A0">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⑩</w:t>
            </w:r>
            <w:r>
              <w:rPr>
                <w:rFonts w:hint="default" w:ascii="Times New Roman" w:hAnsi="Times New Roman" w:cs="Times New Roman"/>
                <w:b/>
                <w:bCs/>
                <w:color w:val="000000" w:themeColor="text1"/>
                <w:sz w:val="24"/>
                <w:szCs w:val="24"/>
                <w:highlight w:val="none"/>
                <w14:textFill>
                  <w14:solidFill>
                    <w14:schemeClr w14:val="tx1"/>
                  </w14:solidFill>
                </w14:textFill>
              </w:rPr>
              <w:t>废液压油</w:t>
            </w:r>
          </w:p>
          <w:p w14:paraId="7F79A0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本项目自动化冲床设备需用到液压油，则会产生少量废液压油，废液压油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年产生量</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约为0.60t/a</w:t>
            </w:r>
            <w:r>
              <w:rPr>
                <w:rFonts w:hint="default" w:ascii="Times New Roman" w:hAnsi="Times New Roman" w:cs="Times New Roman"/>
                <w:color w:val="000000" w:themeColor="text1"/>
                <w:sz w:val="24"/>
                <w:szCs w:val="24"/>
                <w:highlight w:val="none"/>
                <w14:textFill>
                  <w14:solidFill>
                    <w14:schemeClr w14:val="tx1"/>
                  </w14:solidFill>
                </w14:textFill>
              </w:rPr>
              <w:t>，根据</w:t>
            </w:r>
            <w:r>
              <w:rPr>
                <w:rFonts w:hint="default" w:ascii="Times New Roman" w:hAnsi="Times New Roman" w:cs="Times New Roman"/>
                <w:color w:val="000000" w:themeColor="text1"/>
                <w:sz w:val="24"/>
                <w:szCs w:val="24"/>
                <w:highlight w:val="none"/>
                <w:lang w:eastAsia="zh-CN"/>
                <w14:textFill>
                  <w14:solidFill>
                    <w14:schemeClr w14:val="tx1"/>
                  </w14:solidFill>
                </w14:textFill>
              </w:rPr>
              <w:t>《国家危险废物名录》（2025年版）</w:t>
            </w:r>
            <w:r>
              <w:rPr>
                <w:rFonts w:hint="default" w:ascii="Times New Roman" w:hAnsi="Times New Roman" w:cs="Times New Roman"/>
                <w:color w:val="000000" w:themeColor="text1"/>
                <w:sz w:val="24"/>
                <w:szCs w:val="24"/>
                <w:highlight w:val="none"/>
                <w14:textFill>
                  <w14:solidFill>
                    <w14:schemeClr w14:val="tx1"/>
                  </w14:solidFill>
                </w14:textFill>
              </w:rPr>
              <w:t>，废液压油属于“HW08废矿物油与含矿物油废物”类别中代码HW08废矿物油与含矿物油废物，废物代码900-2</w:t>
            </w:r>
            <w:r>
              <w:rPr>
                <w:rFonts w:hint="eastAsia" w:cs="Times New Roman"/>
                <w:color w:val="000000" w:themeColor="text1"/>
                <w:sz w:val="24"/>
                <w:szCs w:val="24"/>
                <w:highlight w:val="none"/>
                <w:lang w:val="en-US" w:eastAsia="zh-CN"/>
                <w14:textFill>
                  <w14:solidFill>
                    <w14:schemeClr w14:val="tx1"/>
                  </w14:solidFill>
                </w14:textFill>
              </w:rPr>
              <w:t>18</w:t>
            </w:r>
            <w:r>
              <w:rPr>
                <w:rFonts w:hint="default" w:ascii="Times New Roman" w:hAnsi="Times New Roman" w:cs="Times New Roman"/>
                <w:color w:val="000000" w:themeColor="text1"/>
                <w:sz w:val="24"/>
                <w:szCs w:val="24"/>
                <w:highlight w:val="none"/>
                <w14:textFill>
                  <w14:solidFill>
                    <w14:schemeClr w14:val="tx1"/>
                  </w14:solidFill>
                </w14:textFill>
              </w:rPr>
              <w:t>-08</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“液压设备维护、更换和拆解过程中产生的废液压油</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危险废物，经统一收集后交由有危险废物处理资质的单位处理。</w:t>
            </w:r>
          </w:p>
          <w:p w14:paraId="23CF0FD8">
            <w:pPr>
              <w:pStyle w:val="158"/>
              <w:pageBreakBefore w:val="0"/>
              <w:wordWrap w:val="0"/>
              <w:topLinePunct/>
              <w:bidi w:val="0"/>
              <w:snapToGrid/>
              <w:spacing w:beforeAutospacing="0" w:afterAutospacing="0"/>
              <w:ind w:firstLine="482"/>
              <w:rPr>
                <w:b/>
                <w:bCs/>
                <w:color w:val="000000" w:themeColor="text1"/>
                <w14:textFill>
                  <w14:solidFill>
                    <w14:schemeClr w14:val="tx1"/>
                  </w14:solidFill>
                </w14:textFill>
              </w:rPr>
            </w:pPr>
            <w:r>
              <w:rPr>
                <w:rFonts w:hint="eastAsia" w:ascii="Times New Roman" w:cs="Times New Roman"/>
                <w:b/>
                <w:bCs/>
                <w:color w:val="000000" w:themeColor="text1"/>
                <w:sz w:val="24"/>
                <w:szCs w:val="24"/>
                <w:highlight w:val="none"/>
                <w:lang w:val="en-US" w:eastAsia="zh-CN"/>
                <w14:textFill>
                  <w14:solidFill>
                    <w14:schemeClr w14:val="tx1"/>
                  </w14:solidFill>
                </w14:textFill>
              </w:rPr>
              <w:fldChar w:fldCharType="begin"/>
            </w:r>
            <w:r>
              <w:rPr>
                <w:rFonts w:hint="eastAsia" w:ascii="Times New Roman" w:cs="Times New Roman"/>
                <w:b/>
                <w:bCs/>
                <w:color w:val="000000" w:themeColor="text1"/>
                <w:sz w:val="24"/>
                <w:szCs w:val="24"/>
                <w:highlight w:val="none"/>
                <w:lang w:val="en-US" w:eastAsia="zh-CN"/>
                <w14:textFill>
                  <w14:solidFill>
                    <w14:schemeClr w14:val="tx1"/>
                  </w14:solidFill>
                </w14:textFill>
              </w:rPr>
              <w:instrText xml:space="preserve"> EQ \o\ac(</w:instrText>
            </w:r>
            <w:r>
              <w:rPr>
                <w:rFonts w:hint="eastAsia" w:ascii="Times New Roman" w:cs="Times New Roman"/>
                <w:b/>
                <w:bCs/>
                <w:color w:val="000000" w:themeColor="text1"/>
                <w:spacing w:val="0"/>
                <w:kern w:val="2"/>
                <w:sz w:val="24"/>
                <w:szCs w:val="24"/>
                <w:highlight w:val="none"/>
                <w:lang w:val="en-US" w:eastAsia="zh-CN" w:bidi="ar-SA"/>
                <w14:textFill>
                  <w14:solidFill>
                    <w14:schemeClr w14:val="tx1"/>
                  </w14:solidFill>
                </w14:textFill>
              </w:rPr>
              <w:instrText xml:space="preserve">○</w:instrText>
            </w:r>
            <w:r>
              <w:rPr>
                <w:rFonts w:hint="eastAsia" w:ascii="Times New Roman" w:cs="Times New Roman"/>
                <w:b/>
                <w:bCs/>
                <w:color w:val="000000" w:themeColor="text1"/>
                <w:sz w:val="24"/>
                <w:szCs w:val="24"/>
                <w:highlight w:val="none"/>
                <w:lang w:val="en-US" w:eastAsia="zh-CN"/>
                <w14:textFill>
                  <w14:solidFill>
                    <w14:schemeClr w14:val="tx1"/>
                  </w14:solidFill>
                </w14:textFill>
              </w:rPr>
              <w:instrText xml:space="preserve">,</w:instrText>
            </w:r>
            <w:r>
              <w:rPr>
                <w:rFonts w:hint="eastAsia" w:ascii="Times New Roman" w:cs="Times New Roman"/>
                <w:b/>
                <w:bCs/>
                <w:color w:val="000000" w:themeColor="text1"/>
                <w:spacing w:val="0"/>
                <w:kern w:val="2"/>
                <w:position w:val="3"/>
                <w:sz w:val="16"/>
                <w:szCs w:val="24"/>
                <w:highlight w:val="none"/>
                <w:lang w:val="en-US" w:eastAsia="zh-CN" w:bidi="ar-SA"/>
                <w14:textFill>
                  <w14:solidFill>
                    <w14:schemeClr w14:val="tx1"/>
                  </w14:solidFill>
                </w14:textFill>
              </w:rPr>
              <w:instrText xml:space="preserve">11</w:instrText>
            </w:r>
            <w:r>
              <w:rPr>
                <w:rFonts w:hint="eastAsia" w:ascii="Times New Roman" w:cs="Times New Roman"/>
                <w:b/>
                <w:bCs/>
                <w:color w:val="000000" w:themeColor="text1"/>
                <w:sz w:val="24"/>
                <w:szCs w:val="24"/>
                <w:highlight w:val="none"/>
                <w:lang w:val="en-US" w:eastAsia="zh-CN"/>
                <w14:textFill>
                  <w14:solidFill>
                    <w14:schemeClr w14:val="tx1"/>
                  </w14:solidFill>
                </w14:textFill>
              </w:rPr>
              <w:instrText xml:space="preserve">)</w:instrText>
            </w:r>
            <w:r>
              <w:rPr>
                <w:rFonts w:hint="eastAsia" w:ascii="Times New Roman" w:cs="Times New Roman"/>
                <w:b/>
                <w:bCs/>
                <w:color w:val="000000" w:themeColor="text1"/>
                <w:sz w:val="24"/>
                <w:szCs w:val="24"/>
                <w:highlight w:val="none"/>
                <w:lang w:val="en-US" w:eastAsia="zh-CN"/>
                <w14:textFill>
                  <w14:solidFill>
                    <w14:schemeClr w14:val="tx1"/>
                  </w14:solidFill>
                </w14:textFill>
              </w:rPr>
              <w:fldChar w:fldCharType="end"/>
            </w:r>
            <w:r>
              <w:rPr>
                <w:b/>
                <w:bCs/>
                <w:color w:val="000000" w:themeColor="text1"/>
                <w14:textFill>
                  <w14:solidFill>
                    <w14:schemeClr w14:val="tx1"/>
                  </w14:solidFill>
                </w14:textFill>
              </w:rPr>
              <w:t>废原料桶</w:t>
            </w:r>
          </w:p>
          <w:p w14:paraId="7A6F9362">
            <w:pPr>
              <w:pStyle w:val="158"/>
              <w:pageBreakBefore w:val="0"/>
              <w:wordWrap w:val="0"/>
              <w:topLinePunct/>
              <w:bidi w:val="0"/>
              <w:snapToGrid/>
              <w:spacing w:beforeAutospacing="0" w:afterAutospacing="0"/>
              <w:ind w:firstLine="480"/>
              <w:rPr>
                <w:color w:val="000000" w:themeColor="text1"/>
                <w14:textFill>
                  <w14:solidFill>
                    <w14:schemeClr w14:val="tx1"/>
                  </w14:solidFill>
                </w14:textFill>
              </w:rPr>
            </w:pPr>
            <w:r>
              <w:rPr>
                <w:color w:val="000000" w:themeColor="text1"/>
                <w14:textFill>
                  <w14:solidFill>
                    <w14:schemeClr w14:val="tx1"/>
                  </w14:solidFill>
                </w14:textFill>
              </w:rPr>
              <w:t>本项目生产</w:t>
            </w:r>
            <w:r>
              <w:rPr>
                <w:rFonts w:hint="eastAsia"/>
                <w:color w:val="000000" w:themeColor="text1"/>
                <w14:textFill>
                  <w14:solidFill>
                    <w14:schemeClr w14:val="tx1"/>
                  </w14:solidFill>
                </w14:textFill>
              </w:rPr>
              <w:t>过程</w:t>
            </w:r>
            <w:r>
              <w:rPr>
                <w:color w:val="000000" w:themeColor="text1"/>
                <w14:textFill>
                  <w14:solidFill>
                    <w14:schemeClr w14:val="tx1"/>
                  </w14:solidFill>
                </w14:textFill>
              </w:rPr>
              <w:t>使用的原辅材料会产生废原料桶，根据前文主要原辅材料包装规格，合计废原料桶年产量约为</w:t>
            </w:r>
            <w:r>
              <w:rPr>
                <w:rFonts w:hint="eastAsia"/>
                <w:color w:val="000000" w:themeColor="text1"/>
                <w:lang w:val="en-US" w:eastAsia="zh-CN"/>
                <w14:textFill>
                  <w14:solidFill>
                    <w14:schemeClr w14:val="tx1"/>
                  </w14:solidFill>
                </w14:textFill>
              </w:rPr>
              <w:t>0.062</w:t>
            </w:r>
            <w:r>
              <w:rPr>
                <w:color w:val="000000" w:themeColor="text1"/>
                <w14:textFill>
                  <w14:solidFill>
                    <w14:schemeClr w14:val="tx1"/>
                  </w14:solidFill>
                </w14:textFill>
              </w:rPr>
              <w:t>t/a</w:t>
            </w:r>
            <w:r>
              <w:rPr>
                <w:rFonts w:hint="eastAsia"/>
                <w:color w:val="000000" w:themeColor="text1"/>
                <w:lang w:eastAsia="zh-CN"/>
                <w14:textFill>
                  <w14:solidFill>
                    <w14:schemeClr w14:val="tx1"/>
                  </w14:solidFill>
                </w14:textFill>
              </w:rPr>
              <w:t>（</w:t>
            </w:r>
            <w:r>
              <w:rPr>
                <w:rFonts w:hint="eastAsia" w:cs="Times New Roman"/>
                <w:color w:val="000000" w:themeColor="text1"/>
                <w:kern w:val="0"/>
                <w:sz w:val="24"/>
                <w:szCs w:val="24"/>
                <w:highlight w:val="none"/>
                <w:lang w:val="en-US" w:eastAsia="zh-CN" w:bidi="ar-SA"/>
                <w14:textFill>
                  <w14:solidFill>
                    <w14:schemeClr w14:val="tx1"/>
                  </w14:solidFill>
                </w14:textFill>
              </w:rPr>
              <w:t>123</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个，废空桶平均重0.5kg/个）</w:t>
            </w:r>
            <w:r>
              <w:rPr>
                <w:color w:val="000000" w:themeColor="text1"/>
                <w:kern w:val="0"/>
                <w14:textFill>
                  <w14:solidFill>
                    <w14:schemeClr w14:val="tx1"/>
                  </w14:solidFill>
                </w14:textFill>
              </w:rPr>
              <w:t>属于《国家危险废物名录》（202</w:t>
            </w:r>
            <w:r>
              <w:rPr>
                <w:rFonts w:hint="eastAsia"/>
                <w:color w:val="000000" w:themeColor="text1"/>
                <w:kern w:val="0"/>
                <w:lang w:val="en-US" w:eastAsia="zh-CN"/>
                <w14:textFill>
                  <w14:solidFill>
                    <w14:schemeClr w14:val="tx1"/>
                  </w14:solidFill>
                </w14:textFill>
              </w:rPr>
              <w:t>5</w:t>
            </w:r>
            <w:r>
              <w:rPr>
                <w:color w:val="000000" w:themeColor="text1"/>
                <w:kern w:val="0"/>
                <w14:textFill>
                  <w14:solidFill>
                    <w14:schemeClr w14:val="tx1"/>
                  </w14:solidFill>
                </w14:textFill>
              </w:rPr>
              <w:t>年版）中“HW49 其他废物”，废物代码 900-041-49。收集后交由有相应危险废物处理资质的单位处理。</w:t>
            </w:r>
          </w:p>
          <w:p w14:paraId="332FCB7B">
            <w:pPr>
              <w:keepNext/>
              <w:keepLines/>
              <w:pageBreakBefore w:val="0"/>
              <w:widowControl w:val="0"/>
              <w:numPr>
                <w:ilvl w:val="5"/>
                <w:numId w:val="0"/>
              </w:numPr>
              <w:wordWrap w:val="0"/>
              <w:overflowPunct/>
              <w:bidi w:val="0"/>
              <w:spacing w:line="360" w:lineRule="auto"/>
              <w:ind w:firstLine="422" w:firstLineChars="200"/>
              <w:jc w:val="both"/>
              <w:outlineLvl w:val="5"/>
              <w:rPr>
                <w:rFonts w:hint="eastAsia" w:cs="Times New Roman"/>
                <w:b/>
                <w:bCs/>
                <w:color w:val="000000" w:themeColor="text1"/>
                <w:kern w:val="2"/>
                <w:sz w:val="24"/>
                <w:szCs w:val="24"/>
                <w:highlight w:val="none"/>
                <w:lang w:val="en-US" w:eastAsia="zh-CN" w:bidi="ar-SA"/>
                <w14:textFill>
                  <w14:solidFill>
                    <w14:schemeClr w14:val="tx1"/>
                  </w14:solidFill>
                </w14:textFill>
              </w:rPr>
            </w:pPr>
            <w:bookmarkStart w:id="33" w:name="_Toc29014"/>
            <w:r>
              <w:rPr>
                <w:rFonts w:hint="eastAsia"/>
                <w:b/>
                <w:bCs/>
                <w:color w:val="000000" w:themeColor="text1"/>
                <w:lang w:val="en-US" w:eastAsia="zh-CN"/>
                <w14:textFill>
                  <w14:solidFill>
                    <w14:schemeClr w14:val="tx1"/>
                  </w14:solidFill>
                </w14:textFill>
              </w:rPr>
              <w:fldChar w:fldCharType="begin"/>
            </w:r>
            <w:r>
              <w:rPr>
                <w:rFonts w:hint="eastAsia"/>
                <w:b/>
                <w:bCs/>
                <w:color w:val="000000" w:themeColor="text1"/>
                <w:lang w:val="en-US" w:eastAsia="zh-CN"/>
                <w14:textFill>
                  <w14:solidFill>
                    <w14:schemeClr w14:val="tx1"/>
                  </w14:solidFill>
                </w14:textFill>
              </w:rPr>
              <w:instrText xml:space="preserve"> EQ \o\ac(</w:instrText>
            </w:r>
            <w:r>
              <w:rPr>
                <w:rFonts w:hint="eastAsia"/>
                <w:b/>
                <w:bCs/>
                <w:color w:val="000000" w:themeColor="text1"/>
                <w:spacing w:val="0"/>
                <w:kern w:val="2"/>
                <w:sz w:val="24"/>
                <w:szCs w:val="24"/>
                <w:lang w:val="en-US" w:eastAsia="zh-CN" w:bidi="ar-SA"/>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spacing w:val="0"/>
                <w:kern w:val="2"/>
                <w:position w:val="3"/>
                <w:sz w:val="16"/>
                <w:szCs w:val="24"/>
                <w:lang w:val="en-US" w:eastAsia="zh-CN" w:bidi="ar-SA"/>
                <w14:textFill>
                  <w14:solidFill>
                    <w14:schemeClr w14:val="tx1"/>
                  </w14:solidFill>
                </w14:textFill>
              </w:rPr>
              <w:instrText xml:space="preserve">12</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fldChar w:fldCharType="end"/>
            </w:r>
            <w:r>
              <w:rPr>
                <w:rFonts w:hint="eastAsia" w:cs="Times New Roman"/>
                <w:b/>
                <w:bCs/>
                <w:color w:val="000000" w:themeColor="text1"/>
                <w:kern w:val="2"/>
                <w:sz w:val="24"/>
                <w:szCs w:val="24"/>
                <w:highlight w:val="none"/>
                <w:lang w:val="en-US" w:eastAsia="zh-CN" w:bidi="ar-SA"/>
                <w14:textFill>
                  <w14:solidFill>
                    <w14:schemeClr w14:val="tx1"/>
                  </w14:solidFill>
                </w14:textFill>
              </w:rPr>
              <w:t>喷淋废液及沉渣</w:t>
            </w:r>
          </w:p>
          <w:p w14:paraId="3FC0E322">
            <w:pPr>
              <w:pStyle w:val="158"/>
              <w:pageBreakBefore w:val="0"/>
              <w:wordWrap w:val="0"/>
              <w:topLinePunct/>
              <w:bidi w:val="0"/>
              <w:snapToGrid/>
              <w:spacing w:beforeAutospacing="0" w:afterAutospacing="0"/>
              <w:ind w:firstLine="480"/>
              <w:rPr>
                <w:rFonts w:hint="default" w:eastAsia="宋体"/>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喷涂过程产生的沉渣按漆雾削减量</w:t>
            </w:r>
            <w:r>
              <w:rPr>
                <w:rFonts w:hint="eastAsia" w:cs="Times New Roman"/>
                <w:color w:val="000000" w:themeColor="text1"/>
                <w:kern w:val="2"/>
                <w:sz w:val="24"/>
                <w:szCs w:val="21"/>
                <w:highlight w:val="none"/>
                <w:lang w:val="en-US" w:eastAsia="zh-CN" w:bidi="ar-SA"/>
                <w14:textFill>
                  <w14:solidFill>
                    <w14:schemeClr w14:val="tx1"/>
                  </w14:solidFill>
                </w14:textFill>
              </w:rPr>
              <w:t>50%</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核算</w:t>
            </w:r>
            <w:r>
              <w:rPr>
                <w:rFonts w:hint="eastAsia" w:cs="Times New Roman"/>
                <w:color w:val="000000" w:themeColor="text1"/>
                <w:kern w:val="2"/>
                <w:sz w:val="24"/>
                <w:szCs w:val="21"/>
                <w:highlight w:val="none"/>
                <w:lang w:val="en-US" w:eastAsia="zh-CN" w:bidi="ar-SA"/>
                <w14:textFill>
                  <w14:solidFill>
                    <w14:schemeClr w14:val="tx1"/>
                  </w14:solidFill>
                </w14:textFill>
              </w:rPr>
              <w:t>，即1.091t/a</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根据前文计算，水帘柜喷淋废水和喷淋塔废水产生量为194.4+33.6=228t/a。合计喷淋废液及沉渣产生量为229.091t/a。</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根据《国家危险废物名录》（202</w:t>
            </w:r>
            <w:r>
              <w:rPr>
                <w:rFonts w:hint="eastAsia" w:cs="Times New Roman"/>
                <w:color w:val="000000" w:themeColor="text1"/>
                <w:kern w:val="2"/>
                <w:sz w:val="24"/>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年版），</w:t>
            </w:r>
            <w:r>
              <w:rPr>
                <w:rFonts w:hint="eastAsia" w:cs="Times New Roman"/>
                <w:color w:val="000000" w:themeColor="text1"/>
                <w:kern w:val="2"/>
                <w:sz w:val="24"/>
                <w:szCs w:val="21"/>
                <w:highlight w:val="none"/>
                <w:lang w:val="en-US" w:eastAsia="zh-CN" w:bidi="ar-SA"/>
                <w14:textFill>
                  <w14:solidFill>
                    <w14:schemeClr w14:val="tx1"/>
                  </w14:solidFill>
                </w14:textFill>
              </w:rPr>
              <w:t>喷淋废液及沉渣的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 xml:space="preserve">废物类别为HW12， </w:t>
            </w:r>
            <w:r>
              <w:rPr>
                <w:rFonts w:hint="eastAsia" w:cs="Times New Roman"/>
                <w:color w:val="000000" w:themeColor="text1"/>
                <w:kern w:val="2"/>
                <w:sz w:val="24"/>
                <w:szCs w:val="24"/>
                <w:highlight w:val="none"/>
                <w:lang w:val="en-US" w:eastAsia="zh-CN" w:bidi="ar-SA"/>
                <w14:textFill>
                  <w14:solidFill>
                    <w14:schemeClr w14:val="tx1"/>
                  </w14:solidFill>
                </w14:textFill>
              </w:rPr>
              <w:t>代码</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900-252-12（使用过程中产生的废油漆、染料、颜料等），交由具有</w:t>
            </w:r>
            <w:r>
              <w:rPr>
                <w:rFonts w:hint="eastAsia" w:cs="Times New Roman"/>
                <w:color w:val="000000" w:themeColor="text1"/>
                <w:kern w:val="2"/>
                <w:sz w:val="24"/>
                <w:szCs w:val="24"/>
                <w:highlight w:val="none"/>
                <w:lang w:val="en-US" w:eastAsia="zh-CN" w:bidi="ar-SA"/>
                <w14:textFill>
                  <w14:solidFill>
                    <w14:schemeClr w14:val="tx1"/>
                  </w14:solidFill>
                </w14:textFill>
              </w:rPr>
              <w:t>相关</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危废处理资质单位清运处理。</w:t>
            </w:r>
          </w:p>
          <w:bookmarkEnd w:id="33"/>
          <w:p w14:paraId="718EEA02">
            <w:pPr>
              <w:pStyle w:val="158"/>
              <w:pageBreakBefore w:val="0"/>
              <w:wordWrap w:val="0"/>
              <w:topLinePunct/>
              <w:bidi w:val="0"/>
              <w:snapToGrid/>
              <w:spacing w:beforeAutospacing="0" w:afterAutospacing="0"/>
              <w:ind w:firstLine="482"/>
              <w:rPr>
                <w:b/>
                <w:bCs/>
                <w:color w:val="000000" w:themeColor="text1"/>
                <w14:textFill>
                  <w14:solidFill>
                    <w14:schemeClr w14:val="tx1"/>
                  </w14:solidFill>
                </w14:textFill>
              </w:rPr>
            </w:pPr>
            <w:r>
              <w:rPr>
                <w:rFonts w:hint="eastAsia"/>
                <w:color w:val="000000" w:themeColor="text1"/>
                <w:kern w:val="0"/>
                <w:lang w:val="en-US" w:eastAsia="zh-CN"/>
                <w14:textFill>
                  <w14:solidFill>
                    <w14:schemeClr w14:val="tx1"/>
                  </w14:solidFill>
                </w14:textFill>
              </w:rPr>
              <w:fldChar w:fldCharType="begin"/>
            </w:r>
            <w:r>
              <w:rPr>
                <w:rFonts w:hint="eastAsia"/>
                <w:color w:val="000000" w:themeColor="text1"/>
                <w:kern w:val="0"/>
                <w:lang w:val="en-US" w:eastAsia="zh-CN"/>
                <w14:textFill>
                  <w14:solidFill>
                    <w14:schemeClr w14:val="tx1"/>
                  </w14:solidFill>
                </w14:textFill>
              </w:rPr>
              <w:instrText xml:space="preserve"> EQ \o\ac(</w:instrText>
            </w:r>
            <w:r>
              <w:rPr>
                <w:rFonts w:hint="eastAsia"/>
                <w:color w:val="000000" w:themeColor="text1"/>
                <w:spacing w:val="0"/>
                <w:kern w:val="0"/>
                <w:sz w:val="24"/>
                <w:szCs w:val="24"/>
                <w:lang w:val="en-US" w:eastAsia="zh-CN" w:bidi="ar-SA"/>
                <w14:textFill>
                  <w14:solidFill>
                    <w14:schemeClr w14:val="tx1"/>
                  </w14:solidFill>
                </w14:textFill>
              </w:rPr>
              <w:instrText xml:space="preserve">○</w:instrText>
            </w:r>
            <w:r>
              <w:rPr>
                <w:rFonts w:hint="eastAsia"/>
                <w:color w:val="000000" w:themeColor="text1"/>
                <w:kern w:val="0"/>
                <w:lang w:val="en-US" w:eastAsia="zh-CN"/>
                <w14:textFill>
                  <w14:solidFill>
                    <w14:schemeClr w14:val="tx1"/>
                  </w14:solidFill>
                </w14:textFill>
              </w:rPr>
              <w:instrText xml:space="preserve">,</w:instrText>
            </w:r>
            <w:r>
              <w:rPr>
                <w:rFonts w:hint="eastAsia"/>
                <w:color w:val="000000" w:themeColor="text1"/>
                <w:spacing w:val="0"/>
                <w:kern w:val="0"/>
                <w:position w:val="3"/>
                <w:sz w:val="16"/>
                <w:szCs w:val="24"/>
                <w:lang w:val="en-US" w:eastAsia="zh-CN" w:bidi="ar-SA"/>
                <w14:textFill>
                  <w14:solidFill>
                    <w14:schemeClr w14:val="tx1"/>
                  </w14:solidFill>
                </w14:textFill>
              </w:rPr>
              <w:instrText xml:space="preserve">13</w:instrText>
            </w:r>
            <w:r>
              <w:rPr>
                <w:rFonts w:hint="eastAsia"/>
                <w:color w:val="000000" w:themeColor="text1"/>
                <w:kern w:val="0"/>
                <w:lang w:val="en-US" w:eastAsia="zh-CN"/>
                <w14:textFill>
                  <w14:solidFill>
                    <w14:schemeClr w14:val="tx1"/>
                  </w14:solidFill>
                </w14:textFill>
              </w:rPr>
              <w:instrText xml:space="preserve">)</w:instrText>
            </w:r>
            <w:r>
              <w:rPr>
                <w:rFonts w:hint="eastAsia"/>
                <w:color w:val="000000" w:themeColor="text1"/>
                <w:kern w:val="0"/>
                <w:lang w:val="en-US" w:eastAsia="zh-CN"/>
                <w14:textFill>
                  <w14:solidFill>
                    <w14:schemeClr w14:val="tx1"/>
                  </w14:solidFill>
                </w14:textFill>
              </w:rPr>
              <w:fldChar w:fldCharType="end"/>
            </w:r>
            <w:r>
              <w:rPr>
                <w:b/>
                <w:bCs/>
                <w:color w:val="000000" w:themeColor="text1"/>
                <w14:textFill>
                  <w14:solidFill>
                    <w14:schemeClr w14:val="tx1"/>
                  </w14:solidFill>
                </w14:textFill>
              </w:rPr>
              <w:t>喷枪清洗废液</w:t>
            </w:r>
          </w:p>
          <w:p w14:paraId="6E9A9E8E">
            <w:pPr>
              <w:pStyle w:val="158"/>
              <w:pageBreakBefore w:val="0"/>
              <w:wordWrap w:val="0"/>
              <w:topLinePunct/>
              <w:bidi w:val="0"/>
              <w:snapToGrid/>
              <w:spacing w:beforeAutospacing="0" w:afterAutospacing="0"/>
              <w:ind w:firstLine="480"/>
              <w:rPr>
                <w:color w:val="000000" w:themeColor="text1"/>
                <w14:textFill>
                  <w14:solidFill>
                    <w14:schemeClr w14:val="tx1"/>
                  </w14:solidFill>
                </w14:textFill>
              </w:rPr>
            </w:pPr>
            <w:r>
              <w:rPr>
                <w:color w:val="000000" w:themeColor="text1"/>
                <w14:textFill>
                  <w14:solidFill>
                    <w14:schemeClr w14:val="tx1"/>
                  </w14:solidFill>
                </w14:textFill>
              </w:rPr>
              <w:t>喷漆所用的喷枪在每日生产前需要清洗，使用</w:t>
            </w:r>
            <w:r>
              <w:rPr>
                <w:rFonts w:hint="eastAsia"/>
                <w:color w:val="000000" w:themeColor="text1"/>
                <w:lang w:val="en-US" w:eastAsia="zh-CN"/>
                <w14:textFill>
                  <w14:solidFill>
                    <w14:schemeClr w14:val="tx1"/>
                  </w14:solidFill>
                </w14:textFill>
              </w:rPr>
              <w:t>清洗</w:t>
            </w:r>
            <w:r>
              <w:rPr>
                <w:color w:val="000000" w:themeColor="text1"/>
                <w14:textFill>
                  <w14:solidFill>
                    <w14:schemeClr w14:val="tx1"/>
                  </w14:solidFill>
                </w14:textFill>
              </w:rPr>
              <w:t>剂在面漆流平室内将枪头浸没在</w:t>
            </w:r>
            <w:r>
              <w:rPr>
                <w:rFonts w:hint="eastAsia"/>
                <w:color w:val="000000" w:themeColor="text1"/>
                <w:lang w:val="en-US" w:eastAsia="zh-CN"/>
                <w14:textFill>
                  <w14:solidFill>
                    <w14:schemeClr w14:val="tx1"/>
                  </w14:solidFill>
                </w14:textFill>
              </w:rPr>
              <w:t>清洗</w:t>
            </w:r>
            <w:r>
              <w:rPr>
                <w:color w:val="000000" w:themeColor="text1"/>
                <w14:textFill>
                  <w14:solidFill>
                    <w14:schemeClr w14:val="tx1"/>
                  </w14:solidFill>
                </w14:textFill>
              </w:rPr>
              <w:t>剂原料桶内</w:t>
            </w:r>
            <w:r>
              <w:rPr>
                <w:rFonts w:hint="eastAsia"/>
                <w:color w:val="000000" w:themeColor="text1"/>
                <w:lang w:val="en-US" w:eastAsia="zh-CN"/>
                <w14:textFill>
                  <w14:solidFill>
                    <w14:schemeClr w14:val="tx1"/>
                  </w14:solidFill>
                </w14:textFill>
              </w:rPr>
              <w:t>加盖浸泡</w:t>
            </w:r>
            <w:r>
              <w:rPr>
                <w:color w:val="000000" w:themeColor="text1"/>
                <w14:textFill>
                  <w14:solidFill>
                    <w14:schemeClr w14:val="tx1"/>
                  </w14:solidFill>
                </w14:textFill>
              </w:rPr>
              <w:t>清洗，时间较短</w:t>
            </w:r>
            <w:r>
              <w:rPr>
                <w:rFonts w:hint="eastAsia"/>
                <w:color w:val="000000" w:themeColor="text1"/>
                <w:lang w:val="en-US" w:eastAsia="zh-CN"/>
                <w14:textFill>
                  <w14:solidFill>
                    <w14:schemeClr w14:val="tx1"/>
                  </w14:solidFill>
                </w14:textFill>
              </w:rPr>
              <w:t>且挥发量较少</w:t>
            </w:r>
            <w:r>
              <w:rPr>
                <w:color w:val="000000" w:themeColor="text1"/>
                <w14:textFill>
                  <w14:solidFill>
                    <w14:schemeClr w14:val="tx1"/>
                  </w14:solidFill>
                </w14:textFill>
              </w:rPr>
              <w:t>，清洗后</w:t>
            </w:r>
            <w:r>
              <w:rPr>
                <w:rFonts w:hint="eastAsia"/>
                <w:color w:val="000000" w:themeColor="text1"/>
                <w:lang w:val="en-US" w:eastAsia="zh-CN"/>
                <w14:textFill>
                  <w14:solidFill>
                    <w14:schemeClr w14:val="tx1"/>
                  </w14:solidFill>
                </w14:textFill>
              </w:rPr>
              <w:t>清洗</w:t>
            </w:r>
            <w:r>
              <w:rPr>
                <w:color w:val="000000" w:themeColor="text1"/>
                <w14:textFill>
                  <w14:solidFill>
                    <w14:schemeClr w14:val="tx1"/>
                  </w14:solidFill>
                </w14:textFill>
              </w:rPr>
              <w:t>剂称为喷枪清洗废液。根据企业提供资料，每日清洗，每次清洗用量约为</w:t>
            </w:r>
            <w:r>
              <w:rPr>
                <w:rFonts w:hint="eastAsia"/>
                <w:color w:val="000000" w:themeColor="text1"/>
                <w:lang w:val="en-US" w:eastAsia="zh-CN"/>
                <w14:textFill>
                  <w14:solidFill>
                    <w14:schemeClr w14:val="tx1"/>
                  </w14:solidFill>
                </w14:textFill>
              </w:rPr>
              <w:t>70ml</w:t>
            </w:r>
            <w:r>
              <w:rPr>
                <w:color w:val="000000" w:themeColor="text1"/>
                <w14:textFill>
                  <w14:solidFill>
                    <w14:schemeClr w14:val="tx1"/>
                  </w14:solidFill>
                </w14:textFill>
              </w:rPr>
              <w:t>，预计年使用</w:t>
            </w:r>
            <w:r>
              <w:rPr>
                <w:rFonts w:hint="eastAsia"/>
                <w:color w:val="000000" w:themeColor="text1"/>
                <w:lang w:val="en-US" w:eastAsia="zh-CN"/>
                <w14:textFill>
                  <w14:solidFill>
                    <w14:schemeClr w14:val="tx1"/>
                  </w14:solidFill>
                </w14:textFill>
              </w:rPr>
              <w:t>清洗剂0.09</w:t>
            </w:r>
            <w:r>
              <w:rPr>
                <w:color w:val="000000" w:themeColor="text1"/>
                <w14:textFill>
                  <w14:solidFill>
                    <w14:schemeClr w14:val="tx1"/>
                  </w14:solidFill>
                </w14:textFill>
              </w:rPr>
              <w:t>t/a，故喷枪清洗废液</w:t>
            </w:r>
            <w:r>
              <w:rPr>
                <w:rFonts w:hint="eastAsia"/>
                <w:color w:val="000000" w:themeColor="text1"/>
                <w:lang w:val="en-US" w:eastAsia="zh-CN"/>
                <w14:textFill>
                  <w14:solidFill>
                    <w14:schemeClr w14:val="tx1"/>
                  </w14:solidFill>
                </w14:textFill>
              </w:rPr>
              <w:t>以50%计，则喷枪清洗废液</w:t>
            </w:r>
            <w:r>
              <w:rPr>
                <w:color w:val="000000" w:themeColor="text1"/>
                <w14:textFill>
                  <w14:solidFill>
                    <w14:schemeClr w14:val="tx1"/>
                  </w14:solidFill>
                </w14:textFill>
              </w:rPr>
              <w:t>年产生量约为</w:t>
            </w:r>
            <w:r>
              <w:rPr>
                <w:rFonts w:hint="eastAsia"/>
                <w:color w:val="000000" w:themeColor="text1"/>
                <w:lang w:val="en-US" w:eastAsia="zh-CN"/>
                <w14:textFill>
                  <w14:solidFill>
                    <w14:schemeClr w14:val="tx1"/>
                  </w14:solidFill>
                </w14:textFill>
              </w:rPr>
              <w:t>0.045</w:t>
            </w:r>
            <w:r>
              <w:rPr>
                <w:color w:val="000000" w:themeColor="text1"/>
                <w14:textFill>
                  <w14:solidFill>
                    <w14:schemeClr w14:val="tx1"/>
                  </w14:solidFill>
                </w14:textFill>
              </w:rPr>
              <w:t>t/a。属于《国家危险废物名录》（202</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 xml:space="preserve"> 年版）中，为“HW06 废有机溶剂与含有机溶剂废物”，危废代码为900-402-06</w:t>
            </w:r>
            <w:r>
              <w:rPr>
                <w:rFonts w:hint="eastAsia"/>
                <w:color w:val="000000" w:themeColor="text1"/>
                <w14:textFill>
                  <w14:solidFill>
                    <w14:schemeClr w14:val="tx1"/>
                  </w14:solidFill>
                </w14:textFill>
              </w:rPr>
              <w:t>。</w:t>
            </w:r>
            <w:r>
              <w:rPr>
                <w:color w:val="000000" w:themeColor="text1"/>
                <w:kern w:val="0"/>
                <w14:textFill>
                  <w14:solidFill>
                    <w14:schemeClr w14:val="tx1"/>
                  </w14:solidFill>
                </w14:textFill>
              </w:rPr>
              <w:t>收集后交由有相应危险废物处理资质的单位处理。</w:t>
            </w:r>
          </w:p>
          <w:p w14:paraId="13D4333F">
            <w:pPr>
              <w:pStyle w:val="158"/>
              <w:pageBreakBefore w:val="0"/>
              <w:wordWrap w:val="0"/>
              <w:topLinePunct/>
              <w:bidi w:val="0"/>
              <w:snapToGrid/>
              <w:spacing w:beforeAutospacing="0" w:afterAutospacing="0"/>
              <w:ind w:firstLine="482"/>
              <w:rPr>
                <w:rFonts w:hint="eastAsia" w:eastAsia="宋体"/>
                <w:b/>
                <w:bCs/>
                <w:color w:val="000000" w:themeColor="text1"/>
                <w:lang w:eastAsia="zh-CN"/>
                <w14:textFill>
                  <w14:solidFill>
                    <w14:schemeClr w14:val="tx1"/>
                  </w14:solidFill>
                </w14:textFill>
              </w:rPr>
            </w:pPr>
            <w:r>
              <w:rPr>
                <w:rFonts w:hint="eastAsia"/>
                <w:b/>
                <w:bCs/>
                <w:color w:val="000000" w:themeColor="text1"/>
                <w:lang w:val="en-US" w:eastAsia="zh-CN"/>
                <w14:textFill>
                  <w14:solidFill>
                    <w14:schemeClr w14:val="tx1"/>
                  </w14:solidFill>
                </w14:textFill>
              </w:rPr>
              <w:fldChar w:fldCharType="begin"/>
            </w:r>
            <w:r>
              <w:rPr>
                <w:rFonts w:hint="eastAsia"/>
                <w:b/>
                <w:bCs/>
                <w:color w:val="000000" w:themeColor="text1"/>
                <w:lang w:val="en-US" w:eastAsia="zh-CN"/>
                <w14:textFill>
                  <w14:solidFill>
                    <w14:schemeClr w14:val="tx1"/>
                  </w14:solidFill>
                </w14:textFill>
              </w:rPr>
              <w:instrText xml:space="preserve"> EQ \o\ac(</w:instrText>
            </w:r>
            <w:r>
              <w:rPr>
                <w:rFonts w:hint="eastAsia"/>
                <w:b/>
                <w:bCs/>
                <w:color w:val="000000" w:themeColor="text1"/>
                <w:spacing w:val="0"/>
                <w:kern w:val="2"/>
                <w:sz w:val="24"/>
                <w:szCs w:val="24"/>
                <w:lang w:val="en-US" w:eastAsia="zh-CN" w:bidi="ar-SA"/>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spacing w:val="0"/>
                <w:kern w:val="2"/>
                <w:position w:val="3"/>
                <w:sz w:val="16"/>
                <w:szCs w:val="24"/>
                <w:lang w:val="en-US" w:eastAsia="zh-CN" w:bidi="ar-SA"/>
                <w14:textFill>
                  <w14:solidFill>
                    <w14:schemeClr w14:val="tx1"/>
                  </w14:solidFill>
                </w14:textFill>
              </w:rPr>
              <w:instrText xml:space="preserve">14</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fldChar w:fldCharType="end"/>
            </w:r>
            <w:r>
              <w:rPr>
                <w:rFonts w:hint="eastAsia"/>
                <w:b/>
                <w:bCs/>
                <w:color w:val="000000" w:themeColor="text1"/>
                <w:lang w:val="en-US" w:eastAsia="zh-CN"/>
                <w14:textFill>
                  <w14:solidFill>
                    <w14:schemeClr w14:val="tx1"/>
                  </w14:solidFill>
                </w14:textFill>
              </w:rPr>
              <w:t>废静电喷粉滤芯</w:t>
            </w:r>
          </w:p>
          <w:p w14:paraId="667DC8B1">
            <w:pPr>
              <w:pStyle w:val="158"/>
              <w:pageBreakBefore w:val="0"/>
              <w:wordWrap w:val="0"/>
              <w:topLinePunct/>
              <w:bidi w:val="0"/>
              <w:snapToGrid/>
              <w:spacing w:beforeAutospacing="0" w:afterAutospacing="0"/>
              <w:ind w:firstLine="480"/>
              <w:rPr>
                <w:rFonts w:hint="eastAsia" w:eastAsia="宋体"/>
                <w:color w:val="000000" w:themeColor="text1"/>
                <w:lang w:eastAsia="zh-CN"/>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lang w:val="en-US" w:eastAsia="zh-CN"/>
                <w14:textFill>
                  <w14:solidFill>
                    <w14:schemeClr w14:val="tx1"/>
                  </w14:solidFill>
                </w14:textFill>
              </w:rPr>
              <w:t>静电喷粉废气</w:t>
            </w:r>
            <w:r>
              <w:rPr>
                <w:color w:val="000000" w:themeColor="text1"/>
                <w14:textFill>
                  <w14:solidFill>
                    <w14:schemeClr w14:val="tx1"/>
                  </w14:solidFill>
                </w14:textFill>
              </w:rPr>
              <w:t>使用“大旋风+滤芯式二级回收系统”处理，需要定期更换滤芯，故产生废</w:t>
            </w:r>
            <w:r>
              <w:rPr>
                <w:rFonts w:hint="eastAsia"/>
                <w:color w:val="000000" w:themeColor="text1"/>
                <w14:textFill>
                  <w14:solidFill>
                    <w14:schemeClr w14:val="tx1"/>
                  </w14:solidFill>
                </w14:textFill>
              </w:rPr>
              <w:t>静电喷粉</w:t>
            </w:r>
            <w:r>
              <w:rPr>
                <w:color w:val="000000" w:themeColor="text1"/>
                <w14:textFill>
                  <w14:solidFill>
                    <w14:schemeClr w14:val="tx1"/>
                  </w14:solidFill>
                </w14:textFill>
              </w:rPr>
              <w:t>滤芯。其产生量</w:t>
            </w:r>
            <w:r>
              <w:rPr>
                <w:rFonts w:hint="eastAsia"/>
                <w:color w:val="000000" w:themeColor="text1"/>
                <w:lang w:val="en-US" w:eastAsia="zh-CN"/>
                <w14:textFill>
                  <w14:solidFill>
                    <w14:schemeClr w14:val="tx1"/>
                  </w14:solidFill>
                </w14:textFill>
              </w:rPr>
              <w:t>=</w:t>
            </w:r>
            <w:r>
              <w:rPr>
                <w:color w:val="000000" w:themeColor="text1"/>
                <w14:textFill>
                  <w14:solidFill>
                    <w14:schemeClr w14:val="tx1"/>
                  </w14:solidFill>
                </w14:textFill>
              </w:rPr>
              <w:t>滤芯年更换量</w:t>
            </w:r>
            <w:r>
              <w:rPr>
                <w:rFonts w:hint="eastAsia"/>
                <w:color w:val="000000" w:themeColor="text1"/>
                <w:lang w:val="en-US" w:eastAsia="zh-CN"/>
                <w14:textFill>
                  <w14:solidFill>
                    <w14:schemeClr w14:val="tx1"/>
                  </w14:solidFill>
                </w14:textFill>
              </w:rPr>
              <w:t>=滤芯单个重量×一次更换数量×年更换次数</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8kg×1个×12次/a= 0.096</w:t>
            </w:r>
            <w:r>
              <w:rPr>
                <w:color w:val="000000" w:themeColor="text1"/>
                <w14:textFill>
                  <w14:solidFill>
                    <w14:schemeClr w14:val="tx1"/>
                  </w14:solidFill>
                </w14:textFill>
              </w:rPr>
              <w:t>t/a</w:t>
            </w:r>
            <w:r>
              <w:rPr>
                <w:rFonts w:hint="eastAsia"/>
                <w:color w:val="000000" w:themeColor="text1"/>
                <w:lang w:eastAsia="zh-CN"/>
                <w14:textFill>
                  <w14:solidFill>
                    <w14:schemeClr w14:val="tx1"/>
                  </w14:solidFill>
                </w14:textFill>
              </w:rPr>
              <w:t>。</w:t>
            </w:r>
            <w:r>
              <w:rPr>
                <w:bCs/>
                <w:color w:val="000000" w:themeColor="text1"/>
                <w14:textFill>
                  <w14:solidFill>
                    <w14:schemeClr w14:val="tx1"/>
                  </w14:solidFill>
                </w14:textFill>
              </w:rPr>
              <w:t>根据《国家危险废物名录》（202</w:t>
            </w:r>
            <w:r>
              <w:rPr>
                <w:rFonts w:hint="eastAsia"/>
                <w:bCs/>
                <w:color w:val="000000" w:themeColor="text1"/>
                <w:lang w:val="en-US" w:eastAsia="zh-CN"/>
                <w14:textFill>
                  <w14:solidFill>
                    <w14:schemeClr w14:val="tx1"/>
                  </w14:solidFill>
                </w14:textFill>
              </w:rPr>
              <w:t>5</w:t>
            </w:r>
            <w:r>
              <w:rPr>
                <w:bCs/>
                <w:color w:val="000000" w:themeColor="text1"/>
                <w14:textFill>
                  <w14:solidFill>
                    <w14:schemeClr w14:val="tx1"/>
                  </w14:solidFill>
                </w14:textFill>
              </w:rPr>
              <w:t>年），</w:t>
            </w:r>
            <w:r>
              <w:rPr>
                <w:rFonts w:hint="eastAsia"/>
                <w:bCs/>
                <w:color w:val="000000" w:themeColor="text1"/>
                <w:lang w:eastAsia="zh-CN"/>
                <w14:textFill>
                  <w14:solidFill>
                    <w14:schemeClr w14:val="tx1"/>
                  </w14:solidFill>
                </w14:textFill>
              </w:rPr>
              <w:t>废静电喷粉滤芯</w:t>
            </w:r>
            <w:r>
              <w:rPr>
                <w:bCs/>
                <w:color w:val="000000" w:themeColor="text1"/>
                <w14:textFill>
                  <w14:solidFill>
                    <w14:schemeClr w14:val="tx1"/>
                  </w14:solidFill>
                </w14:textFill>
              </w:rPr>
              <w:t>属于“HW49 其他废物”，废物代码900-041-49</w:t>
            </w:r>
            <w:r>
              <w:rPr>
                <w:color w:val="000000" w:themeColor="text1"/>
                <w14:textFill>
                  <w14:solidFill>
                    <w14:schemeClr w14:val="tx1"/>
                  </w14:solidFill>
                </w14:textFill>
              </w:rPr>
              <w:t>，经统一收集后交由有危险废物处理资质的单位处理。</w:t>
            </w:r>
          </w:p>
          <w:p w14:paraId="67D4D5B8">
            <w:pPr>
              <w:pStyle w:val="158"/>
              <w:pageBreakBefore w:val="0"/>
              <w:wordWrap w:val="0"/>
              <w:topLinePunct/>
              <w:bidi w:val="0"/>
              <w:snapToGrid/>
              <w:spacing w:beforeAutospacing="0" w:afterAutospacing="0"/>
              <w:ind w:firstLine="480"/>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fldChar w:fldCharType="begin"/>
            </w:r>
            <w:r>
              <w:rPr>
                <w:rFonts w:hint="eastAsia"/>
                <w:b/>
                <w:bCs/>
                <w:color w:val="000000" w:themeColor="text1"/>
                <w:lang w:val="en-US" w:eastAsia="zh-CN"/>
                <w14:textFill>
                  <w14:solidFill>
                    <w14:schemeClr w14:val="tx1"/>
                  </w14:solidFill>
                </w14:textFill>
              </w:rPr>
              <w:instrText xml:space="preserve"> EQ \o\ac(</w:instrText>
            </w:r>
            <w:r>
              <w:rPr>
                <w:rFonts w:hint="eastAsia"/>
                <w:b/>
                <w:bCs/>
                <w:color w:val="000000" w:themeColor="text1"/>
                <w:spacing w:val="0"/>
                <w:kern w:val="2"/>
                <w:sz w:val="24"/>
                <w:szCs w:val="24"/>
                <w:lang w:val="en-US" w:eastAsia="zh-CN" w:bidi="ar-SA"/>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spacing w:val="0"/>
                <w:kern w:val="2"/>
                <w:position w:val="3"/>
                <w:sz w:val="16"/>
                <w:szCs w:val="24"/>
                <w:lang w:val="en-US" w:eastAsia="zh-CN" w:bidi="ar-SA"/>
                <w14:textFill>
                  <w14:solidFill>
                    <w14:schemeClr w14:val="tx1"/>
                  </w14:solidFill>
                </w14:textFill>
              </w:rPr>
              <w:instrText xml:space="preserve">15</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fldChar w:fldCharType="end"/>
            </w:r>
            <w:r>
              <w:rPr>
                <w:b/>
                <w:bCs/>
                <w:color w:val="000000" w:themeColor="text1"/>
                <w14:textFill>
                  <w14:solidFill>
                    <w14:schemeClr w14:val="tx1"/>
                  </w14:solidFill>
                </w14:textFill>
              </w:rPr>
              <w:t>废过滤棉</w:t>
            </w:r>
          </w:p>
          <w:p w14:paraId="08C22383">
            <w:pPr>
              <w:pStyle w:val="158"/>
              <w:pageBreakBefore w:val="0"/>
              <w:wordWrap w:val="0"/>
              <w:topLinePunct/>
              <w:bidi w:val="0"/>
              <w:snapToGrid/>
              <w:spacing w:beforeAutospacing="0" w:afterAutospacing="0"/>
              <w:ind w:firstLine="480"/>
              <w:rPr>
                <w:color w:val="000000" w:themeColor="text1"/>
                <w14:textFill>
                  <w14:solidFill>
                    <w14:schemeClr w14:val="tx1"/>
                  </w14:solidFill>
                </w14:textFill>
              </w:rPr>
            </w:pPr>
            <w:r>
              <w:rPr>
                <w:bCs/>
                <w:color w:val="000000" w:themeColor="text1"/>
                <w14:textFill>
                  <w14:solidFill>
                    <w14:schemeClr w14:val="tx1"/>
                  </w14:solidFill>
                </w14:textFill>
              </w:rPr>
              <w:t>项目在处理有机废气过程中需要定期更换过滤棉，过滤棉预计</w:t>
            </w:r>
            <w:r>
              <w:rPr>
                <w:rFonts w:hint="eastAsia"/>
                <w:bCs/>
                <w:color w:val="000000" w:themeColor="text1"/>
                <w14:textFill>
                  <w14:solidFill>
                    <w14:schemeClr w14:val="tx1"/>
                  </w14:solidFill>
                </w14:textFill>
              </w:rPr>
              <w:t>每月</w:t>
            </w:r>
            <w:r>
              <w:rPr>
                <w:bCs/>
                <w:color w:val="000000" w:themeColor="text1"/>
                <w14:textFill>
                  <w14:solidFill>
                    <w14:schemeClr w14:val="tx1"/>
                  </w14:solidFill>
                </w14:textFill>
              </w:rPr>
              <w:t>更换</w:t>
            </w:r>
            <w:r>
              <w:rPr>
                <w:rFonts w:hint="eastAsia"/>
                <w:bCs/>
                <w:color w:val="000000" w:themeColor="text1"/>
                <w14:textFill>
                  <w14:solidFill>
                    <w14:schemeClr w14:val="tx1"/>
                  </w14:solidFill>
                </w14:textFill>
              </w:rPr>
              <w:t>1</w:t>
            </w:r>
            <w:r>
              <w:rPr>
                <w:bCs/>
                <w:color w:val="000000" w:themeColor="text1"/>
                <w14:textFill>
                  <w14:solidFill>
                    <w14:schemeClr w14:val="tx1"/>
                  </w14:solidFill>
                </w14:textFill>
              </w:rPr>
              <w:t>次，每次更换量约为0.01t/a，则废过滤棉产生量为0.</w:t>
            </w:r>
            <w:r>
              <w:rPr>
                <w:rFonts w:hint="eastAsia"/>
                <w:bCs/>
                <w:color w:val="000000" w:themeColor="text1"/>
                <w14:textFill>
                  <w14:solidFill>
                    <w14:schemeClr w14:val="tx1"/>
                  </w14:solidFill>
                </w14:textFill>
              </w:rPr>
              <w:t>12</w:t>
            </w:r>
            <w:r>
              <w:rPr>
                <w:bCs/>
                <w:color w:val="000000" w:themeColor="text1"/>
                <w14:textFill>
                  <w14:solidFill>
                    <w14:schemeClr w14:val="tx1"/>
                  </w14:solidFill>
                </w14:textFill>
              </w:rPr>
              <w:t>t/a。根据《国家危险废物名录》（2021年），废过滤棉属于“HW49 其他废物”，废物代码900-041-49</w:t>
            </w:r>
            <w:r>
              <w:rPr>
                <w:color w:val="000000" w:themeColor="text1"/>
                <w14:textFill>
                  <w14:solidFill>
                    <w14:schemeClr w14:val="tx1"/>
                  </w14:solidFill>
                </w14:textFill>
              </w:rPr>
              <w:t>，经统一收集后交由有危险废物处理资质的单位处理。</w:t>
            </w:r>
          </w:p>
          <w:p w14:paraId="52EDA7DD">
            <w:pPr>
              <w:pStyle w:val="158"/>
              <w:pageBreakBefore w:val="0"/>
              <w:wordWrap w:val="0"/>
              <w:topLinePunct/>
              <w:bidi w:val="0"/>
              <w:snapToGrid/>
              <w:spacing w:beforeAutospacing="0" w:afterAutospacing="0"/>
              <w:ind w:firstLine="482"/>
              <w:rPr>
                <w:b/>
                <w:bCs/>
                <w:color w:val="000000" w:themeColor="text1"/>
                <w14:textFill>
                  <w14:solidFill>
                    <w14:schemeClr w14:val="tx1"/>
                  </w14:solidFill>
                </w14:textFill>
              </w:rPr>
            </w:pPr>
            <w:bookmarkStart w:id="34" w:name="_Toc32195"/>
            <w:r>
              <w:rPr>
                <w:rFonts w:hint="eastAsia"/>
                <w:b/>
                <w:bCs/>
                <w:color w:val="000000" w:themeColor="text1"/>
                <w:lang w:val="en-US" w:eastAsia="zh-CN"/>
                <w14:textFill>
                  <w14:solidFill>
                    <w14:schemeClr w14:val="tx1"/>
                  </w14:solidFill>
                </w14:textFill>
              </w:rPr>
              <w:fldChar w:fldCharType="begin"/>
            </w:r>
            <w:r>
              <w:rPr>
                <w:rFonts w:hint="eastAsia"/>
                <w:b/>
                <w:bCs/>
                <w:color w:val="000000" w:themeColor="text1"/>
                <w:lang w:val="en-US" w:eastAsia="zh-CN"/>
                <w14:textFill>
                  <w14:solidFill>
                    <w14:schemeClr w14:val="tx1"/>
                  </w14:solidFill>
                </w14:textFill>
              </w:rPr>
              <w:instrText xml:space="preserve"> EQ \o\ac(</w:instrText>
            </w:r>
            <w:r>
              <w:rPr>
                <w:rFonts w:hint="eastAsia"/>
                <w:b/>
                <w:bCs/>
                <w:color w:val="000000" w:themeColor="text1"/>
                <w:spacing w:val="0"/>
                <w:kern w:val="2"/>
                <w:sz w:val="24"/>
                <w:szCs w:val="24"/>
                <w:lang w:val="en-US" w:eastAsia="zh-CN" w:bidi="ar-SA"/>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spacing w:val="0"/>
                <w:kern w:val="2"/>
                <w:position w:val="3"/>
                <w:sz w:val="16"/>
                <w:szCs w:val="24"/>
                <w:lang w:val="en-US" w:eastAsia="zh-CN" w:bidi="ar-SA"/>
                <w14:textFill>
                  <w14:solidFill>
                    <w14:schemeClr w14:val="tx1"/>
                  </w14:solidFill>
                </w14:textFill>
              </w:rPr>
              <w:instrText xml:space="preserve">16</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fldChar w:fldCharType="end"/>
            </w:r>
            <w:r>
              <w:rPr>
                <w:b/>
                <w:bCs/>
                <w:color w:val="000000" w:themeColor="text1"/>
                <w14:textFill>
                  <w14:solidFill>
                    <w14:schemeClr w14:val="tx1"/>
                  </w14:solidFill>
                </w14:textFill>
              </w:rPr>
              <w:t>废活性炭</w:t>
            </w:r>
            <w:bookmarkEnd w:id="34"/>
          </w:p>
          <w:p w14:paraId="55B6239E">
            <w:pPr>
              <w:pStyle w:val="158"/>
              <w:pageBreakBefore w:val="0"/>
              <w:wordWrap w:val="0"/>
              <w:topLinePunct/>
              <w:bidi w:val="0"/>
              <w:snapToGrid/>
              <w:spacing w:beforeAutospacing="0" w:afterAutospacing="0"/>
              <w:ind w:firstLine="480"/>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吸附脱附段活性炭产生量：</w:t>
            </w:r>
            <w:r>
              <w:rPr>
                <w:color w:val="000000" w:themeColor="text1"/>
                <w14:textFill>
                  <w14:solidFill>
                    <w14:schemeClr w14:val="tx1"/>
                  </w14:solidFill>
                </w14:textFill>
              </w:rPr>
              <w:t>本项目废气治理设施中，使用的活性炭需要定期更换，根据</w:t>
            </w:r>
            <w:r>
              <w:rPr>
                <w:rFonts w:hint="eastAsia"/>
                <w:color w:val="000000" w:themeColor="text1"/>
                <w14:textFill>
                  <w14:solidFill>
                    <w14:schemeClr w14:val="tx1"/>
                  </w14:solidFill>
                </w14:textFill>
              </w:rPr>
              <w:t>建设单位提供的</w:t>
            </w:r>
            <w:r>
              <w:rPr>
                <w:color w:val="000000" w:themeColor="text1"/>
                <w14:textFill>
                  <w14:solidFill>
                    <w14:schemeClr w14:val="tx1"/>
                  </w14:solidFill>
                </w14:textFill>
              </w:rPr>
              <w:t>废气治理方案，</w:t>
            </w:r>
            <w:r>
              <w:rPr>
                <w:rFonts w:hint="eastAsia"/>
                <w:color w:val="000000" w:themeColor="text1"/>
                <w:lang w:val="en-US" w:eastAsia="zh-CN"/>
                <w14:textFill>
                  <w14:solidFill>
                    <w14:schemeClr w14:val="tx1"/>
                  </w14:solidFill>
                </w14:textFill>
              </w:rPr>
              <w:t>TA002废气处理设施（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活性炭吸脱附+催化燃烧段）</w:t>
            </w:r>
            <w:r>
              <w:rPr>
                <w:rFonts w:hint="eastAsia"/>
                <w:color w:val="000000" w:themeColor="text1"/>
                <w:lang w:val="en-US" w:eastAsia="zh-CN"/>
                <w14:textFill>
                  <w14:solidFill>
                    <w14:schemeClr w14:val="tx1"/>
                  </w14:solidFill>
                </w14:textFill>
              </w:rPr>
              <w:t>设4个吸附床并联运行，一个脱附床。</w:t>
            </w:r>
            <w:r>
              <w:rPr>
                <w:color w:val="000000" w:themeColor="text1"/>
                <w14:textFill>
                  <w14:solidFill>
                    <w14:schemeClr w14:val="tx1"/>
                  </w14:solidFill>
                </w14:textFill>
              </w:rPr>
              <w:t>活性炭装载量为</w:t>
            </w:r>
            <w:r>
              <w:rPr>
                <w:rFonts w:hint="eastAsia"/>
                <w:color w:val="000000" w:themeColor="text1"/>
                <w:lang w:val="en-US" w:eastAsia="zh-CN"/>
                <w14:textFill>
                  <w14:solidFill>
                    <w14:schemeClr w14:val="tx1"/>
                  </w14:solidFill>
                </w14:textFill>
              </w:rPr>
              <w:t>21</w:t>
            </w:r>
            <w:r>
              <w:rPr>
                <w:color w:val="000000" w:themeColor="text1"/>
                <w14:textFill>
                  <w14:solidFill>
                    <w14:schemeClr w14:val="tx1"/>
                  </w14:solidFill>
                </w14:textFill>
              </w:rPr>
              <w:t>m³，密度为380～450kg/m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，取415kg/m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。活性炭</w:t>
            </w:r>
            <w:r>
              <w:rPr>
                <w:rFonts w:hint="eastAsia"/>
                <w:color w:val="000000" w:themeColor="text1"/>
                <w:lang w:val="en-US" w:eastAsia="zh-CN"/>
                <w14:textFill>
                  <w14:solidFill>
                    <w14:schemeClr w14:val="tx1"/>
                  </w14:solidFill>
                </w14:textFill>
              </w:rPr>
              <w:t>吸附床设计寿命为8000h，本环评保守取</w:t>
            </w:r>
            <w:r>
              <w:rPr>
                <w:color w:val="000000" w:themeColor="text1"/>
                <w14:textFill>
                  <w14:solidFill>
                    <w14:schemeClr w14:val="tx1"/>
                  </w14:solidFill>
                </w14:textFill>
              </w:rPr>
              <w:t>更换次数为一年一次，即活性炭</w:t>
            </w:r>
            <w:r>
              <w:rPr>
                <w:rFonts w:hint="eastAsia"/>
                <w:color w:val="000000" w:themeColor="text1"/>
                <w:lang w:val="en-US" w:eastAsia="zh-CN"/>
                <w14:textFill>
                  <w14:solidFill>
                    <w14:schemeClr w14:val="tx1"/>
                  </w14:solidFill>
                </w14:textFill>
              </w:rPr>
              <w:t>年更换</w:t>
            </w:r>
            <w:r>
              <w:rPr>
                <w:color w:val="000000" w:themeColor="text1"/>
                <w14:textFill>
                  <w14:solidFill>
                    <w14:schemeClr w14:val="tx1"/>
                  </w14:solidFill>
                </w14:textFill>
              </w:rPr>
              <w:t>量为</w:t>
            </w:r>
            <w:r>
              <w:rPr>
                <w:rFonts w:hint="eastAsia"/>
                <w:color w:val="000000" w:themeColor="text1"/>
                <w:lang w:val="en-US" w:eastAsia="zh-CN"/>
                <w14:textFill>
                  <w14:solidFill>
                    <w14:schemeClr w14:val="tx1"/>
                  </w14:solidFill>
                </w14:textFill>
              </w:rPr>
              <w:t>21</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×415kg/m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/1000=</w:t>
            </w:r>
            <w:r>
              <w:rPr>
                <w:rFonts w:hint="eastAsia"/>
                <w:color w:val="000000" w:themeColor="text1"/>
                <w:lang w:val="en-US" w:eastAsia="zh-CN"/>
                <w14:textFill>
                  <w14:solidFill>
                    <w14:schemeClr w14:val="tx1"/>
                  </w14:solidFill>
                </w14:textFill>
              </w:rPr>
              <w:t>8.715</w:t>
            </w:r>
            <w:r>
              <w:rPr>
                <w:color w:val="000000" w:themeColor="text1"/>
                <w14:textFill>
                  <w14:solidFill>
                    <w14:schemeClr w14:val="tx1"/>
                  </w14:solidFill>
                </w14:textFill>
              </w:rPr>
              <w:t>t/a</w:t>
            </w:r>
            <w:r>
              <w:rPr>
                <w:rFonts w:hint="eastAsia"/>
                <w:color w:val="000000" w:themeColor="text1"/>
                <w:lang w:eastAsia="zh-CN"/>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考虑活性炭</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脱附</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时</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会把活性炭上 90%~95% 以上的 VOCs 脱附出来烧掉；更换时活性炭仅含微量残留 VOCs，重量占比极小</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，本环评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忽略不计</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4783BD5C">
            <w:pPr>
              <w:keepNext/>
              <w:keepLines/>
              <w:widowControl w:val="0"/>
              <w:numPr>
                <w:ilvl w:val="5"/>
                <w:numId w:val="0"/>
              </w:numPr>
              <w:spacing w:line="360" w:lineRule="auto"/>
              <w:ind w:firstLine="482" w:firstLineChars="200"/>
              <w:jc w:val="both"/>
              <w:outlineLvl w:val="5"/>
              <w:rPr>
                <w:rFonts w:hint="default"/>
                <w:color w:val="000000" w:themeColor="text1"/>
                <w:lang w:val="en-US" w:eastAsia="zh-CN"/>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吸附段活性炭产生量：</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TA00</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废气设施（活性炭吸附段）配套1个活性炭吸附床，TA00</w:t>
            </w:r>
            <w:r>
              <w:rPr>
                <w:rFonts w:hint="eastAsia" w:cs="Times New Roman"/>
                <w:color w:val="000000" w:themeColor="text1"/>
                <w:kern w:val="2"/>
                <w:sz w:val="24"/>
                <w:szCs w:val="24"/>
                <w:highlight w:val="none"/>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废气设施（喷淋+干式过滤+二级活性炭吸附）配套2个活性炭吸附床，外形尺寸均为</w:t>
            </w:r>
            <w:r>
              <w:rPr>
                <w:rFonts w:hint="eastAsia" w:cs="Times New Roman"/>
                <w:color w:val="000000" w:themeColor="text1"/>
                <w:kern w:val="2"/>
                <w:sz w:val="24"/>
                <w:szCs w:val="24"/>
                <w:highlight w:val="none"/>
                <w:lang w:val="en-US" w:eastAsia="zh-CN" w:bidi="ar-SA"/>
                <w14:textFill>
                  <w14:solidFill>
                    <w14:schemeClr w14:val="tx1"/>
                  </w14:solidFill>
                </w14:textFill>
              </w:rPr>
              <w:t>3000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mm*</w:t>
            </w:r>
            <w:r>
              <w:rPr>
                <w:rFonts w:hint="eastAsia" w:cs="Times New Roman"/>
                <w:color w:val="000000" w:themeColor="text1"/>
                <w:kern w:val="2"/>
                <w:sz w:val="24"/>
                <w:szCs w:val="24"/>
                <w:highlight w:val="none"/>
                <w:lang w:val="en-US" w:eastAsia="zh-CN" w:bidi="ar-SA"/>
                <w14:textFill>
                  <w14:solidFill>
                    <w14:schemeClr w14:val="tx1"/>
                  </w14:solidFill>
                </w14:textFill>
              </w:rPr>
              <w:t>20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00mm*4300mm，每层面积尺寸均为</w:t>
            </w:r>
            <w:r>
              <w:rPr>
                <w:rFonts w:hint="eastAsia" w:cs="Times New Roman"/>
                <w:color w:val="000000" w:themeColor="text1"/>
                <w:kern w:val="2"/>
                <w:sz w:val="24"/>
                <w:szCs w:val="24"/>
                <w:highlight w:val="none"/>
                <w:lang w:val="en-US" w:eastAsia="zh-CN" w:bidi="ar-SA"/>
                <w14:textFill>
                  <w14:solidFill>
                    <w14:schemeClr w14:val="tx1"/>
                  </w14:solidFill>
                </w14:textFill>
              </w:rPr>
              <w:t>6</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活性炭填充高度为0.</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m，填充密度0.45g/cm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，单套装置内设</w:t>
            </w:r>
            <w:r>
              <w:rPr>
                <w:rFonts w:hint="eastAsia"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层活性炭，则活性炭吸附装置的</w:t>
            </w:r>
            <w:r>
              <w:rPr>
                <w:rFonts w:hint="eastAsia" w:cs="Times New Roman"/>
                <w:color w:val="000000" w:themeColor="text1"/>
                <w:kern w:val="2"/>
                <w:sz w:val="24"/>
                <w:szCs w:val="24"/>
                <w:highlight w:val="none"/>
                <w:lang w:val="en-US" w:eastAsia="zh-CN" w:bidi="ar-SA"/>
                <w14:textFill>
                  <w14:solidFill>
                    <w14:schemeClr w14:val="tx1"/>
                  </w14:solidFill>
                </w14:textFill>
              </w:rPr>
              <w:t>全厂</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装填</w:t>
            </w:r>
            <w:r>
              <w:rPr>
                <w:rFonts w:hint="eastAsia" w:cs="Times New Roman"/>
                <w:color w:val="000000" w:themeColor="text1"/>
                <w:kern w:val="2"/>
                <w:sz w:val="24"/>
                <w:szCs w:val="24"/>
                <w:highlight w:val="none"/>
                <w:lang w:val="en-US" w:eastAsia="zh-CN" w:bidi="ar-SA"/>
                <w14:textFill>
                  <w14:solidFill>
                    <w14:schemeClr w14:val="tx1"/>
                  </w14:solidFill>
                </w14:textFill>
              </w:rPr>
              <w:t>配置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量为</w:t>
            </w:r>
            <w:r>
              <w:rPr>
                <w:rFonts w:hint="eastAsia" w:cs="Times New Roman"/>
                <w:color w:val="000000" w:themeColor="text1"/>
                <w:kern w:val="2"/>
                <w:sz w:val="24"/>
                <w:szCs w:val="24"/>
                <w:highlight w:val="none"/>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6</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×0.</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×6×450÷1000=</w:t>
            </w:r>
            <w:r>
              <w:rPr>
                <w:rFonts w:hint="eastAsia" w:cs="Times New Roman"/>
                <w:color w:val="000000" w:themeColor="text1"/>
                <w:kern w:val="2"/>
                <w:sz w:val="24"/>
                <w:szCs w:val="24"/>
                <w:highlight w:val="none"/>
                <w:lang w:val="en-US" w:eastAsia="zh-CN" w:bidi="ar-SA"/>
                <w14:textFill>
                  <w14:solidFill>
                    <w14:schemeClr w14:val="tx1"/>
                  </w14:solidFill>
                </w14:textFill>
              </w:rPr>
              <w:t>9.720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根据《广东省工业源挥发性有机物减排量核算方法》（</w:t>
            </w:r>
            <w:r>
              <w:rPr>
                <w:rFonts w:hint="eastAsia" w:cs="Times New Roman"/>
                <w:color w:val="000000" w:themeColor="text1"/>
                <w:kern w:val="2"/>
                <w:sz w:val="24"/>
                <w:szCs w:val="24"/>
                <w:highlight w:val="none"/>
                <w:lang w:val="en-US" w:eastAsia="zh-CN" w:bidi="ar-SA"/>
                <w14:textFill>
                  <w14:solidFill>
                    <w14:schemeClr w14:val="tx1"/>
                  </w14:solidFill>
                </w14:textFill>
              </w:rPr>
              <w:t>2023修订版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）的要求，建议直接将“活性炭年更换量×活性炭吸附比例”（活性炭年更换量优先以危废转移量为依据，吸附比例建议取值15%）作为废气处理设施VOCs削减量。本项目活性炭对有机废气的吸附比率取值</w:t>
            </w:r>
            <w:r>
              <w:rPr>
                <w:rFonts w:hint="eastAsia" w:cs="Times New Roman"/>
                <w:color w:val="000000" w:themeColor="text1"/>
                <w:kern w:val="2"/>
                <w:sz w:val="24"/>
                <w:szCs w:val="24"/>
                <w:highlight w:val="none"/>
                <w:lang w:val="en-US" w:eastAsia="zh-CN" w:bidi="ar-SA"/>
                <w14:textFill>
                  <w14:solidFill>
                    <w14:schemeClr w14:val="tx1"/>
                  </w14:solidFill>
                </w14:textFill>
              </w:rPr>
              <w:t>15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%，项目吸附的有机废气量为</w:t>
            </w:r>
            <w:r>
              <w:rPr>
                <w:rFonts w:hint="eastAsia" w:cs="Times New Roman"/>
                <w:color w:val="000000" w:themeColor="text1"/>
                <w:kern w:val="2"/>
                <w:sz w:val="24"/>
                <w:szCs w:val="24"/>
                <w:highlight w:val="none"/>
                <w:lang w:val="en-US" w:eastAsia="zh-CN" w:bidi="ar-SA"/>
                <w14:textFill>
                  <w14:solidFill>
                    <w14:schemeClr w14:val="tx1"/>
                  </w14:solidFill>
                </w14:textFill>
              </w:rPr>
              <w:t>0.6025+0.2695=0.8720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则理论需要活性炭量为</w:t>
            </w:r>
            <w:r>
              <w:rPr>
                <w:rFonts w:hint="eastAsia" w:cs="Times New Roman"/>
                <w:color w:val="000000" w:themeColor="text1"/>
                <w:kern w:val="2"/>
                <w:sz w:val="24"/>
                <w:szCs w:val="24"/>
                <w:highlight w:val="none"/>
                <w:lang w:val="en-US" w:eastAsia="zh-CN" w:bidi="ar-SA"/>
                <w14:textFill>
                  <w14:solidFill>
                    <w14:schemeClr w14:val="tx1"/>
                  </w14:solidFill>
                </w14:textFill>
              </w:rPr>
              <w:t>5.813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吸附段</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活性炭实际配置量大于理论活性炭使用量，项目废气设施活性炭一年更换2次，则废活性炭产生量为</w:t>
            </w:r>
            <w:r>
              <w:rPr>
                <w:rFonts w:hint="eastAsia" w:cs="Times New Roman"/>
                <w:color w:val="000000" w:themeColor="text1"/>
                <w:kern w:val="2"/>
                <w:sz w:val="24"/>
                <w:szCs w:val="24"/>
                <w:highlight w:val="none"/>
                <w:lang w:val="en-US" w:eastAsia="zh-CN" w:bidi="ar-SA"/>
                <w14:textFill>
                  <w14:solidFill>
                    <w14:schemeClr w14:val="tx1"/>
                  </w14:solidFill>
                </w14:textFill>
              </w:rPr>
              <w:t>9.720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w:t>
            </w:r>
            <w:r>
              <w:rPr>
                <w:rFonts w:hint="eastAsia" w:cs="Times New Roman"/>
                <w:color w:val="000000" w:themeColor="text1"/>
                <w:kern w:val="2"/>
                <w:sz w:val="24"/>
                <w:szCs w:val="24"/>
                <w:highlight w:val="none"/>
                <w:lang w:val="en-US" w:eastAsia="zh-CN" w:bidi="ar-SA"/>
                <w14:textFill>
                  <w14:solidFill>
                    <w14:schemeClr w14:val="tx1"/>
                  </w14:solidFill>
                </w14:textFill>
              </w:rPr>
              <w:t>8720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20.312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w:t>
            </w:r>
          </w:p>
          <w:p w14:paraId="1A942869">
            <w:pPr>
              <w:pStyle w:val="158"/>
              <w:pageBreakBefore w:val="0"/>
              <w:wordWrap w:val="0"/>
              <w:topLinePunct/>
              <w:bidi w:val="0"/>
              <w:snapToGrid/>
              <w:spacing w:beforeAutospacing="0" w:afterAutospacing="0"/>
              <w:ind w:firstLine="480"/>
              <w:rPr>
                <w:bCs/>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废气设施废活性炭合计产生量=8.715t/a+20.312t/a=29.027t/a</w:t>
            </w:r>
            <w:r>
              <w:rPr>
                <w:color w:val="000000" w:themeColor="text1"/>
                <w14:textFill>
                  <w14:solidFill>
                    <w14:schemeClr w14:val="tx1"/>
                  </w14:solidFill>
                </w14:textFill>
              </w:rPr>
              <w:t>。</w:t>
            </w:r>
            <w:r>
              <w:rPr>
                <w:bCs/>
                <w:color w:val="000000" w:themeColor="text1"/>
                <w14:textFill>
                  <w14:solidFill>
                    <w14:schemeClr w14:val="tx1"/>
                  </w14:solidFill>
                </w14:textFill>
              </w:rPr>
              <w:t>属于“HW49 其他废物”，废物代码900-039-49</w:t>
            </w:r>
            <w:r>
              <w:rPr>
                <w:color w:val="000000" w:themeColor="text1"/>
                <w14:textFill>
                  <w14:solidFill>
                    <w14:schemeClr w14:val="tx1"/>
                  </w14:solidFill>
                </w14:textFill>
              </w:rPr>
              <w:t>，经统一收集后交由有危险废物处理资质的单位处理。</w:t>
            </w:r>
          </w:p>
          <w:p w14:paraId="1DFCDC77">
            <w:pPr>
              <w:pStyle w:val="158"/>
              <w:pageBreakBefore w:val="0"/>
              <w:wordWrap w:val="0"/>
              <w:topLinePunct/>
              <w:bidi w:val="0"/>
              <w:snapToGrid/>
              <w:spacing w:beforeAutospacing="0" w:afterAutospacing="0"/>
              <w:ind w:firstLine="480"/>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fldChar w:fldCharType="begin"/>
            </w:r>
            <w:r>
              <w:rPr>
                <w:rFonts w:hint="eastAsia"/>
                <w:b/>
                <w:bCs/>
                <w:color w:val="000000" w:themeColor="text1"/>
                <w:lang w:val="en-US" w:eastAsia="zh-CN"/>
                <w14:textFill>
                  <w14:solidFill>
                    <w14:schemeClr w14:val="tx1"/>
                  </w14:solidFill>
                </w14:textFill>
              </w:rPr>
              <w:instrText xml:space="preserve"> EQ \o\ac(</w:instrText>
            </w:r>
            <w:r>
              <w:rPr>
                <w:rFonts w:hint="eastAsia"/>
                <w:b/>
                <w:bCs/>
                <w:color w:val="000000" w:themeColor="text1"/>
                <w:spacing w:val="0"/>
                <w:kern w:val="2"/>
                <w:sz w:val="24"/>
                <w:szCs w:val="24"/>
                <w:lang w:val="en-US" w:eastAsia="zh-CN" w:bidi="ar-SA"/>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spacing w:val="0"/>
                <w:kern w:val="2"/>
                <w:position w:val="3"/>
                <w:sz w:val="16"/>
                <w:szCs w:val="24"/>
                <w:lang w:val="en-US" w:eastAsia="zh-CN" w:bidi="ar-SA"/>
                <w14:textFill>
                  <w14:solidFill>
                    <w14:schemeClr w14:val="tx1"/>
                  </w14:solidFill>
                </w14:textFill>
              </w:rPr>
              <w:instrText xml:space="preserve">17</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fldChar w:fldCharType="end"/>
            </w:r>
            <w:r>
              <w:rPr>
                <w:rFonts w:hint="eastAsia"/>
                <w:b/>
                <w:bCs/>
                <w:color w:val="000000" w:themeColor="text1"/>
                <w:lang w:val="en-US" w:eastAsia="zh-CN"/>
                <w14:textFill>
                  <w14:solidFill>
                    <w14:schemeClr w14:val="tx1"/>
                  </w14:solidFill>
                </w14:textFill>
              </w:rPr>
              <w:t>废粉末涂料</w:t>
            </w:r>
          </w:p>
          <w:p w14:paraId="415B830E">
            <w:pPr>
              <w:pStyle w:val="158"/>
              <w:pageBreakBefore w:val="0"/>
              <w:wordWrap w:val="0"/>
              <w:topLinePunct/>
              <w:bidi w:val="0"/>
              <w:snapToGrid/>
              <w:spacing w:beforeAutospacing="0" w:afterAutospacing="0"/>
              <w:ind w:firstLine="480"/>
              <w:rPr>
                <w:color w:val="000000" w:themeColor="text1"/>
                <w:kern w:val="0"/>
                <w14:textFill>
                  <w14:solidFill>
                    <w14:schemeClr w14:val="tx1"/>
                  </w14:solidFill>
                </w14:textFill>
              </w:rPr>
            </w:pPr>
            <w:r>
              <w:rPr>
                <w:rFonts w:hint="eastAsia"/>
                <w:color w:val="000000" w:themeColor="text1"/>
                <w:lang w:val="en-US" w:eastAsia="zh-CN"/>
                <w14:textFill>
                  <w14:solidFill>
                    <w14:schemeClr w14:val="tx1"/>
                  </w14:solidFill>
                </w14:textFill>
              </w:rPr>
              <w:t>废静电喷粉粉尘主要来源于静电喷粉工序中地面沉降部分，根据前文计算其产生量为3.593</w:t>
            </w:r>
            <w:r>
              <w:rPr>
                <w:color w:val="000000" w:themeColor="text1"/>
                <w14:textFill>
                  <w14:solidFill>
                    <w14:schemeClr w14:val="tx1"/>
                  </w14:solidFill>
                </w14:textFill>
              </w:rPr>
              <w:t>t/a。</w:t>
            </w:r>
            <w:r>
              <w:rPr>
                <w:rFonts w:hint="eastAsia"/>
                <w:color w:val="000000" w:themeColor="text1"/>
                <w:lang w:val="en-US" w:eastAsia="zh-CN"/>
                <w14:textFill>
                  <w14:solidFill>
                    <w14:schemeClr w14:val="tx1"/>
                  </w14:solidFill>
                </w14:textFill>
              </w:rPr>
              <w:t>因静电喷粉粉末主要成分为有机树脂，其沉降于地面时易沾染污染物，不便于直接回用于生产</w:t>
            </w:r>
            <w:r>
              <w:rPr>
                <w:color w:val="000000" w:themeColor="text1"/>
                <w:kern w:val="0"/>
                <w14:textFill>
                  <w14:solidFill>
                    <w14:schemeClr w14:val="tx1"/>
                  </w14:solidFill>
                </w14:textFill>
              </w:rPr>
              <w:t>。</w:t>
            </w:r>
            <w:r>
              <w:rPr>
                <w:rFonts w:hint="eastAsia"/>
                <w:color w:val="000000" w:themeColor="text1"/>
                <w:lang w:val="en-US" w:eastAsia="zh-CN"/>
                <w14:textFill>
                  <w14:solidFill>
                    <w14:schemeClr w14:val="tx1"/>
                  </w14:solidFill>
                </w14:textFill>
              </w:rPr>
              <w:t>对照</w:t>
            </w:r>
            <w:r>
              <w:rPr>
                <w:color w:val="000000" w:themeColor="text1"/>
                <w14:textFill>
                  <w14:solidFill>
                    <w14:schemeClr w14:val="tx1"/>
                  </w14:solidFill>
                </w14:textFill>
              </w:rPr>
              <w:t>《国家危险废物名录》（202</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 xml:space="preserve"> 年版）</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废粉末涂料未列入该名录中</w:t>
            </w:r>
            <w:r>
              <w:rPr>
                <w:rFonts w:hint="eastAsia"/>
                <w:color w:val="000000" w:themeColor="text1"/>
                <w:lang w:eastAsia="zh-CN"/>
                <w14:textFill>
                  <w14:solidFill>
                    <w14:schemeClr w14:val="tx1"/>
                  </w14:solidFill>
                </w14:textFill>
              </w:rPr>
              <w:t>，根据《国家危险废物名录（2025年版）》第六条：“ 对不明确是否具有危险特性的固体废物，应当按照国家规定的危险废物鉴别标准和鉴别方法予以认定。经鉴别具有危险特性的，属于危险废物，应当根据其主要有害成分和危险特性对照本名录中已有废物代码进行归类；无法按已有废物代码归类的，应当确定其所属废物类别，按代码“900-000-××”（××为危险废物类别代码）进行归类管理。经鉴别不具有危险特性的，不属于危险废物。”，</w:t>
            </w:r>
            <w:r>
              <w:rPr>
                <w:rFonts w:hint="eastAsia"/>
                <w:color w:val="000000" w:themeColor="text1"/>
                <w:lang w:val="en-US" w:eastAsia="zh-CN"/>
                <w14:textFill>
                  <w14:solidFill>
                    <w14:schemeClr w14:val="tx1"/>
                  </w14:solidFill>
                </w14:textFill>
              </w:rPr>
              <w:t>因此建设单位应在项目试生产阶段开展危险特性鉴别。正式鉴别结论出具之前，本固体废物暂按照危险废物从严管控，贮存于符合《危险废物贮存污染控制标准》（GB 18597‑2023）要求的危废暂存间。若鉴别判定为危险废物，交由具备相应资质单位处置；若判定为一般工业固体废物，则按照《一般工业固体废物贮存和填埋污染控制标准》（GB 18599‑2020）实施管理处置。</w:t>
            </w:r>
          </w:p>
          <w:p w14:paraId="40651FD1">
            <w:pPr>
              <w:pStyle w:val="158"/>
              <w:pageBreakBefore w:val="0"/>
              <w:wordWrap w:val="0"/>
              <w:topLinePunct/>
              <w:bidi w:val="0"/>
              <w:snapToGrid/>
              <w:spacing w:beforeAutospacing="0" w:afterAutospacing="0"/>
              <w:ind w:firstLine="482"/>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fldChar w:fldCharType="begin"/>
            </w:r>
            <w:r>
              <w:rPr>
                <w:rFonts w:hint="eastAsia"/>
                <w:b/>
                <w:bCs/>
                <w:color w:val="000000" w:themeColor="text1"/>
                <w:lang w:val="en-US" w:eastAsia="zh-CN"/>
                <w14:textFill>
                  <w14:solidFill>
                    <w14:schemeClr w14:val="tx1"/>
                  </w14:solidFill>
                </w14:textFill>
              </w:rPr>
              <w:instrText xml:space="preserve"> EQ \o\ac(</w:instrText>
            </w:r>
            <w:r>
              <w:rPr>
                <w:rFonts w:hint="eastAsia" w:ascii="Times New Roman" w:hAnsi="Times New Roman" w:eastAsia="宋体" w:cs="Times New Roman"/>
                <w:b/>
                <w:bCs/>
                <w:color w:val="000000" w:themeColor="text1"/>
                <w:spacing w:val="0"/>
                <w:kern w:val="2"/>
                <w:sz w:val="24"/>
                <w:szCs w:val="24"/>
                <w:lang w:val="en-US" w:eastAsia="zh-CN" w:bidi="ar-SA"/>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instrText xml:space="preserve">,</w:instrText>
            </w:r>
            <w:r>
              <w:rPr>
                <w:rFonts w:hint="eastAsia" w:ascii="Times New Roman" w:hAnsi="Times New Roman" w:eastAsia="宋体" w:cs="Times New Roman"/>
                <w:b/>
                <w:bCs/>
                <w:color w:val="000000" w:themeColor="text1"/>
                <w:spacing w:val="0"/>
                <w:kern w:val="2"/>
                <w:position w:val="3"/>
                <w:sz w:val="16"/>
                <w:szCs w:val="24"/>
                <w:lang w:val="en-US" w:eastAsia="zh-CN" w:bidi="ar-SA"/>
                <w14:textFill>
                  <w14:solidFill>
                    <w14:schemeClr w14:val="tx1"/>
                  </w14:solidFill>
                </w14:textFill>
              </w:rPr>
              <w:instrText xml:space="preserve">18</w:instrText>
            </w:r>
            <w:r>
              <w:rPr>
                <w:rFonts w:hint="eastAsia"/>
                <w:b/>
                <w:bCs/>
                <w:color w:val="000000" w:themeColor="text1"/>
                <w:lang w:val="en-US" w:eastAsia="zh-CN"/>
                <w14:textFill>
                  <w14:solidFill>
                    <w14:schemeClr w14:val="tx1"/>
                  </w14:solidFill>
                </w14:textFill>
              </w:rPr>
              <w:instrText xml:space="preserve">)</w:instrText>
            </w:r>
            <w:r>
              <w:rPr>
                <w:rFonts w:hint="eastAsia"/>
                <w:b/>
                <w:bCs/>
                <w:color w:val="000000" w:themeColor="text1"/>
                <w:lang w:val="en-US" w:eastAsia="zh-CN"/>
                <w14:textFill>
                  <w14:solidFill>
                    <w14:schemeClr w14:val="tx1"/>
                  </w14:solidFill>
                </w14:textFill>
              </w:rPr>
              <w:fldChar w:fldCharType="end"/>
            </w:r>
            <w:r>
              <w:rPr>
                <w:b/>
                <w:bCs/>
                <w:color w:val="000000" w:themeColor="text1"/>
                <w14:textFill>
                  <w14:solidFill>
                    <w14:schemeClr w14:val="tx1"/>
                  </w14:solidFill>
                </w14:textFill>
              </w:rPr>
              <w:t>废催化剂</w:t>
            </w:r>
          </w:p>
          <w:p w14:paraId="57E61DD9">
            <w:pPr>
              <w:pStyle w:val="158"/>
              <w:pageBreakBefore w:val="0"/>
              <w:wordWrap w:val="0"/>
              <w:topLinePunct/>
              <w:bidi w:val="0"/>
              <w:snapToGrid/>
              <w:spacing w:beforeAutospacing="0" w:afterAutospacing="0"/>
              <w:ind w:firstLine="480"/>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本项目废气治理设施中，使用的催化剂需要定期更换，根据废气治理方案</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喷淋塔+干式过滤器+活性炭吸脱附+催化燃烧+活性炭吸附</w:t>
            </w:r>
            <w:r>
              <w:rPr>
                <w:color w:val="000000" w:themeColor="text1"/>
                <w14:textFill>
                  <w14:solidFill>
                    <w14:schemeClr w14:val="tx1"/>
                  </w14:solidFill>
                </w14:textFill>
              </w:rPr>
              <w:t>”使用量为0.4m³，</w:t>
            </w:r>
            <w:r>
              <w:rPr>
                <w:color w:val="000000" w:themeColor="text1"/>
                <w:spacing w:val="-2"/>
                <w:kern w:val="0"/>
                <w:lang w:bidi="ar"/>
                <w14:textFill>
                  <w14:solidFill>
                    <w14:schemeClr w14:val="tx1"/>
                  </w14:solidFill>
                </w14:textFill>
              </w:rPr>
              <w:t>堆积密度取0.8g/cm</w:t>
            </w:r>
            <w:r>
              <w:rPr>
                <w:color w:val="000000" w:themeColor="text1"/>
                <w:spacing w:val="-2"/>
                <w:kern w:val="0"/>
                <w:vertAlign w:val="superscript"/>
                <w:lang w:bidi="ar"/>
                <w14:textFill>
                  <w14:solidFill>
                    <w14:schemeClr w14:val="tx1"/>
                  </w14:solidFill>
                </w14:textFill>
              </w:rPr>
              <w:t>3</w:t>
            </w:r>
            <w:r>
              <w:rPr>
                <w:color w:val="000000" w:themeColor="text1"/>
                <w:spacing w:val="-2"/>
                <w:kern w:val="0"/>
                <w:lang w:bidi="ar"/>
                <w14:textFill>
                  <w14:solidFill>
                    <w14:schemeClr w14:val="tx1"/>
                  </w14:solidFill>
                </w14:textFill>
              </w:rPr>
              <w:t>，</w:t>
            </w:r>
            <w:r>
              <w:rPr>
                <w:color w:val="000000" w:themeColor="text1"/>
                <w14:textFill>
                  <w14:solidFill>
                    <w14:schemeClr w14:val="tx1"/>
                  </w14:solidFill>
                </w14:textFill>
              </w:rPr>
              <w:t>每2年需要更换一次，</w:t>
            </w:r>
            <w:r>
              <w:rPr>
                <w:rFonts w:hint="eastAsia"/>
                <w:color w:val="000000" w:themeColor="text1"/>
                <w:lang w:val="en-US" w:eastAsia="zh-CN"/>
                <w14:textFill>
                  <w14:solidFill>
                    <w14:schemeClr w14:val="tx1"/>
                  </w14:solidFill>
                </w14:textFill>
              </w:rPr>
              <w:t>项目共设1套废气治理设施需使用催化剂，则</w:t>
            </w:r>
            <w:r>
              <w:rPr>
                <w:color w:val="000000" w:themeColor="text1"/>
                <w14:textFill>
                  <w14:solidFill>
                    <w14:schemeClr w14:val="tx1"/>
                  </w14:solidFill>
                </w14:textFill>
              </w:rPr>
              <w:t>催化剂产生量为</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0.4m³×</w:t>
            </w:r>
            <w:r>
              <w:rPr>
                <w:color w:val="000000" w:themeColor="text1"/>
                <w:spacing w:val="-2"/>
                <w:kern w:val="0"/>
                <w:lang w:bidi="ar"/>
                <w14:textFill>
                  <w14:solidFill>
                    <w14:schemeClr w14:val="tx1"/>
                  </w14:solidFill>
                </w14:textFill>
              </w:rPr>
              <w:t>0.8g/cm</w:t>
            </w:r>
            <w:r>
              <w:rPr>
                <w:color w:val="000000" w:themeColor="text1"/>
                <w:spacing w:val="-2"/>
                <w:kern w:val="0"/>
                <w:vertAlign w:val="superscript"/>
                <w:lang w:bidi="ar"/>
                <w14:textFill>
                  <w14:solidFill>
                    <w14:schemeClr w14:val="tx1"/>
                  </w14:solidFill>
                </w14:textFill>
              </w:rPr>
              <w:t>3</w:t>
            </w:r>
            <w:r>
              <w:rPr>
                <w:rFonts w:hint="eastAsia"/>
                <w:color w:val="000000" w:themeColor="text1"/>
                <w:spacing w:val="-2"/>
                <w:kern w:val="0"/>
                <w:vertAlign w:val="baseline"/>
                <w:lang w:val="en-US" w:eastAsia="zh-CN" w:bidi="ar"/>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0.</w:t>
            </w:r>
            <w:r>
              <w:rPr>
                <w:rFonts w:hint="eastAsia"/>
                <w:color w:val="000000" w:themeColor="text1"/>
                <w:lang w:val="en-US" w:eastAsia="zh-CN"/>
                <w14:textFill>
                  <w14:solidFill>
                    <w14:schemeClr w14:val="tx1"/>
                  </w14:solidFill>
                </w14:textFill>
              </w:rPr>
              <w:t>16</w:t>
            </w:r>
            <w:r>
              <w:rPr>
                <w:color w:val="000000" w:themeColor="text1"/>
                <w14:textFill>
                  <w14:solidFill>
                    <w14:schemeClr w14:val="tx1"/>
                  </w14:solidFill>
                </w14:textFill>
              </w:rPr>
              <w:t>t/a</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建议参照</w:t>
            </w:r>
            <w:r>
              <w:rPr>
                <w:rFonts w:hint="eastAsia"/>
                <w:color w:val="000000" w:themeColor="text1"/>
                <w14:textFill>
                  <w14:solidFill>
                    <w14:schemeClr w14:val="tx1"/>
                  </w14:solidFill>
                </w14:textFill>
              </w:rPr>
              <w:t>《国家危险废物名录（2025年版）》中的 HW50 废催化剂，危废代码为 900-049-50（“机动车和非道路移动机械尾气净化废催化剂”）</w:t>
            </w:r>
            <w:r>
              <w:rPr>
                <w:rFonts w:hint="eastAsia"/>
                <w:color w:val="000000" w:themeColor="text1"/>
                <w:lang w:val="en-US" w:eastAsia="zh-CN"/>
                <w14:textFill>
                  <w14:solidFill>
                    <w14:schemeClr w14:val="tx1"/>
                  </w14:solidFill>
                </w14:textFill>
              </w:rPr>
              <w:t>处置</w:t>
            </w:r>
            <w:r>
              <w:rPr>
                <w:color w:val="000000" w:themeColor="text1"/>
                <w14:textFill>
                  <w14:solidFill>
                    <w14:schemeClr w14:val="tx1"/>
                  </w14:solidFill>
                </w14:textFill>
              </w:rPr>
              <w:t>。</w:t>
            </w:r>
          </w:p>
          <w:p w14:paraId="5FF840ED">
            <w:p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4.2固体废物环境管理要求</w:t>
            </w:r>
          </w:p>
          <w:p w14:paraId="6DA7BCE0">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（1）生活垃圾管理要求</w:t>
            </w:r>
          </w:p>
          <w:p w14:paraId="5E1CBDF8">
            <w:pPr>
              <w:spacing w:line="360" w:lineRule="auto"/>
              <w:ind w:firstLine="480" w:firstLineChars="200"/>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项目生活垃圾应分类收集，避雨堆放，定期委托环卫部门清运处理。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废油脂</w:t>
            </w:r>
            <w:r>
              <w:rPr>
                <w:rFonts w:hint="eastAsia" w:ascii="Times New Roman" w:hAnsi="Times New Roman" w:eastAsia="宋体" w:cs="Times New Roman"/>
                <w:color w:val="000000" w:themeColor="text1"/>
                <w:kern w:val="24"/>
                <w:sz w:val="24"/>
                <w:szCs w:val="24"/>
                <w:highlight w:val="none"/>
                <w:lang w:eastAsia="zh-CN"/>
                <w14:textFill>
                  <w14:solidFill>
                    <w14:schemeClr w14:val="tx1"/>
                  </w14:solidFill>
                </w14:textFill>
              </w:rPr>
              <w:t>交专业单位进行回收处置。</w:t>
            </w:r>
          </w:p>
          <w:p w14:paraId="15501C51">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（2）一般固体废物处理措施</w:t>
            </w:r>
          </w:p>
          <w:p w14:paraId="2D8726D8">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项目一般固体废物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暂存于</w:t>
            </w:r>
            <w:r>
              <w:rPr>
                <w:rFonts w:hint="default" w:ascii="Times New Roman" w:hAnsi="Times New Roman" w:eastAsia="宋体" w:cs="Times New Roman"/>
                <w:color w:val="000000" w:themeColor="text1"/>
                <w:sz w:val="24"/>
                <w:szCs w:val="24"/>
                <w:highlight w:val="none"/>
                <w14:textFill>
                  <w14:solidFill>
                    <w14:schemeClr w14:val="tx1"/>
                  </w14:solidFill>
                </w14:textFill>
              </w:rPr>
              <w:t>固废暂存场所，厂内一般固废临时贮存应注意：</w:t>
            </w:r>
          </w:p>
          <w:p w14:paraId="41408412">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①对一般固体废物实行从产生、收集、运输、贮存直至最终处理实行全过程管理，加强固体废物运输过程的事故风险防范，按照有关</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法律法规</w:t>
            </w:r>
            <w:r>
              <w:rPr>
                <w:rFonts w:hint="default" w:ascii="Times New Roman" w:hAnsi="Times New Roman" w:eastAsia="宋体" w:cs="Times New Roman"/>
                <w:color w:val="000000" w:themeColor="text1"/>
                <w:sz w:val="24"/>
                <w:szCs w:val="24"/>
                <w:highlight w:val="none"/>
                <w14:textFill>
                  <w14:solidFill>
                    <w14:schemeClr w14:val="tx1"/>
                  </w14:solidFill>
                </w14:textFill>
              </w:rPr>
              <w:t>的要求，对固体废弃物全过程管理应报当地环保行政主管部门等批准。</w:t>
            </w:r>
          </w:p>
          <w:p w14:paraId="0856ABC3">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一般固废暂存场所的建设应满足：贮存区采取防风防雨措施；各类固废应分类收集、定点堆放，堆放场所远离办公区和周围环境敏感点；贮存区按照《环境保护图形标志——固体废物贮存（处置）场》（GB15562.2）的要求设置环保图形标志；指定专人进行日常管理；同时禁止危险废物及生活垃圾混入。</w:t>
            </w:r>
          </w:p>
          <w:p w14:paraId="27DE8A10">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（3）危险废物防治措施</w:t>
            </w:r>
          </w:p>
          <w:p w14:paraId="26BB495B">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1）危险废物收集要求</w:t>
            </w:r>
          </w:p>
          <w:p w14:paraId="10AE75CF">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①性质类似的废物可收集到同一容器中、性质不相容的危险废物不应混合包装；</w:t>
            </w:r>
          </w:p>
          <w:p w14:paraId="44A9C270">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②危险废物包装应能有效隔断危险废物迁移扩散途径，并达到防渗、防漏要求；</w:t>
            </w:r>
          </w:p>
          <w:p w14:paraId="5745DE32">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③在危险废物的收集和转运过程中，应采取相应的安全防护和污染防治措施，包括防风、防雨、防晒、防渗漏或其他防止污染环境的措施；</w:t>
            </w:r>
          </w:p>
          <w:p w14:paraId="36510FF1">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④危险废物内部转运应考虑厂区的实际情况确定转运路线，尽量避开办公区和生活区；</w:t>
            </w:r>
          </w:p>
          <w:p w14:paraId="2A185DD2">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⑤危险废物内部转运结束后，应对转运路线进行检查和清理，确保无危险废物遗失在转运路线上，并对转运工具进行清洗；</w:t>
            </w:r>
          </w:p>
          <w:p w14:paraId="6F81D4E9">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⑥收集过危险废物的容器、设备、设施、场所及其他物品转作他用时，应消除污染，确保其使用安全。</w:t>
            </w:r>
            <w:r>
              <w:rPr>
                <w:rFonts w:hint="eastAsia" w:cs="Times New Roman"/>
                <w:color w:val="000000" w:themeColor="text1"/>
                <w:sz w:val="24"/>
                <w:szCs w:val="24"/>
                <w:highlight w:val="none"/>
                <w:lang w:val="en-US" w:eastAsia="zh-CN"/>
                <w14:textFill>
                  <w14:solidFill>
                    <w14:schemeClr w14:val="tx1"/>
                  </w14:solidFill>
                </w14:textFill>
              </w:rPr>
              <w:t xml:space="preserve">  </w:t>
            </w:r>
          </w:p>
          <w:p w14:paraId="4D0D077A">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2）危险废物贮存要求</w:t>
            </w:r>
          </w:p>
          <w:p w14:paraId="19FFE35B">
            <w:pPr>
              <w:spacing w:line="360" w:lineRule="auto"/>
              <w:ind w:firstLine="480" w:firstLineChars="200"/>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危险废物贮存设施应严格按照《危险废物贮存污染控制标准》（GB18597-2023）相关要求进行设计：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设施或贮存分区内地面、墙面裙脚、堵截泄漏的围堰、接触危险废物的隔板和墙体等应采用坚固的材料建造，表面无裂缝；贮存设施地面与裙脚应采取表面防渗措施；表面防渗材料应与所接触的物料或污染物相容，可采用抗渗混凝土、高密度聚乙烯膜、钠基膨润土防水毯或其他防渗性能等效的材料；同一贮存设施宜采用相同的防渗、防腐工艺（包括防渗、防腐结构或材料），防渗、防腐材料应覆盖所有可能与废物及其渗滤液、渗漏液等接触的构筑物表面，采用不同防渗、防腐工艺应分别建设贮存分区；贮存设施应采取技术和管理措施防止无关人员进入。</w:t>
            </w:r>
            <w:r>
              <w:rPr>
                <w:rFonts w:hint="eastAsia" w:cs="Times New Roman"/>
                <w:color w:val="000000" w:themeColor="text1"/>
                <w:sz w:val="24"/>
                <w:szCs w:val="24"/>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sz w:val="24"/>
                <w:szCs w:val="24"/>
                <w:highlight w:val="none"/>
                <w14:textFill>
                  <w14:solidFill>
                    <w14:schemeClr w14:val="tx1"/>
                  </w14:solidFill>
                </w14:textFill>
              </w:rPr>
              <w:t>密闭存贮、负压通风、定期清运</w:t>
            </w:r>
            <w:r>
              <w:rPr>
                <w:rFonts w:hint="eastAsia" w:cs="Times New Roman"/>
                <w:color w:val="000000" w:themeColor="text1"/>
                <w:sz w:val="24"/>
                <w:szCs w:val="24"/>
                <w:highlight w:val="none"/>
                <w:lang w:eastAsia="zh-CN"/>
                <w14:textFill>
                  <w14:solidFill>
                    <w14:schemeClr w14:val="tx1"/>
                  </w14:solidFill>
                </w14:textFill>
              </w:rPr>
              <w:t>。</w:t>
            </w:r>
          </w:p>
          <w:p w14:paraId="54D0D291">
            <w:pPr>
              <w:spacing w:line="360" w:lineRule="auto"/>
              <w:ind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项目危险废物的暂存场所设置情况如下表。</w:t>
            </w:r>
          </w:p>
          <w:p w14:paraId="78BBDEA5">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 xml:space="preserve">39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危险废物贮存场所基本情况表</w:t>
            </w:r>
          </w:p>
          <w:tbl>
            <w:tblPr>
              <w:tblStyle w:val="44"/>
              <w:tblW w:w="842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362"/>
              <w:gridCol w:w="1212"/>
              <w:gridCol w:w="1932"/>
              <w:gridCol w:w="780"/>
              <w:gridCol w:w="1087"/>
              <w:gridCol w:w="571"/>
              <w:gridCol w:w="652"/>
              <w:gridCol w:w="665"/>
              <w:gridCol w:w="653"/>
              <w:gridCol w:w="512"/>
            </w:tblGrid>
            <w:tr w14:paraId="5555EF3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5429EECA">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序号</w:t>
                  </w:r>
                </w:p>
              </w:tc>
              <w:tc>
                <w:tcPr>
                  <w:tcW w:w="1212" w:type="dxa"/>
                  <w:tcBorders>
                    <w:tl2br w:val="nil"/>
                    <w:tr2bl w:val="nil"/>
                  </w:tcBorders>
                  <w:noWrap w:val="0"/>
                  <w:vAlign w:val="center"/>
                </w:tcPr>
                <w:p w14:paraId="0A21A122">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贮存场所（设施）名称</w:t>
                  </w:r>
                </w:p>
              </w:tc>
              <w:tc>
                <w:tcPr>
                  <w:tcW w:w="1932" w:type="dxa"/>
                  <w:tcBorders>
                    <w:tl2br w:val="nil"/>
                    <w:tr2bl w:val="nil"/>
                  </w:tcBorders>
                  <w:noWrap w:val="0"/>
                  <w:vAlign w:val="center"/>
                </w:tcPr>
                <w:p w14:paraId="140257CF">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危险废物名称</w:t>
                  </w:r>
                </w:p>
              </w:tc>
              <w:tc>
                <w:tcPr>
                  <w:tcW w:w="780" w:type="dxa"/>
                  <w:tcBorders>
                    <w:tl2br w:val="nil"/>
                    <w:tr2bl w:val="nil"/>
                  </w:tcBorders>
                  <w:noWrap w:val="0"/>
                  <w:vAlign w:val="center"/>
                </w:tcPr>
                <w:p w14:paraId="6FCE655B">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危险废物类别</w:t>
                  </w:r>
                </w:p>
              </w:tc>
              <w:tc>
                <w:tcPr>
                  <w:tcW w:w="1087" w:type="dxa"/>
                  <w:tcBorders>
                    <w:tl2br w:val="nil"/>
                    <w:tr2bl w:val="nil"/>
                  </w:tcBorders>
                  <w:noWrap w:val="0"/>
                  <w:vAlign w:val="center"/>
                </w:tcPr>
                <w:p w14:paraId="1902C283">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危险废物代码</w:t>
                  </w:r>
                </w:p>
              </w:tc>
              <w:tc>
                <w:tcPr>
                  <w:tcW w:w="571" w:type="dxa"/>
                  <w:tcBorders>
                    <w:tl2br w:val="nil"/>
                    <w:tr2bl w:val="nil"/>
                  </w:tcBorders>
                  <w:noWrap w:val="0"/>
                  <w:vAlign w:val="center"/>
                </w:tcPr>
                <w:p w14:paraId="000B0C1C">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位置</w:t>
                  </w:r>
                </w:p>
              </w:tc>
              <w:tc>
                <w:tcPr>
                  <w:tcW w:w="652" w:type="dxa"/>
                  <w:tcBorders>
                    <w:tl2br w:val="nil"/>
                    <w:tr2bl w:val="nil"/>
                  </w:tcBorders>
                  <w:noWrap w:val="0"/>
                  <w:vAlign w:val="center"/>
                </w:tcPr>
                <w:p w14:paraId="4DA34DC1">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占地面积</w:t>
                  </w:r>
                </w:p>
              </w:tc>
              <w:tc>
                <w:tcPr>
                  <w:tcW w:w="665" w:type="dxa"/>
                  <w:tcBorders>
                    <w:tl2br w:val="nil"/>
                    <w:tr2bl w:val="nil"/>
                  </w:tcBorders>
                  <w:noWrap w:val="0"/>
                  <w:vAlign w:val="center"/>
                </w:tcPr>
                <w:p w14:paraId="260F6621">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贮存方式</w:t>
                  </w:r>
                </w:p>
              </w:tc>
              <w:tc>
                <w:tcPr>
                  <w:tcW w:w="653" w:type="dxa"/>
                  <w:tcBorders>
                    <w:tl2br w:val="nil"/>
                    <w:tr2bl w:val="nil"/>
                  </w:tcBorders>
                  <w:noWrap w:val="0"/>
                  <w:vAlign w:val="center"/>
                </w:tcPr>
                <w:p w14:paraId="1EE551D5">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贮存能力</w:t>
                  </w:r>
                </w:p>
              </w:tc>
              <w:tc>
                <w:tcPr>
                  <w:tcW w:w="512" w:type="dxa"/>
                  <w:tcBorders>
                    <w:tl2br w:val="nil"/>
                    <w:tr2bl w:val="nil"/>
                  </w:tcBorders>
                  <w:noWrap w:val="0"/>
                  <w:vAlign w:val="center"/>
                </w:tcPr>
                <w:p w14:paraId="14E9842D">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贮存周期</w:t>
                  </w:r>
                </w:p>
              </w:tc>
            </w:tr>
            <w:tr w14:paraId="0C6343E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46C6D9F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1</w:t>
                  </w:r>
                </w:p>
              </w:tc>
              <w:tc>
                <w:tcPr>
                  <w:tcW w:w="1212" w:type="dxa"/>
                  <w:vMerge w:val="restart"/>
                  <w:tcBorders>
                    <w:tl2br w:val="nil"/>
                    <w:tr2bl w:val="nil"/>
                  </w:tcBorders>
                  <w:noWrap w:val="0"/>
                  <w:vAlign w:val="center"/>
                </w:tcPr>
                <w:p w14:paraId="084AB766">
                  <w:pPr>
                    <w:widowControl/>
                    <w:spacing w:line="240" w:lineRule="auto"/>
                    <w:jc w:val="center"/>
                    <w:textAlignment w:val="center"/>
                    <w:rPr>
                      <w:rFonts w:hint="eastAsia" w:ascii="Times New Roman" w:hAnsi="Times New Roman" w:eastAsia="宋体" w:cs="Times New Roman"/>
                      <w:color w:val="000000" w:themeColor="text1"/>
                      <w:kern w:val="0"/>
                      <w:sz w:val="21"/>
                      <w:szCs w:val="21"/>
                      <w:highlight w:val="none"/>
                      <w:lang w:eastAsia="zh-CN" w:bidi="ar"/>
                      <w14:textFill>
                        <w14:solidFill>
                          <w14:schemeClr w14:val="tx1"/>
                        </w14:solidFill>
                      </w14:textFill>
                    </w:rPr>
                  </w:pPr>
                  <w:r>
                    <w:rPr>
                      <w:rFonts w:hint="eastAsia" w:cs="Times New Roman"/>
                      <w:color w:val="000000" w:themeColor="text1"/>
                      <w:kern w:val="0"/>
                      <w:sz w:val="21"/>
                      <w:szCs w:val="21"/>
                      <w:highlight w:val="none"/>
                      <w:lang w:eastAsia="zh-CN" w:bidi="ar"/>
                      <w14:textFill>
                        <w14:solidFill>
                          <w14:schemeClr w14:val="tx1"/>
                        </w14:solidFill>
                      </w14:textFill>
                    </w:rPr>
                    <w:t>危险废物贮存间</w:t>
                  </w:r>
                </w:p>
              </w:tc>
              <w:tc>
                <w:tcPr>
                  <w:tcW w:w="1932" w:type="dxa"/>
                  <w:tcBorders>
                    <w:bottom w:val="single" w:color="auto" w:sz="4" w:space="0"/>
                    <w:tl2br w:val="nil"/>
                    <w:tr2bl w:val="nil"/>
                  </w:tcBorders>
                  <w:noWrap w:val="0"/>
                  <w:vAlign w:val="center"/>
                </w:tcPr>
                <w:p w14:paraId="1E872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废表面处理剂包装桶</w:t>
                  </w:r>
                </w:p>
              </w:tc>
              <w:tc>
                <w:tcPr>
                  <w:tcW w:w="780" w:type="dxa"/>
                  <w:tcBorders>
                    <w:bottom w:val="single" w:color="auto" w:sz="4" w:space="0"/>
                    <w:tl2br w:val="nil"/>
                    <w:tr2bl w:val="nil"/>
                  </w:tcBorders>
                  <w:noWrap w:val="0"/>
                  <w:vAlign w:val="center"/>
                </w:tcPr>
                <w:p w14:paraId="4F6DFFF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HW49</w:t>
                  </w:r>
                </w:p>
              </w:tc>
              <w:tc>
                <w:tcPr>
                  <w:tcW w:w="1087" w:type="dxa"/>
                  <w:tcBorders>
                    <w:bottom w:val="single" w:color="auto" w:sz="4" w:space="0"/>
                    <w:tl2br w:val="nil"/>
                    <w:tr2bl w:val="nil"/>
                  </w:tcBorders>
                  <w:noWrap w:val="0"/>
                  <w:vAlign w:val="center"/>
                </w:tcPr>
                <w:p w14:paraId="4FFFF89A">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571" w:type="dxa"/>
                  <w:vMerge w:val="restart"/>
                  <w:tcBorders>
                    <w:tl2br w:val="nil"/>
                    <w:tr2bl w:val="nil"/>
                  </w:tcBorders>
                  <w:noWrap w:val="0"/>
                  <w:vAlign w:val="center"/>
                </w:tcPr>
                <w:p w14:paraId="27B425E4">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#厂房</w:t>
                  </w:r>
                  <w:r>
                    <w:rPr>
                      <w:rFonts w:hint="eastAsia" w:cs="Times New Roman"/>
                      <w:color w:val="000000" w:themeColor="text1"/>
                      <w:kern w:val="0"/>
                      <w:sz w:val="21"/>
                      <w:szCs w:val="21"/>
                      <w:highlight w:val="none"/>
                      <w:lang w:val="en-US" w:eastAsia="zh-CN" w:bidi="ar"/>
                      <w14:textFill>
                        <w14:solidFill>
                          <w14:schemeClr w14:val="tx1"/>
                        </w14:solidFill>
                      </w14:textFill>
                    </w:rPr>
                    <w:t>东</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北侧</w:t>
                  </w:r>
                </w:p>
              </w:tc>
              <w:tc>
                <w:tcPr>
                  <w:tcW w:w="652" w:type="dxa"/>
                  <w:vMerge w:val="restart"/>
                  <w:tcBorders>
                    <w:tl2br w:val="nil"/>
                    <w:tr2bl w:val="nil"/>
                  </w:tcBorders>
                  <w:noWrap w:val="0"/>
                  <w:vAlign w:val="center"/>
                </w:tcPr>
                <w:p w14:paraId="0FAE59F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m</w:t>
                  </w:r>
                  <w:r>
                    <w:rPr>
                      <w:rFonts w:hint="default" w:ascii="Times New Roman" w:hAnsi="Times New Roman" w:eastAsia="宋体" w:cs="Times New Roman"/>
                      <w:color w:val="000000" w:themeColor="text1"/>
                      <w:kern w:val="0"/>
                      <w:sz w:val="21"/>
                      <w:szCs w:val="21"/>
                      <w:highlight w:val="none"/>
                      <w:vertAlign w:val="superscript"/>
                      <w:lang w:bidi="ar"/>
                      <w14:textFill>
                        <w14:solidFill>
                          <w14:schemeClr w14:val="tx1"/>
                        </w14:solidFill>
                      </w14:textFill>
                    </w:rPr>
                    <w:t>2</w:t>
                  </w:r>
                  <w:r>
                    <w:rPr>
                      <w:rFonts w:hint="eastAsia" w:cs="Times New Roman"/>
                      <w:color w:val="000000" w:themeColor="text1"/>
                      <w:kern w:val="0"/>
                      <w:sz w:val="21"/>
                      <w:szCs w:val="21"/>
                      <w:highlight w:val="none"/>
                      <w:vertAlign w:val="baseline"/>
                      <w:lang w:eastAsia="zh-CN" w:bidi="ar"/>
                      <w14:textFill>
                        <w14:solidFill>
                          <w14:schemeClr w14:val="tx1"/>
                        </w14:solidFill>
                      </w14:textFill>
                    </w:rPr>
                    <w:t>，</w:t>
                  </w:r>
                  <w:r>
                    <w:rPr>
                      <w:rFonts w:hint="eastAsia" w:cs="Times New Roman"/>
                      <w:color w:val="000000" w:themeColor="text1"/>
                      <w:kern w:val="0"/>
                      <w:sz w:val="21"/>
                      <w:szCs w:val="21"/>
                      <w:highlight w:val="none"/>
                      <w:vertAlign w:val="baseline"/>
                      <w:lang w:val="en-US" w:eastAsia="zh-CN" w:bidi="ar"/>
                      <w14:textFill>
                        <w14:solidFill>
                          <w14:schemeClr w14:val="tx1"/>
                        </w14:solidFill>
                      </w14:textFill>
                    </w:rPr>
                    <w:t>贮存能力45t</w:t>
                  </w:r>
                </w:p>
              </w:tc>
              <w:tc>
                <w:tcPr>
                  <w:tcW w:w="665" w:type="dxa"/>
                  <w:tcBorders>
                    <w:tl2br w:val="nil"/>
                    <w:tr2bl w:val="nil"/>
                  </w:tcBorders>
                  <w:noWrap w:val="0"/>
                  <w:vAlign w:val="center"/>
                </w:tcPr>
                <w:p w14:paraId="51DDCB7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堆存</w:t>
                  </w:r>
                </w:p>
              </w:tc>
              <w:tc>
                <w:tcPr>
                  <w:tcW w:w="653" w:type="dxa"/>
                  <w:tcBorders>
                    <w:tl2br w:val="nil"/>
                    <w:tr2bl w:val="nil"/>
                  </w:tcBorders>
                  <w:noWrap w:val="0"/>
                  <w:vAlign w:val="center"/>
                </w:tcPr>
                <w:p w14:paraId="6A801FC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w:t>
                  </w:r>
                </w:p>
              </w:tc>
              <w:tc>
                <w:tcPr>
                  <w:tcW w:w="512" w:type="dxa"/>
                  <w:tcBorders>
                    <w:tl2br w:val="nil"/>
                    <w:tr2bl w:val="nil"/>
                  </w:tcBorders>
                  <w:noWrap w:val="0"/>
                  <w:vAlign w:val="center"/>
                </w:tcPr>
                <w:p w14:paraId="76BA2CB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1年</w:t>
                  </w:r>
                </w:p>
              </w:tc>
            </w:tr>
            <w:tr w14:paraId="71C5688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61C89A9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2</w:t>
                  </w:r>
                </w:p>
              </w:tc>
              <w:tc>
                <w:tcPr>
                  <w:tcW w:w="1212" w:type="dxa"/>
                  <w:vMerge w:val="continue"/>
                  <w:tcBorders>
                    <w:tl2br w:val="nil"/>
                    <w:tr2bl w:val="nil"/>
                  </w:tcBorders>
                  <w:noWrap w:val="0"/>
                  <w:vAlign w:val="center"/>
                </w:tcPr>
                <w:p w14:paraId="5648404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tcBorders>
                    <w:bottom w:val="single" w:color="auto" w:sz="4" w:space="0"/>
                    <w:tl2br w:val="nil"/>
                    <w:tr2bl w:val="nil"/>
                  </w:tcBorders>
                  <w:noWrap w:val="0"/>
                  <w:vAlign w:val="center"/>
                </w:tcPr>
                <w:p w14:paraId="1B3C89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预处理池泥渣及管道循环装置废物</w:t>
                  </w:r>
                </w:p>
              </w:tc>
              <w:tc>
                <w:tcPr>
                  <w:tcW w:w="780" w:type="dxa"/>
                  <w:tcBorders>
                    <w:top w:val="single" w:color="auto" w:sz="4" w:space="0"/>
                    <w:bottom w:val="single" w:color="auto" w:sz="4" w:space="0"/>
                    <w:tl2br w:val="nil"/>
                    <w:tr2bl w:val="nil"/>
                  </w:tcBorders>
                  <w:noWrap w:val="0"/>
                  <w:vAlign w:val="center"/>
                </w:tcPr>
                <w:p w14:paraId="5F76932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HW17</w:t>
                  </w:r>
                </w:p>
              </w:tc>
              <w:tc>
                <w:tcPr>
                  <w:tcW w:w="1087" w:type="dxa"/>
                  <w:tcBorders>
                    <w:top w:val="single" w:color="auto" w:sz="4" w:space="0"/>
                    <w:tl2br w:val="nil"/>
                    <w:tr2bl w:val="nil"/>
                  </w:tcBorders>
                  <w:noWrap w:val="0"/>
                  <w:vAlign w:val="center"/>
                </w:tcPr>
                <w:p w14:paraId="2FEF642C">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571" w:type="dxa"/>
                  <w:vMerge w:val="continue"/>
                  <w:tcBorders>
                    <w:tl2br w:val="nil"/>
                    <w:tr2bl w:val="nil"/>
                  </w:tcBorders>
                  <w:noWrap w:val="0"/>
                  <w:vAlign w:val="center"/>
                </w:tcPr>
                <w:p w14:paraId="17F8811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652" w:type="dxa"/>
                  <w:vMerge w:val="continue"/>
                  <w:tcBorders>
                    <w:tl2br w:val="nil"/>
                    <w:tr2bl w:val="nil"/>
                  </w:tcBorders>
                  <w:noWrap w:val="0"/>
                  <w:vAlign w:val="center"/>
                </w:tcPr>
                <w:p w14:paraId="385E9CC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665" w:type="dxa"/>
                  <w:tcBorders>
                    <w:tl2br w:val="nil"/>
                    <w:tr2bl w:val="nil"/>
                  </w:tcBorders>
                  <w:noWrap w:val="0"/>
                  <w:vAlign w:val="center"/>
                </w:tcPr>
                <w:p w14:paraId="59B2C34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tcBorders>
                    <w:tl2br w:val="nil"/>
                    <w:tr2bl w:val="nil"/>
                  </w:tcBorders>
                  <w:noWrap w:val="0"/>
                  <w:vAlign w:val="center"/>
                </w:tcPr>
                <w:p w14:paraId="4EE85D9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w:t>
                  </w:r>
                </w:p>
              </w:tc>
              <w:tc>
                <w:tcPr>
                  <w:tcW w:w="512" w:type="dxa"/>
                  <w:tcBorders>
                    <w:tl2br w:val="nil"/>
                    <w:tr2bl w:val="nil"/>
                  </w:tcBorders>
                  <w:noWrap w:val="0"/>
                  <w:vAlign w:val="center"/>
                </w:tcPr>
                <w:p w14:paraId="6E12479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1年</w:t>
                  </w:r>
                </w:p>
              </w:tc>
            </w:tr>
            <w:tr w14:paraId="269B791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16BE3AC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3</w:t>
                  </w:r>
                </w:p>
              </w:tc>
              <w:tc>
                <w:tcPr>
                  <w:tcW w:w="1212" w:type="dxa"/>
                  <w:vMerge w:val="continue"/>
                  <w:tcBorders>
                    <w:tl2br w:val="nil"/>
                    <w:tr2bl w:val="nil"/>
                  </w:tcBorders>
                  <w:noWrap w:val="0"/>
                  <w:vAlign w:val="center"/>
                </w:tcPr>
                <w:p w14:paraId="74D71D6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tcBorders>
                    <w:top w:val="single" w:color="auto" w:sz="4" w:space="0"/>
                    <w:tl2br w:val="nil"/>
                    <w:tr2bl w:val="nil"/>
                  </w:tcBorders>
                  <w:noWrap w:val="0"/>
                  <w:vAlign w:val="center"/>
                </w:tcPr>
                <w:p w14:paraId="6D742F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无铬钝化池废槽液</w:t>
                  </w:r>
                </w:p>
              </w:tc>
              <w:tc>
                <w:tcPr>
                  <w:tcW w:w="780" w:type="dxa"/>
                  <w:tcBorders>
                    <w:top w:val="single" w:color="auto" w:sz="4" w:space="0"/>
                    <w:bottom w:val="single" w:color="auto" w:sz="4" w:space="0"/>
                    <w:tl2br w:val="nil"/>
                    <w:tr2bl w:val="nil"/>
                  </w:tcBorders>
                  <w:noWrap w:val="0"/>
                  <w:vAlign w:val="center"/>
                </w:tcPr>
                <w:p w14:paraId="1A4F874F">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HW17</w:t>
                  </w:r>
                </w:p>
              </w:tc>
              <w:tc>
                <w:tcPr>
                  <w:tcW w:w="1087" w:type="dxa"/>
                  <w:tcBorders>
                    <w:bottom w:val="single" w:color="auto" w:sz="4" w:space="0"/>
                    <w:tl2br w:val="nil"/>
                    <w:tr2bl w:val="nil"/>
                  </w:tcBorders>
                  <w:noWrap w:val="0"/>
                  <w:vAlign w:val="center"/>
                </w:tcPr>
                <w:p w14:paraId="4E57E677">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571" w:type="dxa"/>
                  <w:vMerge w:val="continue"/>
                  <w:tcBorders>
                    <w:tl2br w:val="nil"/>
                    <w:tr2bl w:val="nil"/>
                  </w:tcBorders>
                  <w:noWrap w:val="0"/>
                  <w:vAlign w:val="center"/>
                </w:tcPr>
                <w:p w14:paraId="4F7281B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tcBorders>
                    <w:tl2br w:val="nil"/>
                    <w:tr2bl w:val="nil"/>
                  </w:tcBorders>
                  <w:noWrap w:val="0"/>
                  <w:vAlign w:val="center"/>
                </w:tcPr>
                <w:p w14:paraId="7402CF9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tcBorders>
                    <w:tl2br w:val="nil"/>
                    <w:tr2bl w:val="nil"/>
                  </w:tcBorders>
                  <w:noWrap w:val="0"/>
                  <w:vAlign w:val="center"/>
                </w:tcPr>
                <w:p w14:paraId="11506E6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tcBorders>
                    <w:tl2br w:val="nil"/>
                    <w:tr2bl w:val="nil"/>
                  </w:tcBorders>
                  <w:noWrap w:val="0"/>
                  <w:vAlign w:val="center"/>
                </w:tcPr>
                <w:p w14:paraId="57F7DF8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15</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w:t>
                  </w:r>
                </w:p>
              </w:tc>
              <w:tc>
                <w:tcPr>
                  <w:tcW w:w="512" w:type="dxa"/>
                  <w:tcBorders>
                    <w:tl2br w:val="nil"/>
                    <w:tr2bl w:val="nil"/>
                  </w:tcBorders>
                  <w:noWrap w:val="0"/>
                  <w:vAlign w:val="center"/>
                </w:tcPr>
                <w:p w14:paraId="48FDFFAB">
                  <w:pPr>
                    <w:widowControl/>
                    <w:spacing w:line="240" w:lineRule="auto"/>
                    <w:jc w:val="center"/>
                    <w:textAlignment w:val="center"/>
                    <w:rPr>
                      <w:rFonts w:hint="eastAsia" w:ascii="Times New Roman" w:hAnsi="Times New Roman" w:eastAsia="宋体" w:cs="Times New Roman"/>
                      <w:color w:val="000000" w:themeColor="text1"/>
                      <w:kern w:val="0"/>
                      <w:sz w:val="21"/>
                      <w:szCs w:val="21"/>
                      <w:highlight w:val="none"/>
                      <w:lang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半年</w:t>
                  </w:r>
                </w:p>
              </w:tc>
            </w:tr>
            <w:tr w14:paraId="22337F6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69F7EF35">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w:t>
                  </w:r>
                </w:p>
              </w:tc>
              <w:tc>
                <w:tcPr>
                  <w:tcW w:w="1212" w:type="dxa"/>
                  <w:vMerge w:val="continue"/>
                  <w:tcBorders>
                    <w:tl2br w:val="nil"/>
                    <w:tr2bl w:val="nil"/>
                  </w:tcBorders>
                  <w:noWrap w:val="0"/>
                  <w:vAlign w:val="center"/>
                </w:tcPr>
                <w:p w14:paraId="24AAAA2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tcBorders>
                    <w:tl2br w:val="nil"/>
                    <w:tr2bl w:val="nil"/>
                  </w:tcBorders>
                  <w:noWrap w:val="0"/>
                  <w:vAlign w:val="center"/>
                </w:tcPr>
                <w:p w14:paraId="28159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废水处理站污泥</w:t>
                  </w:r>
                </w:p>
              </w:tc>
              <w:tc>
                <w:tcPr>
                  <w:tcW w:w="780" w:type="dxa"/>
                  <w:tcBorders>
                    <w:top w:val="single" w:color="auto" w:sz="4" w:space="0"/>
                    <w:bottom w:val="single" w:color="auto" w:sz="4" w:space="0"/>
                    <w:tl2br w:val="nil"/>
                    <w:tr2bl w:val="nil"/>
                  </w:tcBorders>
                  <w:noWrap w:val="0"/>
                  <w:vAlign w:val="center"/>
                </w:tcPr>
                <w:p w14:paraId="49345C9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HW17</w:t>
                  </w:r>
                </w:p>
              </w:tc>
              <w:tc>
                <w:tcPr>
                  <w:tcW w:w="1087" w:type="dxa"/>
                  <w:tcBorders>
                    <w:top w:val="single" w:color="auto" w:sz="4" w:space="0"/>
                    <w:bottom w:val="single" w:color="auto" w:sz="4" w:space="0"/>
                    <w:tl2br w:val="nil"/>
                    <w:tr2bl w:val="nil"/>
                  </w:tcBorders>
                  <w:noWrap w:val="0"/>
                  <w:vAlign w:val="center"/>
                </w:tcPr>
                <w:p w14:paraId="30376AF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336-064-17</w:t>
                  </w:r>
                </w:p>
              </w:tc>
              <w:tc>
                <w:tcPr>
                  <w:tcW w:w="571" w:type="dxa"/>
                  <w:vMerge w:val="continue"/>
                  <w:tcBorders>
                    <w:tl2br w:val="nil"/>
                    <w:tr2bl w:val="nil"/>
                  </w:tcBorders>
                  <w:noWrap w:val="0"/>
                  <w:vAlign w:val="center"/>
                </w:tcPr>
                <w:p w14:paraId="4A4EC00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tcBorders>
                    <w:tl2br w:val="nil"/>
                    <w:tr2bl w:val="nil"/>
                  </w:tcBorders>
                  <w:noWrap w:val="0"/>
                  <w:vAlign w:val="center"/>
                </w:tcPr>
                <w:p w14:paraId="2CDDFEC4">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tcBorders>
                    <w:tl2br w:val="nil"/>
                    <w:tr2bl w:val="nil"/>
                  </w:tcBorders>
                  <w:noWrap w:val="0"/>
                  <w:vAlign w:val="center"/>
                </w:tcPr>
                <w:p w14:paraId="3572E78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袋装</w:t>
                  </w:r>
                </w:p>
              </w:tc>
              <w:tc>
                <w:tcPr>
                  <w:tcW w:w="653" w:type="dxa"/>
                  <w:tcBorders>
                    <w:tl2br w:val="nil"/>
                    <w:tr2bl w:val="nil"/>
                  </w:tcBorders>
                  <w:noWrap w:val="0"/>
                  <w:vAlign w:val="center"/>
                </w:tcPr>
                <w:p w14:paraId="6B6A6F7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w:t>
                  </w:r>
                </w:p>
              </w:tc>
              <w:tc>
                <w:tcPr>
                  <w:tcW w:w="512" w:type="dxa"/>
                  <w:tcBorders>
                    <w:tl2br w:val="nil"/>
                    <w:tr2bl w:val="nil"/>
                  </w:tcBorders>
                  <w:noWrap w:val="0"/>
                  <w:vAlign w:val="center"/>
                </w:tcPr>
                <w:p w14:paraId="1ECEF3D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1年</w:t>
                  </w:r>
                </w:p>
              </w:tc>
            </w:tr>
            <w:tr w14:paraId="377972F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3358B52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w:t>
                  </w:r>
                </w:p>
              </w:tc>
              <w:tc>
                <w:tcPr>
                  <w:tcW w:w="1212" w:type="dxa"/>
                  <w:vMerge w:val="continue"/>
                  <w:tcBorders>
                    <w:tl2br w:val="nil"/>
                    <w:tr2bl w:val="nil"/>
                  </w:tcBorders>
                  <w:noWrap w:val="0"/>
                  <w:vAlign w:val="center"/>
                </w:tcPr>
                <w:p w14:paraId="529D3D98">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tcBorders>
                    <w:bottom w:val="single" w:color="auto" w:sz="4" w:space="0"/>
                    <w:tl2br w:val="nil"/>
                    <w:tr2bl w:val="nil"/>
                  </w:tcBorders>
                  <w:noWrap w:val="0"/>
                  <w:vAlign w:val="center"/>
                </w:tcPr>
                <w:p w14:paraId="394A8E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废pH调整剂包装桶</w:t>
                  </w:r>
                </w:p>
              </w:tc>
              <w:tc>
                <w:tcPr>
                  <w:tcW w:w="780" w:type="dxa"/>
                  <w:tcBorders>
                    <w:top w:val="single" w:color="auto" w:sz="4" w:space="0"/>
                    <w:bottom w:val="single" w:color="auto" w:sz="4" w:space="0"/>
                    <w:tl2br w:val="nil"/>
                    <w:tr2bl w:val="nil"/>
                  </w:tcBorders>
                  <w:noWrap w:val="0"/>
                  <w:vAlign w:val="center"/>
                </w:tcPr>
                <w:p w14:paraId="7820DC13">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HW49</w:t>
                  </w:r>
                </w:p>
              </w:tc>
              <w:tc>
                <w:tcPr>
                  <w:tcW w:w="1087" w:type="dxa"/>
                  <w:tcBorders>
                    <w:top w:val="single" w:color="auto" w:sz="4" w:space="0"/>
                    <w:bottom w:val="single" w:color="auto" w:sz="4" w:space="0"/>
                    <w:tl2br w:val="nil"/>
                    <w:tr2bl w:val="nil"/>
                  </w:tcBorders>
                  <w:noWrap w:val="0"/>
                  <w:vAlign w:val="center"/>
                </w:tcPr>
                <w:p w14:paraId="61597881">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571" w:type="dxa"/>
                  <w:vMerge w:val="continue"/>
                  <w:tcBorders>
                    <w:tl2br w:val="nil"/>
                    <w:tr2bl w:val="nil"/>
                  </w:tcBorders>
                  <w:noWrap w:val="0"/>
                  <w:vAlign w:val="center"/>
                </w:tcPr>
                <w:p w14:paraId="46767C6F">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tcBorders>
                    <w:tl2br w:val="nil"/>
                    <w:tr2bl w:val="nil"/>
                  </w:tcBorders>
                  <w:noWrap w:val="0"/>
                  <w:vAlign w:val="center"/>
                </w:tcPr>
                <w:p w14:paraId="66DD09C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tcBorders>
                    <w:tl2br w:val="nil"/>
                    <w:tr2bl w:val="nil"/>
                  </w:tcBorders>
                  <w:noWrap w:val="0"/>
                  <w:vAlign w:val="center"/>
                </w:tcPr>
                <w:p w14:paraId="28EAD26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堆存</w:t>
                  </w:r>
                </w:p>
              </w:tc>
              <w:tc>
                <w:tcPr>
                  <w:tcW w:w="653" w:type="dxa"/>
                  <w:tcBorders>
                    <w:tl2br w:val="nil"/>
                    <w:tr2bl w:val="nil"/>
                  </w:tcBorders>
                  <w:noWrap w:val="0"/>
                  <w:vAlign w:val="center"/>
                </w:tcPr>
                <w:p w14:paraId="3303DA2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0.1</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w:t>
                  </w:r>
                </w:p>
              </w:tc>
              <w:tc>
                <w:tcPr>
                  <w:tcW w:w="512" w:type="dxa"/>
                  <w:tcBorders>
                    <w:tl2br w:val="nil"/>
                    <w:tr2bl w:val="nil"/>
                  </w:tcBorders>
                  <w:noWrap w:val="0"/>
                  <w:vAlign w:val="center"/>
                </w:tcPr>
                <w:p w14:paraId="270EF6A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1年</w:t>
                  </w:r>
                </w:p>
              </w:tc>
            </w:tr>
            <w:tr w14:paraId="56376C6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0100E9BF">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6</w:t>
                  </w:r>
                </w:p>
              </w:tc>
              <w:tc>
                <w:tcPr>
                  <w:tcW w:w="1212" w:type="dxa"/>
                  <w:vMerge w:val="continue"/>
                  <w:tcBorders>
                    <w:tl2br w:val="nil"/>
                    <w:tr2bl w:val="nil"/>
                  </w:tcBorders>
                  <w:noWrap w:val="0"/>
                  <w:vAlign w:val="center"/>
                </w:tcPr>
                <w:p w14:paraId="363ACA1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tcBorders>
                    <w:top w:val="single" w:color="auto" w:sz="4" w:space="0"/>
                    <w:tl2br w:val="nil"/>
                    <w:tr2bl w:val="nil"/>
                  </w:tcBorders>
                  <w:noWrap w:val="0"/>
                  <w:vAlign w:val="center"/>
                </w:tcPr>
                <w:p w14:paraId="3A8849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废机油桶</w:t>
                  </w:r>
                </w:p>
              </w:tc>
              <w:tc>
                <w:tcPr>
                  <w:tcW w:w="780" w:type="dxa"/>
                  <w:tcBorders>
                    <w:top w:val="single" w:color="auto" w:sz="4" w:space="0"/>
                    <w:tl2br w:val="nil"/>
                    <w:tr2bl w:val="nil"/>
                  </w:tcBorders>
                  <w:noWrap w:val="0"/>
                  <w:vAlign w:val="center"/>
                </w:tcPr>
                <w:p w14:paraId="572CE3B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HW08</w:t>
                  </w:r>
                </w:p>
              </w:tc>
              <w:tc>
                <w:tcPr>
                  <w:tcW w:w="1087" w:type="dxa"/>
                  <w:tcBorders>
                    <w:top w:val="single" w:color="auto" w:sz="4" w:space="0"/>
                    <w:tl2br w:val="nil"/>
                    <w:tr2bl w:val="nil"/>
                  </w:tcBorders>
                  <w:noWrap w:val="0"/>
                  <w:vAlign w:val="center"/>
                </w:tcPr>
                <w:p w14:paraId="54B5746A">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571" w:type="dxa"/>
                  <w:vMerge w:val="continue"/>
                  <w:tcBorders>
                    <w:tl2br w:val="nil"/>
                    <w:tr2bl w:val="nil"/>
                  </w:tcBorders>
                  <w:noWrap w:val="0"/>
                  <w:vAlign w:val="center"/>
                </w:tcPr>
                <w:p w14:paraId="3DB4AE2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tcBorders>
                    <w:tl2br w:val="nil"/>
                    <w:tr2bl w:val="nil"/>
                  </w:tcBorders>
                  <w:noWrap w:val="0"/>
                  <w:vAlign w:val="center"/>
                </w:tcPr>
                <w:p w14:paraId="4644DCA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tcBorders>
                    <w:tl2br w:val="nil"/>
                    <w:tr2bl w:val="nil"/>
                  </w:tcBorders>
                  <w:noWrap w:val="0"/>
                  <w:vAlign w:val="center"/>
                </w:tcPr>
                <w:p w14:paraId="22D1128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堆存</w:t>
                  </w:r>
                </w:p>
              </w:tc>
              <w:tc>
                <w:tcPr>
                  <w:tcW w:w="653" w:type="dxa"/>
                  <w:vMerge w:val="restart"/>
                  <w:tcBorders>
                    <w:tl2br w:val="nil"/>
                    <w:tr2bl w:val="nil"/>
                  </w:tcBorders>
                  <w:noWrap w:val="0"/>
                  <w:vAlign w:val="center"/>
                </w:tcPr>
                <w:p w14:paraId="21E3302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1.5</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w:t>
                  </w:r>
                </w:p>
              </w:tc>
              <w:tc>
                <w:tcPr>
                  <w:tcW w:w="512" w:type="dxa"/>
                  <w:vMerge w:val="restart"/>
                  <w:tcBorders>
                    <w:tl2br w:val="nil"/>
                    <w:tr2bl w:val="nil"/>
                  </w:tcBorders>
                  <w:noWrap w:val="0"/>
                  <w:vAlign w:val="center"/>
                </w:tcPr>
                <w:p w14:paraId="29F1AC3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1年</w:t>
                  </w:r>
                </w:p>
              </w:tc>
            </w:tr>
            <w:tr w14:paraId="4B0DED6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9A68A05">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7</w:t>
                  </w:r>
                </w:p>
              </w:tc>
              <w:tc>
                <w:tcPr>
                  <w:tcW w:w="1212" w:type="dxa"/>
                  <w:vMerge w:val="continue"/>
                  <w:noWrap w:val="0"/>
                  <w:vAlign w:val="center"/>
                </w:tcPr>
                <w:p w14:paraId="471C36C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noWrap w:val="0"/>
                  <w:vAlign w:val="center"/>
                </w:tcPr>
                <w:p w14:paraId="45BAC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w:t>
                  </w:r>
                </w:p>
              </w:tc>
              <w:tc>
                <w:tcPr>
                  <w:tcW w:w="780" w:type="dxa"/>
                  <w:tcBorders>
                    <w:bottom w:val="single" w:color="auto" w:sz="4" w:space="0"/>
                  </w:tcBorders>
                  <w:noWrap w:val="0"/>
                  <w:vAlign w:val="center"/>
                </w:tcPr>
                <w:p w14:paraId="7D22173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HW08</w:t>
                  </w:r>
                </w:p>
              </w:tc>
              <w:tc>
                <w:tcPr>
                  <w:tcW w:w="1087" w:type="dxa"/>
                  <w:tcBorders>
                    <w:bottom w:val="single" w:color="auto" w:sz="4" w:space="0"/>
                  </w:tcBorders>
                  <w:noWrap w:val="0"/>
                  <w:vAlign w:val="center"/>
                </w:tcPr>
                <w:p w14:paraId="25A88A8C">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571" w:type="dxa"/>
                  <w:vMerge w:val="continue"/>
                  <w:noWrap w:val="0"/>
                  <w:vAlign w:val="center"/>
                </w:tcPr>
                <w:p w14:paraId="7B527E7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0D477FF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364F478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vMerge w:val="continue"/>
                  <w:noWrap w:val="0"/>
                  <w:vAlign w:val="center"/>
                </w:tcPr>
                <w:p w14:paraId="10A550E4">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512" w:type="dxa"/>
                  <w:vMerge w:val="continue"/>
                  <w:noWrap w:val="0"/>
                  <w:vAlign w:val="center"/>
                </w:tcPr>
                <w:p w14:paraId="3087C1C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r>
            <w:tr w14:paraId="26EF629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5374C16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8</w:t>
                  </w:r>
                </w:p>
              </w:tc>
              <w:tc>
                <w:tcPr>
                  <w:tcW w:w="1212" w:type="dxa"/>
                  <w:vMerge w:val="continue"/>
                  <w:noWrap w:val="0"/>
                  <w:vAlign w:val="center"/>
                </w:tcPr>
                <w:p w14:paraId="5E9DED8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noWrap w:val="0"/>
                  <w:vAlign w:val="center"/>
                </w:tcPr>
                <w:p w14:paraId="2F090B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废含油抹布手套</w:t>
                  </w:r>
                </w:p>
              </w:tc>
              <w:tc>
                <w:tcPr>
                  <w:tcW w:w="780" w:type="dxa"/>
                  <w:tcBorders>
                    <w:top w:val="single" w:color="auto" w:sz="4" w:space="0"/>
                    <w:bottom w:val="single" w:color="auto" w:sz="4" w:space="0"/>
                  </w:tcBorders>
                  <w:noWrap w:val="0"/>
                  <w:vAlign w:val="center"/>
                </w:tcPr>
                <w:p w14:paraId="15D6340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HW49</w:t>
                  </w:r>
                </w:p>
              </w:tc>
              <w:tc>
                <w:tcPr>
                  <w:tcW w:w="1087" w:type="dxa"/>
                  <w:tcBorders>
                    <w:top w:val="single" w:color="auto" w:sz="4" w:space="0"/>
                    <w:bottom w:val="single" w:color="auto" w:sz="4" w:space="0"/>
                  </w:tcBorders>
                  <w:noWrap w:val="0"/>
                  <w:vAlign w:val="center"/>
                </w:tcPr>
                <w:p w14:paraId="61F5F78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900-041-49</w:t>
                  </w:r>
                </w:p>
              </w:tc>
              <w:tc>
                <w:tcPr>
                  <w:tcW w:w="571" w:type="dxa"/>
                  <w:vMerge w:val="continue"/>
                  <w:noWrap w:val="0"/>
                  <w:vAlign w:val="center"/>
                </w:tcPr>
                <w:p w14:paraId="5A0EF46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6EE5F818">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2130FDF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袋装</w:t>
                  </w:r>
                </w:p>
              </w:tc>
              <w:tc>
                <w:tcPr>
                  <w:tcW w:w="653" w:type="dxa"/>
                  <w:vMerge w:val="continue"/>
                  <w:noWrap w:val="0"/>
                  <w:vAlign w:val="center"/>
                </w:tcPr>
                <w:p w14:paraId="5070F89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512" w:type="dxa"/>
                  <w:vMerge w:val="continue"/>
                  <w:noWrap w:val="0"/>
                  <w:vAlign w:val="center"/>
                </w:tcPr>
                <w:p w14:paraId="0F0F72F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r>
            <w:tr w14:paraId="452A565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428BA1A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w:t>
                  </w:r>
                </w:p>
              </w:tc>
              <w:tc>
                <w:tcPr>
                  <w:tcW w:w="1212" w:type="dxa"/>
                  <w:vMerge w:val="continue"/>
                  <w:noWrap w:val="0"/>
                  <w:vAlign w:val="center"/>
                </w:tcPr>
                <w:p w14:paraId="7A02272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noWrap w:val="0"/>
                  <w:vAlign w:val="center"/>
                </w:tcPr>
                <w:p w14:paraId="32DF14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废液压油桶</w:t>
                  </w:r>
                </w:p>
              </w:tc>
              <w:tc>
                <w:tcPr>
                  <w:tcW w:w="780" w:type="dxa"/>
                  <w:tcBorders>
                    <w:top w:val="single" w:color="auto" w:sz="4" w:space="0"/>
                    <w:bottom w:val="single" w:color="auto" w:sz="4" w:space="0"/>
                  </w:tcBorders>
                  <w:noWrap w:val="0"/>
                  <w:vAlign w:val="center"/>
                </w:tcPr>
                <w:p w14:paraId="3FDA5673">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HW08</w:t>
                  </w:r>
                </w:p>
              </w:tc>
              <w:tc>
                <w:tcPr>
                  <w:tcW w:w="1087" w:type="dxa"/>
                  <w:tcBorders>
                    <w:top w:val="single" w:color="auto" w:sz="4" w:space="0"/>
                    <w:bottom w:val="single" w:color="auto" w:sz="4" w:space="0"/>
                  </w:tcBorders>
                  <w:noWrap w:val="0"/>
                  <w:vAlign w:val="center"/>
                </w:tcPr>
                <w:p w14:paraId="2FE4E06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571" w:type="dxa"/>
                  <w:vMerge w:val="continue"/>
                  <w:noWrap w:val="0"/>
                  <w:vAlign w:val="center"/>
                </w:tcPr>
                <w:p w14:paraId="1B11BD58">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76A1F05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071994E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堆存</w:t>
                  </w:r>
                </w:p>
              </w:tc>
              <w:tc>
                <w:tcPr>
                  <w:tcW w:w="653" w:type="dxa"/>
                  <w:vMerge w:val="continue"/>
                  <w:noWrap w:val="0"/>
                  <w:vAlign w:val="center"/>
                </w:tcPr>
                <w:p w14:paraId="127A4D68">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512" w:type="dxa"/>
                  <w:vMerge w:val="continue"/>
                  <w:noWrap w:val="0"/>
                  <w:vAlign w:val="center"/>
                </w:tcPr>
                <w:p w14:paraId="479AD664">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r>
            <w:tr w14:paraId="3018C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351ACF0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10</w:t>
                  </w:r>
                </w:p>
              </w:tc>
              <w:tc>
                <w:tcPr>
                  <w:tcW w:w="1212" w:type="dxa"/>
                  <w:vMerge w:val="continue"/>
                  <w:noWrap w:val="0"/>
                  <w:vAlign w:val="center"/>
                </w:tcPr>
                <w:p w14:paraId="1ACCBED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noWrap w:val="0"/>
                  <w:vAlign w:val="center"/>
                </w:tcPr>
                <w:p w14:paraId="7D2ECB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w:t>
                  </w:r>
                </w:p>
              </w:tc>
              <w:tc>
                <w:tcPr>
                  <w:tcW w:w="780" w:type="dxa"/>
                  <w:noWrap w:val="0"/>
                  <w:vAlign w:val="center"/>
                </w:tcPr>
                <w:p w14:paraId="2384DD4D">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HW08</w:t>
                  </w:r>
                </w:p>
              </w:tc>
              <w:tc>
                <w:tcPr>
                  <w:tcW w:w="1087" w:type="dxa"/>
                  <w:noWrap w:val="0"/>
                  <w:vAlign w:val="center"/>
                </w:tcPr>
                <w:p w14:paraId="235738B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900-249-08</w:t>
                  </w:r>
                </w:p>
              </w:tc>
              <w:tc>
                <w:tcPr>
                  <w:tcW w:w="571" w:type="dxa"/>
                  <w:vMerge w:val="continue"/>
                  <w:noWrap w:val="0"/>
                  <w:vAlign w:val="center"/>
                </w:tcPr>
                <w:p w14:paraId="4ADBF48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20F641B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4A9E5F5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vMerge w:val="continue"/>
                  <w:noWrap w:val="0"/>
                  <w:vAlign w:val="center"/>
                </w:tcPr>
                <w:p w14:paraId="48668B75">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512" w:type="dxa"/>
                  <w:vMerge w:val="continue"/>
                  <w:noWrap w:val="0"/>
                  <w:vAlign w:val="center"/>
                </w:tcPr>
                <w:p w14:paraId="41EF2AA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r>
            <w:tr w14:paraId="1007ECC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7D3C9858">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11</w:t>
                  </w:r>
                </w:p>
              </w:tc>
              <w:tc>
                <w:tcPr>
                  <w:tcW w:w="1212" w:type="dxa"/>
                  <w:vMerge w:val="continue"/>
                  <w:noWrap w:val="0"/>
                  <w:vAlign w:val="center"/>
                </w:tcPr>
                <w:p w14:paraId="5243574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shd w:val="clear" w:color="auto" w:fill="auto"/>
                  <w:noWrap w:val="0"/>
                  <w:vAlign w:val="center"/>
                </w:tcPr>
                <w:p w14:paraId="5EBA5B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废原料桶</w:t>
                  </w:r>
                </w:p>
              </w:tc>
              <w:tc>
                <w:tcPr>
                  <w:tcW w:w="780" w:type="dxa"/>
                  <w:shd w:val="clear" w:color="auto" w:fill="auto"/>
                  <w:noWrap w:val="0"/>
                  <w:vAlign w:val="center"/>
                </w:tcPr>
                <w:p w14:paraId="37AB28D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HW49</w:t>
                  </w:r>
                </w:p>
              </w:tc>
              <w:tc>
                <w:tcPr>
                  <w:tcW w:w="1087" w:type="dxa"/>
                  <w:shd w:val="clear" w:color="auto" w:fill="auto"/>
                  <w:noWrap w:val="0"/>
                  <w:vAlign w:val="center"/>
                </w:tcPr>
                <w:p w14:paraId="2CC5693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900-041-49</w:t>
                  </w:r>
                </w:p>
              </w:tc>
              <w:tc>
                <w:tcPr>
                  <w:tcW w:w="571" w:type="dxa"/>
                  <w:vMerge w:val="continue"/>
                  <w:noWrap w:val="0"/>
                  <w:vAlign w:val="center"/>
                </w:tcPr>
                <w:p w14:paraId="6811B80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5F58CA6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6B0C74E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堆存</w:t>
                  </w:r>
                </w:p>
              </w:tc>
              <w:tc>
                <w:tcPr>
                  <w:tcW w:w="653" w:type="dxa"/>
                  <w:noWrap w:val="0"/>
                  <w:vAlign w:val="center"/>
                </w:tcPr>
                <w:p w14:paraId="1332125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0.3t</w:t>
                  </w:r>
                </w:p>
              </w:tc>
              <w:tc>
                <w:tcPr>
                  <w:tcW w:w="512" w:type="dxa"/>
                  <w:noWrap w:val="0"/>
                  <w:vAlign w:val="center"/>
                </w:tcPr>
                <w:p w14:paraId="0290439F">
                  <w:pPr>
                    <w:widowControl/>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1年</w:t>
                  </w:r>
                </w:p>
              </w:tc>
            </w:tr>
            <w:tr w14:paraId="10CD0DD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6D463E5">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r>
                    <w:rPr>
                      <w:rFonts w:hint="eastAsia" w:cs="Times New Roman"/>
                      <w:color w:val="000000" w:themeColor="text1"/>
                      <w:kern w:val="0"/>
                      <w:sz w:val="21"/>
                      <w:szCs w:val="21"/>
                      <w:highlight w:val="none"/>
                      <w:lang w:val="en-US" w:eastAsia="zh-CN" w:bidi="ar"/>
                      <w14:textFill>
                        <w14:solidFill>
                          <w14:schemeClr w14:val="tx1"/>
                        </w14:solidFill>
                      </w14:textFill>
                    </w:rPr>
                    <w:t>2</w:t>
                  </w:r>
                </w:p>
              </w:tc>
              <w:tc>
                <w:tcPr>
                  <w:tcW w:w="1212" w:type="dxa"/>
                  <w:vMerge w:val="continue"/>
                  <w:noWrap w:val="0"/>
                  <w:vAlign w:val="center"/>
                </w:tcPr>
                <w:p w14:paraId="3E51FDD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shd w:val="clear" w:color="auto" w:fill="auto"/>
                  <w:noWrap w:val="0"/>
                  <w:vAlign w:val="center"/>
                </w:tcPr>
                <w:p w14:paraId="276FEC0F">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喷枪清洗液</w:t>
                  </w:r>
                </w:p>
              </w:tc>
              <w:tc>
                <w:tcPr>
                  <w:tcW w:w="780" w:type="dxa"/>
                  <w:shd w:val="clear" w:color="auto" w:fill="auto"/>
                  <w:noWrap w:val="0"/>
                  <w:vAlign w:val="center"/>
                </w:tcPr>
                <w:p w14:paraId="15BD30F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HW06</w:t>
                  </w:r>
                </w:p>
              </w:tc>
              <w:tc>
                <w:tcPr>
                  <w:tcW w:w="1087" w:type="dxa"/>
                  <w:shd w:val="clear" w:color="auto" w:fill="auto"/>
                  <w:noWrap w:val="0"/>
                  <w:vAlign w:val="center"/>
                </w:tcPr>
                <w:p w14:paraId="0013D2A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900-402-06</w:t>
                  </w:r>
                </w:p>
              </w:tc>
              <w:tc>
                <w:tcPr>
                  <w:tcW w:w="571" w:type="dxa"/>
                  <w:vMerge w:val="continue"/>
                  <w:noWrap w:val="0"/>
                  <w:vAlign w:val="center"/>
                </w:tcPr>
                <w:p w14:paraId="0F73B0C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05BE4C9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67417954">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noWrap w:val="0"/>
                  <w:vAlign w:val="center"/>
                </w:tcPr>
                <w:p w14:paraId="3735B49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0.1t</w:t>
                  </w:r>
                </w:p>
              </w:tc>
              <w:tc>
                <w:tcPr>
                  <w:tcW w:w="512" w:type="dxa"/>
                  <w:noWrap w:val="0"/>
                  <w:vAlign w:val="center"/>
                </w:tcPr>
                <w:p w14:paraId="3B35CD21">
                  <w:pPr>
                    <w:widowControl/>
                    <w:spacing w:line="240" w:lineRule="auto"/>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半年</w:t>
                  </w:r>
                </w:p>
              </w:tc>
            </w:tr>
            <w:tr w14:paraId="3B0A9CC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1E36E67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r>
                    <w:rPr>
                      <w:rFonts w:hint="eastAsia" w:cs="Times New Roman"/>
                      <w:color w:val="000000" w:themeColor="text1"/>
                      <w:kern w:val="0"/>
                      <w:sz w:val="21"/>
                      <w:szCs w:val="21"/>
                      <w:highlight w:val="none"/>
                      <w:lang w:val="en-US" w:eastAsia="zh-CN" w:bidi="ar"/>
                      <w14:textFill>
                        <w14:solidFill>
                          <w14:schemeClr w14:val="tx1"/>
                        </w14:solidFill>
                      </w14:textFill>
                    </w:rPr>
                    <w:t>3</w:t>
                  </w:r>
                </w:p>
              </w:tc>
              <w:tc>
                <w:tcPr>
                  <w:tcW w:w="1212" w:type="dxa"/>
                  <w:vMerge w:val="continue"/>
                  <w:noWrap w:val="0"/>
                  <w:vAlign w:val="center"/>
                </w:tcPr>
                <w:p w14:paraId="6BDCB54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shd w:val="clear" w:color="auto" w:fill="auto"/>
                  <w:noWrap w:val="0"/>
                  <w:vAlign w:val="center"/>
                </w:tcPr>
                <w:p w14:paraId="55BBE6BD">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废滤芯静电喷粉</w:t>
                  </w:r>
                </w:p>
              </w:tc>
              <w:tc>
                <w:tcPr>
                  <w:tcW w:w="780" w:type="dxa"/>
                  <w:shd w:val="clear" w:color="auto" w:fill="auto"/>
                  <w:noWrap w:val="0"/>
                  <w:vAlign w:val="center"/>
                </w:tcPr>
                <w:p w14:paraId="203BF0B7">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000000" w:themeColor="text1"/>
                      <w:spacing w:val="-2"/>
                      <w:kern w:val="44"/>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HW49</w:t>
                  </w:r>
                </w:p>
              </w:tc>
              <w:tc>
                <w:tcPr>
                  <w:tcW w:w="1087" w:type="dxa"/>
                  <w:shd w:val="clear" w:color="auto" w:fill="auto"/>
                  <w:noWrap w:val="0"/>
                  <w:vAlign w:val="center"/>
                </w:tcPr>
                <w:p w14:paraId="4CD0F252">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000000" w:themeColor="text1"/>
                      <w:spacing w:val="-2"/>
                      <w:kern w:val="44"/>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900-041-49</w:t>
                  </w:r>
                </w:p>
              </w:tc>
              <w:tc>
                <w:tcPr>
                  <w:tcW w:w="571" w:type="dxa"/>
                  <w:vMerge w:val="continue"/>
                  <w:noWrap w:val="0"/>
                  <w:vAlign w:val="center"/>
                </w:tcPr>
                <w:p w14:paraId="385F984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2E6D4FE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401CF6A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noWrap w:val="0"/>
                  <w:vAlign w:val="center"/>
                </w:tcPr>
                <w:p w14:paraId="62A7D39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0.1t</w:t>
                  </w:r>
                </w:p>
              </w:tc>
              <w:tc>
                <w:tcPr>
                  <w:tcW w:w="512" w:type="dxa"/>
                  <w:noWrap w:val="0"/>
                  <w:vAlign w:val="center"/>
                </w:tcPr>
                <w:p w14:paraId="092119C4">
                  <w:pPr>
                    <w:widowControl/>
                    <w:spacing w:line="240" w:lineRule="auto"/>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1年</w:t>
                  </w:r>
                </w:p>
              </w:tc>
            </w:tr>
            <w:tr w14:paraId="7EF3FEF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3ABA0DE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r>
                    <w:rPr>
                      <w:rFonts w:hint="eastAsia" w:cs="Times New Roman"/>
                      <w:color w:val="000000" w:themeColor="text1"/>
                      <w:kern w:val="0"/>
                      <w:sz w:val="21"/>
                      <w:szCs w:val="21"/>
                      <w:highlight w:val="none"/>
                      <w:lang w:val="en-US" w:eastAsia="zh-CN" w:bidi="ar"/>
                      <w14:textFill>
                        <w14:solidFill>
                          <w14:schemeClr w14:val="tx1"/>
                        </w14:solidFill>
                      </w14:textFill>
                    </w:rPr>
                    <w:t>4</w:t>
                  </w:r>
                </w:p>
              </w:tc>
              <w:tc>
                <w:tcPr>
                  <w:tcW w:w="1212" w:type="dxa"/>
                  <w:vMerge w:val="continue"/>
                  <w:noWrap w:val="0"/>
                  <w:vAlign w:val="center"/>
                </w:tcPr>
                <w:p w14:paraId="57E1D2E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shd w:val="clear" w:color="auto" w:fill="auto"/>
                  <w:noWrap w:val="0"/>
                  <w:vAlign w:val="center"/>
                </w:tcPr>
                <w:p w14:paraId="5051D785">
                  <w:pPr>
                    <w:pStyle w:val="109"/>
                    <w:pageBreakBefore w:val="0"/>
                    <w:tabs>
                      <w:tab w:val="left" w:pos="-2848"/>
                    </w:tabs>
                    <w:wordWrap w:val="0"/>
                    <w:topLinePunct/>
                    <w:bidi w:val="0"/>
                    <w:spacing w:beforeAutospacing="0" w:afterAutospacing="0"/>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废过滤棉</w:t>
                  </w:r>
                </w:p>
              </w:tc>
              <w:tc>
                <w:tcPr>
                  <w:tcW w:w="780" w:type="dxa"/>
                  <w:shd w:val="clear" w:color="auto" w:fill="auto"/>
                  <w:noWrap w:val="0"/>
                  <w:vAlign w:val="center"/>
                </w:tcPr>
                <w:p w14:paraId="2E78B76C">
                  <w:pPr>
                    <w:pStyle w:val="109"/>
                    <w:pageBreakBefore w:val="0"/>
                    <w:tabs>
                      <w:tab w:val="left" w:pos="-2848"/>
                    </w:tabs>
                    <w:wordWrap w:val="0"/>
                    <w:topLinePunct/>
                    <w:bidi w:val="0"/>
                    <w:spacing w:beforeAutospacing="0" w:afterAutospacing="0"/>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HW49</w:t>
                  </w:r>
                </w:p>
              </w:tc>
              <w:tc>
                <w:tcPr>
                  <w:tcW w:w="1087" w:type="dxa"/>
                  <w:shd w:val="clear" w:color="auto" w:fill="auto"/>
                  <w:noWrap w:val="0"/>
                  <w:vAlign w:val="center"/>
                </w:tcPr>
                <w:p w14:paraId="36333CB8">
                  <w:pPr>
                    <w:pStyle w:val="109"/>
                    <w:pageBreakBefore w:val="0"/>
                    <w:tabs>
                      <w:tab w:val="left" w:pos="-2848"/>
                    </w:tabs>
                    <w:wordWrap w:val="0"/>
                    <w:topLinePunct/>
                    <w:bidi w:val="0"/>
                    <w:spacing w:beforeAutospacing="0" w:afterAutospacing="0"/>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900-041-49</w:t>
                  </w:r>
                </w:p>
              </w:tc>
              <w:tc>
                <w:tcPr>
                  <w:tcW w:w="571" w:type="dxa"/>
                  <w:vMerge w:val="continue"/>
                  <w:noWrap w:val="0"/>
                  <w:vAlign w:val="center"/>
                </w:tcPr>
                <w:p w14:paraId="561D06A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746D4F9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7DC3B8A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noWrap w:val="0"/>
                  <w:vAlign w:val="center"/>
                </w:tcPr>
                <w:p w14:paraId="193846D5">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0.2</w:t>
                  </w:r>
                </w:p>
              </w:tc>
              <w:tc>
                <w:tcPr>
                  <w:tcW w:w="512" w:type="dxa"/>
                  <w:noWrap w:val="0"/>
                  <w:vAlign w:val="center"/>
                </w:tcPr>
                <w:p w14:paraId="4E8B6A52">
                  <w:pPr>
                    <w:widowControl/>
                    <w:spacing w:line="240" w:lineRule="auto"/>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半年</w:t>
                  </w:r>
                </w:p>
              </w:tc>
            </w:tr>
            <w:tr w14:paraId="6F00CB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F6FE54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1212" w:type="dxa"/>
                  <w:vMerge w:val="continue"/>
                  <w:noWrap w:val="0"/>
                  <w:vAlign w:val="center"/>
                </w:tcPr>
                <w:p w14:paraId="702ED97F">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shd w:val="clear" w:color="auto" w:fill="auto"/>
                  <w:noWrap w:val="0"/>
                  <w:vAlign w:val="center"/>
                </w:tcPr>
                <w:p w14:paraId="24D01F74">
                  <w:pPr>
                    <w:pStyle w:val="109"/>
                    <w:pageBreakBefore w:val="0"/>
                    <w:tabs>
                      <w:tab w:val="left" w:pos="-2848"/>
                    </w:tabs>
                    <w:wordWrap w:val="0"/>
                    <w:topLinePunct/>
                    <w:bidi w:val="0"/>
                    <w:spacing w:beforeAutospacing="0" w:afterAutospacing="0"/>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废活性炭</w:t>
                  </w:r>
                </w:p>
              </w:tc>
              <w:tc>
                <w:tcPr>
                  <w:tcW w:w="780" w:type="dxa"/>
                  <w:shd w:val="clear" w:color="auto" w:fill="auto"/>
                  <w:noWrap w:val="0"/>
                  <w:vAlign w:val="center"/>
                </w:tcPr>
                <w:p w14:paraId="5AFB1C73">
                  <w:pPr>
                    <w:pStyle w:val="109"/>
                    <w:pageBreakBefore w:val="0"/>
                    <w:tabs>
                      <w:tab w:val="left" w:pos="-2848"/>
                    </w:tabs>
                    <w:wordWrap w:val="0"/>
                    <w:topLinePunct/>
                    <w:bidi w:val="0"/>
                    <w:spacing w:beforeAutospacing="0" w:afterAutospacing="0"/>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HW49</w:t>
                  </w:r>
                </w:p>
              </w:tc>
              <w:tc>
                <w:tcPr>
                  <w:tcW w:w="1087" w:type="dxa"/>
                  <w:shd w:val="clear" w:color="auto" w:fill="auto"/>
                  <w:noWrap w:val="0"/>
                  <w:vAlign w:val="center"/>
                </w:tcPr>
                <w:p w14:paraId="0AEB6AF4">
                  <w:pPr>
                    <w:pStyle w:val="109"/>
                    <w:pageBreakBefore w:val="0"/>
                    <w:tabs>
                      <w:tab w:val="left" w:pos="-2848"/>
                    </w:tabs>
                    <w:wordWrap w:val="0"/>
                    <w:topLinePunct/>
                    <w:bidi w:val="0"/>
                    <w:spacing w:beforeAutospacing="0" w:afterAutospacing="0"/>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900-039-49</w:t>
                  </w:r>
                </w:p>
              </w:tc>
              <w:tc>
                <w:tcPr>
                  <w:tcW w:w="571" w:type="dxa"/>
                  <w:vMerge w:val="continue"/>
                  <w:noWrap w:val="0"/>
                  <w:vAlign w:val="center"/>
                </w:tcPr>
                <w:p w14:paraId="058FD67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56CD562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0ACE044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堆存</w:t>
                  </w:r>
                </w:p>
              </w:tc>
              <w:tc>
                <w:tcPr>
                  <w:tcW w:w="653" w:type="dxa"/>
                  <w:noWrap w:val="0"/>
                  <w:vAlign w:val="center"/>
                </w:tcPr>
                <w:p w14:paraId="006B8C7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9t</w:t>
                  </w:r>
                </w:p>
              </w:tc>
              <w:tc>
                <w:tcPr>
                  <w:tcW w:w="512" w:type="dxa"/>
                  <w:noWrap w:val="0"/>
                  <w:vAlign w:val="center"/>
                </w:tcPr>
                <w:p w14:paraId="1C733869">
                  <w:pPr>
                    <w:widowControl/>
                    <w:spacing w:line="240" w:lineRule="auto"/>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1年</w:t>
                  </w:r>
                </w:p>
              </w:tc>
            </w:tr>
            <w:tr w14:paraId="7575CB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07F7267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r>
                    <w:rPr>
                      <w:rFonts w:hint="eastAsia" w:cs="Times New Roman"/>
                      <w:color w:val="000000" w:themeColor="text1"/>
                      <w:kern w:val="0"/>
                      <w:sz w:val="21"/>
                      <w:szCs w:val="21"/>
                      <w:highlight w:val="none"/>
                      <w:lang w:val="en-US" w:eastAsia="zh-CN" w:bidi="ar"/>
                      <w14:textFill>
                        <w14:solidFill>
                          <w14:schemeClr w14:val="tx1"/>
                        </w14:solidFill>
                      </w14:textFill>
                    </w:rPr>
                    <w:t>6</w:t>
                  </w:r>
                </w:p>
              </w:tc>
              <w:tc>
                <w:tcPr>
                  <w:tcW w:w="1212" w:type="dxa"/>
                  <w:vMerge w:val="continue"/>
                  <w:noWrap w:val="0"/>
                  <w:vAlign w:val="center"/>
                </w:tcPr>
                <w:p w14:paraId="77D2130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shd w:val="clear" w:color="auto" w:fill="auto"/>
                  <w:noWrap w:val="0"/>
                  <w:vAlign w:val="center"/>
                </w:tcPr>
                <w:p w14:paraId="40F19A1C">
                  <w:pPr>
                    <w:pStyle w:val="109"/>
                    <w:pageBreakBefore w:val="0"/>
                    <w:tabs>
                      <w:tab w:val="left" w:pos="-2848"/>
                    </w:tabs>
                    <w:wordWrap w:val="0"/>
                    <w:topLinePunct/>
                    <w:bidi w:val="0"/>
                    <w:spacing w:beforeAutospacing="0" w:afterAutospacing="0"/>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废粉末涂料</w:t>
                  </w:r>
                </w:p>
              </w:tc>
              <w:tc>
                <w:tcPr>
                  <w:tcW w:w="780" w:type="dxa"/>
                  <w:shd w:val="clear" w:color="auto" w:fill="auto"/>
                  <w:noWrap w:val="0"/>
                  <w:vAlign w:val="center"/>
                </w:tcPr>
                <w:p w14:paraId="24290229">
                  <w:pPr>
                    <w:keepNext w:val="0"/>
                    <w:keepLines w:val="0"/>
                    <w:widowControl/>
                    <w:suppressLineNumbers w:val="0"/>
                    <w:spacing w:line="240" w:lineRule="auto"/>
                    <w:jc w:val="center"/>
                    <w:textAlignment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待鉴定</w:t>
                  </w:r>
                </w:p>
              </w:tc>
              <w:tc>
                <w:tcPr>
                  <w:tcW w:w="1087" w:type="dxa"/>
                  <w:shd w:val="clear" w:color="auto" w:fill="auto"/>
                  <w:noWrap w:val="0"/>
                  <w:vAlign w:val="center"/>
                </w:tcPr>
                <w:p w14:paraId="5D458E36">
                  <w:pPr>
                    <w:keepNext w:val="0"/>
                    <w:keepLines w:val="0"/>
                    <w:widowControl/>
                    <w:suppressLineNumbers w:val="0"/>
                    <w:spacing w:line="240" w:lineRule="auto"/>
                    <w:jc w:val="center"/>
                    <w:textAlignment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待鉴定</w:t>
                  </w:r>
                </w:p>
              </w:tc>
              <w:tc>
                <w:tcPr>
                  <w:tcW w:w="571" w:type="dxa"/>
                  <w:vMerge w:val="continue"/>
                  <w:noWrap w:val="0"/>
                  <w:vAlign w:val="center"/>
                </w:tcPr>
                <w:p w14:paraId="680B9FE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52490D0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0BC783C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noWrap w:val="0"/>
                  <w:vAlign w:val="center"/>
                </w:tcPr>
                <w:p w14:paraId="3710AD5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2t</w:t>
                  </w:r>
                </w:p>
              </w:tc>
              <w:tc>
                <w:tcPr>
                  <w:tcW w:w="512" w:type="dxa"/>
                  <w:noWrap w:val="0"/>
                  <w:vAlign w:val="center"/>
                </w:tcPr>
                <w:p w14:paraId="478B5E4B">
                  <w:pPr>
                    <w:widowControl/>
                    <w:spacing w:line="240" w:lineRule="auto"/>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1年</w:t>
                  </w:r>
                </w:p>
              </w:tc>
            </w:tr>
            <w:tr w14:paraId="518A9DD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27A9E71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17</w:t>
                  </w:r>
                </w:p>
              </w:tc>
              <w:tc>
                <w:tcPr>
                  <w:tcW w:w="1212" w:type="dxa"/>
                  <w:vMerge w:val="continue"/>
                  <w:noWrap w:val="0"/>
                  <w:vAlign w:val="center"/>
                </w:tcPr>
                <w:p w14:paraId="02B7CE28">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shd w:val="clear" w:color="auto" w:fill="auto"/>
                  <w:noWrap w:val="0"/>
                  <w:vAlign w:val="center"/>
                </w:tcPr>
                <w:p w14:paraId="59CA844A">
                  <w:pPr>
                    <w:pStyle w:val="109"/>
                    <w:pageBreakBefore w:val="0"/>
                    <w:tabs>
                      <w:tab w:val="left" w:pos="-2848"/>
                    </w:tabs>
                    <w:wordWrap w:val="0"/>
                    <w:topLinePunct/>
                    <w:bidi w:val="0"/>
                    <w:spacing w:beforeAutospacing="0" w:afterAutospacing="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废催化剂</w:t>
                  </w:r>
                </w:p>
              </w:tc>
              <w:tc>
                <w:tcPr>
                  <w:tcW w:w="780" w:type="dxa"/>
                  <w:shd w:val="clear" w:color="auto" w:fill="auto"/>
                  <w:noWrap w:val="0"/>
                  <w:vAlign w:val="center"/>
                </w:tcPr>
                <w:p w14:paraId="7FFCE301">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HW50</w:t>
                  </w:r>
                </w:p>
              </w:tc>
              <w:tc>
                <w:tcPr>
                  <w:tcW w:w="1087" w:type="dxa"/>
                  <w:shd w:val="clear" w:color="auto" w:fill="auto"/>
                  <w:noWrap w:val="0"/>
                  <w:vAlign w:val="center"/>
                </w:tcPr>
                <w:p w14:paraId="45E9AC04">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900-049-50</w:t>
                  </w:r>
                </w:p>
              </w:tc>
              <w:tc>
                <w:tcPr>
                  <w:tcW w:w="571" w:type="dxa"/>
                  <w:vMerge w:val="continue"/>
                  <w:noWrap w:val="0"/>
                  <w:vAlign w:val="center"/>
                </w:tcPr>
                <w:p w14:paraId="2032A5F6">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66B31C1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shd w:val="clear" w:color="auto" w:fill="auto"/>
                  <w:noWrap w:val="0"/>
                  <w:vAlign w:val="center"/>
                </w:tcPr>
                <w:p w14:paraId="7360B26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堆存</w:t>
                  </w:r>
                </w:p>
              </w:tc>
              <w:tc>
                <w:tcPr>
                  <w:tcW w:w="653" w:type="dxa"/>
                  <w:shd w:val="clear" w:color="auto" w:fill="auto"/>
                  <w:noWrap w:val="0"/>
                  <w:vAlign w:val="center"/>
                </w:tcPr>
                <w:p w14:paraId="4298F72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0.5t</w:t>
                  </w:r>
                </w:p>
              </w:tc>
              <w:tc>
                <w:tcPr>
                  <w:tcW w:w="512" w:type="dxa"/>
                  <w:shd w:val="clear" w:color="auto" w:fill="auto"/>
                  <w:noWrap w:val="0"/>
                  <w:vAlign w:val="center"/>
                </w:tcPr>
                <w:p w14:paraId="771DCAFE">
                  <w:pPr>
                    <w:widowControl/>
                    <w:spacing w:line="240" w:lineRule="auto"/>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1年</w:t>
                  </w:r>
                </w:p>
              </w:tc>
            </w:tr>
            <w:tr w14:paraId="05F9037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03F34EE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18</w:t>
                  </w:r>
                </w:p>
              </w:tc>
              <w:tc>
                <w:tcPr>
                  <w:tcW w:w="1212" w:type="dxa"/>
                  <w:vMerge w:val="continue"/>
                  <w:noWrap w:val="0"/>
                  <w:vAlign w:val="center"/>
                </w:tcPr>
                <w:p w14:paraId="2EECDE8F">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932" w:type="dxa"/>
                  <w:shd w:val="clear" w:color="auto" w:fill="auto"/>
                  <w:noWrap w:val="0"/>
                  <w:vAlign w:val="center"/>
                </w:tcPr>
                <w:p w14:paraId="50743357">
                  <w:pPr>
                    <w:pStyle w:val="109"/>
                    <w:pageBreakBefore w:val="0"/>
                    <w:tabs>
                      <w:tab w:val="left" w:pos="-2848"/>
                    </w:tabs>
                    <w:wordWrap w:val="0"/>
                    <w:topLinePunct/>
                    <w:bidi w:val="0"/>
                    <w:spacing w:beforeAutospacing="0" w:afterAutospacing="0"/>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喷淋废液及沉渣</w:t>
                  </w:r>
                </w:p>
              </w:tc>
              <w:tc>
                <w:tcPr>
                  <w:tcW w:w="780" w:type="dxa"/>
                  <w:shd w:val="clear" w:color="auto" w:fill="auto"/>
                  <w:noWrap w:val="0"/>
                  <w:vAlign w:val="center"/>
                </w:tcPr>
                <w:p w14:paraId="5266EC3E">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HW12</w:t>
                  </w:r>
                </w:p>
              </w:tc>
              <w:tc>
                <w:tcPr>
                  <w:tcW w:w="1087" w:type="dxa"/>
                  <w:shd w:val="clear" w:color="auto" w:fill="auto"/>
                  <w:noWrap w:val="0"/>
                  <w:vAlign w:val="center"/>
                </w:tcPr>
                <w:p w14:paraId="3A014DD3">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900-252-12</w:t>
                  </w:r>
                </w:p>
              </w:tc>
              <w:tc>
                <w:tcPr>
                  <w:tcW w:w="571" w:type="dxa"/>
                  <w:vMerge w:val="continue"/>
                  <w:noWrap w:val="0"/>
                  <w:vAlign w:val="center"/>
                </w:tcPr>
                <w:p w14:paraId="20B1F61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52" w:type="dxa"/>
                  <w:vMerge w:val="continue"/>
                  <w:noWrap w:val="0"/>
                  <w:vAlign w:val="center"/>
                </w:tcPr>
                <w:p w14:paraId="1DB19C0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65" w:type="dxa"/>
                  <w:noWrap w:val="0"/>
                  <w:vAlign w:val="center"/>
                </w:tcPr>
                <w:p w14:paraId="3253D1F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桶装</w:t>
                  </w:r>
                </w:p>
              </w:tc>
              <w:tc>
                <w:tcPr>
                  <w:tcW w:w="653" w:type="dxa"/>
                  <w:noWrap w:val="0"/>
                  <w:vAlign w:val="center"/>
                </w:tcPr>
                <w:p w14:paraId="466713E2">
                  <w:pPr>
                    <w:widowControl/>
                    <w:spacing w:line="240" w:lineRule="auto"/>
                    <w:jc w:val="center"/>
                    <w:textAlignment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3t</w:t>
                  </w:r>
                </w:p>
              </w:tc>
              <w:tc>
                <w:tcPr>
                  <w:tcW w:w="512" w:type="dxa"/>
                  <w:noWrap w:val="0"/>
                  <w:vAlign w:val="center"/>
                </w:tcPr>
                <w:p w14:paraId="15171DD5">
                  <w:pPr>
                    <w:widowControl/>
                    <w:spacing w:line="240" w:lineRule="auto"/>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1年</w:t>
                  </w:r>
                </w:p>
              </w:tc>
            </w:tr>
          </w:tbl>
          <w:p w14:paraId="1B1264C7">
            <w:pPr>
              <w:pStyle w:val="112"/>
              <w:keepNext w:val="0"/>
              <w:keepLines w:val="0"/>
              <w:pageBreakBefore w:val="0"/>
              <w:widowControl w:val="0"/>
              <w:kinsoku/>
              <w:wordWrap/>
              <w:overflowPunct/>
              <w:topLinePunct w:val="0"/>
              <w:autoSpaceDE/>
              <w:autoSpaceDN/>
              <w:bidi w:val="0"/>
              <w:adjustRightInd/>
              <w:snapToGrid/>
              <w:spacing w:line="120" w:lineRule="exact"/>
              <w:ind w:left="595"/>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p>
          <w:p w14:paraId="2BB1B5F8">
            <w:pPr>
              <w:spacing w:line="360" w:lineRule="auto"/>
              <w:ind w:firstLine="480" w:firstLineChars="200"/>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 xml:space="preserve">3）危险废物运输要求 </w:t>
            </w:r>
          </w:p>
          <w:p w14:paraId="1C7B42A5">
            <w:pPr>
              <w:spacing w:line="360" w:lineRule="auto"/>
              <w:ind w:firstLine="480" w:firstLineChars="200"/>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项目危险废物经收集后交由有危险废物处理资质的单位外运处理。危险废物须严格按照《广东省危险废物经营许可证管理暂行规定》和《广东省危险废物转移报告联单管理暂行规定》中的有关要求管理。建设单位应委托具有相应资质的运输单位和利用处置经营单位，签订委托合同，依法委托运输、利用处置危险废物。在委托时，应详细核实运输单位、车辆、驾驶员及押运员的资质，并根据废物特性，选择运输工具，严防二次污染；应详细核实经营单位资质，严禁委托不具资质或资质不符的单位处置。转移前，产生单位应制定转移计划，向</w:t>
            </w:r>
            <w:r>
              <w:rPr>
                <w:rFonts w:hint="eastAsia" w:cs="Times New Roman"/>
                <w:b w:val="0"/>
                <w:bCs w:val="0"/>
                <w:color w:val="000000" w:themeColor="text1"/>
                <w:sz w:val="24"/>
                <w:highlight w:val="none"/>
                <w:lang w:val="en-US" w:eastAsia="zh-CN"/>
                <w14:textFill>
                  <w14:solidFill>
                    <w14:schemeClr w14:val="tx1"/>
                  </w14:solidFill>
                </w14:textFill>
              </w:rPr>
              <w:t>生态环境主管部门</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报备并领取联单；转移后，应按照转移实际，做到一转移一联单，并及时向</w:t>
            </w:r>
            <w:r>
              <w:rPr>
                <w:rFonts w:hint="eastAsia" w:cs="Times New Roman"/>
                <w:b w:val="0"/>
                <w:bCs w:val="0"/>
                <w:color w:val="000000" w:themeColor="text1"/>
                <w:sz w:val="24"/>
                <w:highlight w:val="none"/>
                <w:lang w:val="en-US" w:eastAsia="zh-CN"/>
                <w14:textFill>
                  <w14:solidFill>
                    <w14:schemeClr w14:val="tx1"/>
                  </w14:solidFill>
                </w14:textFill>
              </w:rPr>
              <w:t>生态环境主管部门</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提交转移联单，联单保存应在五年以上。</w:t>
            </w:r>
          </w:p>
          <w:p w14:paraId="7E0A5AF1">
            <w:p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4.3环境影响评价结论</w:t>
            </w:r>
          </w:p>
          <w:p w14:paraId="4E6DDD4E">
            <w:pPr>
              <w:spacing w:line="360" w:lineRule="auto"/>
              <w:ind w:firstLine="480" w:firstLineChars="200"/>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本项目产生的固体废物经上述措施处理后，项目产生的固废均能得到妥善处置，不会直接对环境造成明显不利影响。</w:t>
            </w:r>
          </w:p>
          <w:p w14:paraId="714AF595">
            <w:p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5、地下水、土壤</w:t>
            </w:r>
          </w:p>
          <w:p w14:paraId="35CFB153">
            <w:pPr>
              <w:spacing w:line="360" w:lineRule="auto"/>
              <w:ind w:firstLine="482" w:firstLineChars="20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bookmarkStart w:id="35" w:name="bookmark4"/>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5.1地下水和土壤污染源及污染途径分析</w:t>
            </w:r>
          </w:p>
          <w:p w14:paraId="5A587D59">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地下水污染主要是由于污染物迁移穿过包气带进入含水层造成；土壤污染主要由大气沉降、地面漫流、垂直入渗等原因造成。</w:t>
            </w:r>
          </w:p>
          <w:p w14:paraId="5912D89E">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项目厂区地面已全部硬化，危废间、化学品仓地面硬化，并刷环氧树脂漆防渗层、设置围堰，地面防腐防渗措施良好，不存在露天生产或储存的情况，即不存受雨水冲刷、淋溶出污染物的情况。</w:t>
            </w:r>
          </w:p>
          <w:p w14:paraId="3257A191">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危险废物暂存仓按《危险废物贮存污染控制标准》（GB18597-2023）相关要求设置；污水处理站、生产车间均为硬底化地面，若生产设备发生渗漏可及时发现并检修，即使发生渗漏时也可以有效收集；事故废水设置导流沟连通事故应急池，以便收集事故废水，可有效避免消防废水流出厂外。因此，本项目不存在污染土壤和地下水环境的途径。</w:t>
            </w:r>
          </w:p>
          <w:p w14:paraId="5A8C8DC9">
            <w:pPr>
              <w:spacing w:line="360" w:lineRule="auto"/>
              <w:ind w:firstLine="482" w:firstLineChars="20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5.2地下水和土壤污染防控措施</w:t>
            </w:r>
          </w:p>
          <w:p w14:paraId="75E2F632">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针对项目可能发生的地下水、土壤污染，按照“源头控制、末端防治、污染监控、应急响应”相结合的原则，从污染物的产生、入渗、扩散、应急响应全阶段进行控制；进行污染防治分区，按照要求进行分区防渗处理。为进一步降低项目运行过程对地下水、土壤环境的影响，本环评建议建设单位做好以下内容：</w:t>
            </w:r>
          </w:p>
          <w:p w14:paraId="7C7DB490">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（1）生产中严格落实废水收集、治理措施。生产中加强废水收集巡检，发现泄漏后采取堵截措施，将泄漏的废污水控制在厂区范围内，并妥善处理。</w:t>
            </w:r>
          </w:p>
          <w:p w14:paraId="1171F969">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（2）加强废气处理设备的管理和维护，确保设备处于良好的运行状态，做到源头控制，减少颗粒物的排放。</w:t>
            </w:r>
          </w:p>
          <w:p w14:paraId="7E51584F">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（3）车间地面做好防渗、防腐工作。地下水、土壤污染防治工作统筹考虑，项目生产厂房、</w:t>
            </w:r>
            <w:r>
              <w:rPr>
                <w:rFonts w:hint="eastAsia" w:cs="Times New Roman"/>
                <w:b w:val="0"/>
                <w:bCs w:val="0"/>
                <w:color w:val="000000" w:themeColor="text1"/>
                <w:sz w:val="24"/>
                <w:szCs w:val="24"/>
                <w:highlight w:val="none"/>
                <w:lang w:val="en-US" w:eastAsia="zh-CN"/>
                <w14:textFill>
                  <w14:solidFill>
                    <w14:schemeClr w14:val="tx1"/>
                  </w14:solidFill>
                </w14:textFill>
              </w:rPr>
              <w:t>危险废物贮存间</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、污水处理站属于重点污染区，做好各区域的地面防渗方案，采用符合防渗标准要求的防渗材料。</w:t>
            </w:r>
          </w:p>
          <w:p w14:paraId="681DCBF7">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原料及产品转运、贮存等各环节做好防风、防水、防渗措施，避免有害物质流失禁止随意弃置、堆放、填埋。固体废物应分类收集暂存，严格按照《危险废物贮存污染控制标准》（GB18597-2023）相关要求对危险废物进行收集、暂存，并委托持有《危险废物经营许可证》的单位进行无害化处理处置。化学品存放区应备有泄漏应急处理设备（防渗托盘）和合适的收容材料，储存、运输过程中应当进行密闭，采取塑料包装物进行密闭等措施，避免化学品泄漏。</w:t>
            </w:r>
          </w:p>
          <w:p w14:paraId="5BAD6BEF">
            <w:pPr>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综上，本项目采取以上措施后，不会对地下水和土壤产生明显的不利影响。</w:t>
            </w:r>
            <w:bookmarkEnd w:id="35"/>
          </w:p>
          <w:p w14:paraId="68019EC1">
            <w:pPr>
              <w:numPr>
                <w:ilvl w:val="0"/>
                <w:numId w:val="16"/>
              </w:numPr>
              <w:spacing w:line="360" w:lineRule="auto"/>
              <w:ind w:firstLine="482"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生态</w:t>
            </w:r>
          </w:p>
          <w:p w14:paraId="07DFA4E2">
            <w:pPr>
              <w:spacing w:line="360" w:lineRule="auto"/>
              <w:ind w:firstLine="480" w:firstLineChars="200"/>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本项目所在区域无特殊的生态环境和需特别保护的野生动植物，不属于生态环境敏感区。因此，本项目的建设不会对周边生态环境造成明显影响。</w:t>
            </w:r>
          </w:p>
          <w:p w14:paraId="5446807F">
            <w:pPr>
              <w:pStyle w:val="39"/>
              <w:spacing w:after="0" w:line="360" w:lineRule="auto"/>
              <w:ind w:firstLine="482"/>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7、环境风险</w:t>
            </w:r>
          </w:p>
          <w:p w14:paraId="1F472F84">
            <w:pPr>
              <w:pStyle w:val="39"/>
              <w:spacing w:after="0" w:line="360" w:lineRule="auto"/>
              <w:ind w:firstLine="482"/>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7.1环境风险物质识别</w:t>
            </w:r>
          </w:p>
          <w:p w14:paraId="0518E4A4">
            <w:pPr>
              <w:pStyle w:val="39"/>
              <w:spacing w:after="0" w:line="360" w:lineRule="auto"/>
              <w:ind w:firstLine="482"/>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本项目涉及《建设项目环境风险评价技术导则》（HJ169-2018）附录B表B.1及表B.2所列部分危险物质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包括无铬钝化剂、pH调整剂</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、机油、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液压油、天然气以及</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危险废物。根据《建设项目环境风险评价技术导则》（HJ169-2018）附录C（规范性附录）危险物质及工艺系统危险性（P）的分级，计算本项目涉及的危险物质最大存在总量与其在附录B中对应临界量的比值Q。当只涉及一种环境风险物质时，计算该物质的总数量与其临界量比值，即为Q；当存在多种环境风险物质时，则按下式计算物质数量与其临界量比值（Q）：</w:t>
            </w:r>
          </w:p>
          <w:p w14:paraId="4C6AABB0">
            <w:pPr>
              <w:pStyle w:val="39"/>
              <w:spacing w:after="0" w:line="360" w:lineRule="auto"/>
              <w:jc w:val="center"/>
              <w:rPr>
                <w:rFonts w:hint="default" w:ascii="Times New Roman" w:hAnsi="Times New Roman" w:eastAsia="宋体" w:cs="Times New Roman"/>
                <w:color w:val="000000" w:themeColor="text1"/>
                <w:spacing w:val="-5"/>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5"/>
                <w:position w:val="-30"/>
                <w:sz w:val="24"/>
                <w:szCs w:val="24"/>
                <w:highlight w:val="none"/>
                <w:lang w:eastAsia="zh-CN"/>
                <w14:textFill>
                  <w14:solidFill>
                    <w14:schemeClr w14:val="tx1"/>
                  </w14:solidFill>
                </w14:textFill>
              </w:rPr>
              <w:object>
                <v:shape id="_x0000_i1036" o:spt="75" type="#_x0000_t75" style="height:34pt;width:101pt;" o:ole="t" filled="f" o:preferrelative="t" stroked="f" coordsize="21600,21600">
                  <v:path/>
                  <v:fill on="f" focussize="0,0"/>
                  <v:stroke on="f"/>
                  <v:imagedata r:id="rId49" o:title=""/>
                  <o:lock v:ext="edit" aspectratio="t"/>
                  <w10:wrap type="none"/>
                  <w10:anchorlock/>
                </v:shape>
                <o:OLEObject Type="Embed" ProgID="Equation.KSEE3" ShapeID="_x0000_i1036" DrawAspect="Content" ObjectID="_1468075736" r:id="rId48">
                  <o:LockedField>false</o:LockedField>
                </o:OLEObject>
              </w:object>
            </w:r>
          </w:p>
          <w:p w14:paraId="3732F0A9">
            <w:pPr>
              <w:pStyle w:val="39"/>
              <w:spacing w:after="0" w:line="360" w:lineRule="auto"/>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pacing w:val="-5"/>
                <w:sz w:val="24"/>
                <w:szCs w:val="24"/>
                <w:highlight w:val="none"/>
                <w14:textFill>
                  <w14:solidFill>
                    <w14:schemeClr w14:val="tx1"/>
                  </w14:solidFill>
                </w14:textFill>
              </w:rPr>
              <w:t>式中：</w:t>
            </w:r>
            <w:r>
              <w:rPr>
                <w:rFonts w:hint="default" w:ascii="Times New Roman" w:hAnsi="Times New Roman" w:eastAsia="Times New Roman" w:cs="Times New Roman"/>
                <w:color w:val="000000" w:themeColor="text1"/>
                <w:spacing w:val="-5"/>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pacing w:val="-5"/>
                <w:sz w:val="24"/>
                <w:szCs w:val="24"/>
                <w:highlight w:val="none"/>
                <w:vertAlign w:val="subscript"/>
                <w14:textFill>
                  <w14:solidFill>
                    <w14:schemeClr w14:val="tx1"/>
                  </w14:solidFill>
                </w14:textFill>
              </w:rPr>
              <w:t>1</w:t>
            </w:r>
            <w:r>
              <w:rPr>
                <w:rFonts w:hint="default" w:ascii="Times New Roman" w:hAnsi="Times New Roman" w:cs="Times New Roman"/>
                <w:color w:val="000000" w:themeColor="text1"/>
                <w:spacing w:val="-5"/>
                <w:sz w:val="24"/>
                <w:szCs w:val="24"/>
                <w:highlight w:val="none"/>
                <w14:textFill>
                  <w14:solidFill>
                    <w14:schemeClr w14:val="tx1"/>
                  </w14:solidFill>
                </w14:textFill>
              </w:rPr>
              <w:t>，</w:t>
            </w:r>
            <w:r>
              <w:rPr>
                <w:rFonts w:hint="default" w:ascii="Times New Roman" w:hAnsi="Times New Roman" w:eastAsia="Times New Roman" w:cs="Times New Roman"/>
                <w:color w:val="000000" w:themeColor="text1"/>
                <w:spacing w:val="-5"/>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pacing w:val="-5"/>
                <w:sz w:val="24"/>
                <w:szCs w:val="24"/>
                <w:highlight w:val="none"/>
                <w:vertAlign w:val="subscript"/>
                <w14:textFill>
                  <w14:solidFill>
                    <w14:schemeClr w14:val="tx1"/>
                  </w14:solidFill>
                </w14:textFill>
              </w:rPr>
              <w:t>2</w:t>
            </w:r>
            <w:r>
              <w:rPr>
                <w:rFonts w:hint="default" w:ascii="Times New Roman" w:hAnsi="Times New Roman" w:cs="Times New Roman"/>
                <w:color w:val="000000" w:themeColor="text1"/>
                <w:spacing w:val="-5"/>
                <w:sz w:val="24"/>
                <w:szCs w:val="24"/>
                <w:highlight w:val="none"/>
                <w14:textFill>
                  <w14:solidFill>
                    <w14:schemeClr w14:val="tx1"/>
                  </w14:solidFill>
                </w14:textFill>
              </w:rPr>
              <w:t>，</w:t>
            </w:r>
            <w:r>
              <w:rPr>
                <w:rFonts w:hint="default" w:ascii="Times New Roman" w:hAnsi="Times New Roman" w:cs="Times New Roman"/>
                <w:color w:val="000000" w:themeColor="text1"/>
                <w:spacing w:val="-5"/>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5"/>
                <w:sz w:val="24"/>
                <w:szCs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pacing w:val="-5"/>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pacing w:val="-5"/>
                <w:sz w:val="24"/>
                <w:szCs w:val="24"/>
                <w:highlight w:val="none"/>
                <w:vertAlign w:val="subscript"/>
                <w14:textFill>
                  <w14:solidFill>
                    <w14:schemeClr w14:val="tx1"/>
                  </w14:solidFill>
                </w14:textFill>
              </w:rPr>
              <w:t>n</w:t>
            </w:r>
            <w:r>
              <w:rPr>
                <w:rFonts w:hint="default" w:ascii="Times New Roman" w:hAnsi="Times New Roman" w:eastAsia="Times New Roman" w:cs="Times New Roman"/>
                <w:color w:val="000000" w:themeColor="text1"/>
                <w:spacing w:val="-5"/>
                <w:sz w:val="24"/>
                <w:szCs w:val="24"/>
                <w:highlight w:val="none"/>
                <w14:textFill>
                  <w14:solidFill>
                    <w14:schemeClr w14:val="tx1"/>
                  </w14:solidFill>
                </w14:textFill>
              </w:rPr>
              <w:t>—</w:t>
            </w:r>
            <w:r>
              <w:rPr>
                <w:rFonts w:hint="default" w:ascii="Times New Roman" w:hAnsi="Times New Roman" w:cs="Times New Roman"/>
                <w:color w:val="000000" w:themeColor="text1"/>
                <w:spacing w:val="-5"/>
                <w:sz w:val="24"/>
                <w:szCs w:val="24"/>
                <w:highlight w:val="none"/>
                <w14:textFill>
                  <w14:solidFill>
                    <w14:schemeClr w14:val="tx1"/>
                  </w14:solidFill>
                </w14:textFill>
              </w:rPr>
              <w:t>每种危险物质的最大存在总量，</w:t>
            </w:r>
            <w:r>
              <w:rPr>
                <w:rFonts w:hint="default" w:ascii="Times New Roman" w:hAnsi="Times New Roman" w:eastAsia="Times New Roman" w:cs="Times New Roman"/>
                <w:color w:val="000000" w:themeColor="text1"/>
                <w:spacing w:val="-5"/>
                <w:sz w:val="24"/>
                <w:szCs w:val="24"/>
                <w:highlight w:val="none"/>
                <w14:textFill>
                  <w14:solidFill>
                    <w14:schemeClr w14:val="tx1"/>
                  </w14:solidFill>
                </w14:textFill>
              </w:rPr>
              <w:t>t</w:t>
            </w:r>
            <w:r>
              <w:rPr>
                <w:rFonts w:hint="default" w:ascii="Times New Roman" w:hAnsi="Times New Roman" w:cs="Times New Roman"/>
                <w:color w:val="000000" w:themeColor="text1"/>
                <w:spacing w:val="-5"/>
                <w:sz w:val="24"/>
                <w:szCs w:val="24"/>
                <w:highlight w:val="none"/>
                <w14:textFill>
                  <w14:solidFill>
                    <w14:schemeClr w14:val="tx1"/>
                  </w14:solidFill>
                </w14:textFill>
              </w:rPr>
              <w:t>；</w:t>
            </w:r>
            <w:r>
              <w:rPr>
                <w:rFonts w:hint="default" w:ascii="Times New Roman" w:hAnsi="Times New Roman" w:eastAsia="Times New Roman" w:cs="Times New Roman"/>
                <w:color w:val="000000" w:themeColor="text1"/>
                <w:spacing w:val="-2"/>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pacing w:val="-5"/>
                <w:sz w:val="24"/>
                <w:szCs w:val="24"/>
                <w:highlight w:val="none"/>
                <w:vertAlign w:val="subscript"/>
                <w14:textFill>
                  <w14:solidFill>
                    <w14:schemeClr w14:val="tx1"/>
                  </w14:solidFill>
                </w14:textFill>
              </w:rPr>
              <w:t>1</w:t>
            </w:r>
            <w:r>
              <w:rPr>
                <w:rFonts w:hint="default" w:ascii="Times New Roman" w:hAnsi="Times New Roman" w:cs="Times New Roman"/>
                <w:color w:val="000000" w:themeColor="text1"/>
                <w:spacing w:val="-2"/>
                <w:sz w:val="24"/>
                <w:szCs w:val="24"/>
                <w:highlight w:val="none"/>
                <w14:textFill>
                  <w14:solidFill>
                    <w14:schemeClr w14:val="tx1"/>
                  </w14:solidFill>
                </w14:textFill>
              </w:rPr>
              <w:t>，</w:t>
            </w:r>
            <w:r>
              <w:rPr>
                <w:rFonts w:hint="default" w:ascii="Times New Roman" w:hAnsi="Times New Roman" w:eastAsia="Times New Roman" w:cs="Times New Roman"/>
                <w:color w:val="000000" w:themeColor="text1"/>
                <w:spacing w:val="-2"/>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pacing w:val="-5"/>
                <w:sz w:val="24"/>
                <w:szCs w:val="24"/>
                <w:highlight w:val="none"/>
                <w:vertAlign w:val="subscript"/>
                <w14:textFill>
                  <w14:solidFill>
                    <w14:schemeClr w14:val="tx1"/>
                  </w14:solidFill>
                </w14:textFill>
              </w:rPr>
              <w:t>2</w:t>
            </w:r>
            <w:r>
              <w:rPr>
                <w:rFonts w:hint="default" w:ascii="Times New Roman" w:hAnsi="Times New Roman" w:cs="Times New Roman"/>
                <w:color w:val="000000" w:themeColor="text1"/>
                <w:spacing w:val="-2"/>
                <w:sz w:val="24"/>
                <w:szCs w:val="24"/>
                <w:highlight w:val="none"/>
                <w14:textFill>
                  <w14:solidFill>
                    <w14:schemeClr w14:val="tx1"/>
                  </w14:solidFill>
                </w14:textFill>
              </w:rPr>
              <w:t>，</w:t>
            </w:r>
            <w:r>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2"/>
                <w:sz w:val="24"/>
                <w:szCs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pacing w:val="-2"/>
                <w:sz w:val="24"/>
                <w:szCs w:val="24"/>
                <w:highlight w:val="none"/>
                <w14:textFill>
                  <w14:solidFill>
                    <w14:schemeClr w14:val="tx1"/>
                  </w14:solidFill>
                </w14:textFill>
              </w:rPr>
              <w:t>Q</w:t>
            </w:r>
            <w:r>
              <w:rPr>
                <w:rFonts w:hint="default" w:ascii="Times New Roman" w:hAnsi="Times New Roman" w:eastAsia="Times New Roman" w:cs="Times New Roman"/>
                <w:color w:val="000000" w:themeColor="text1"/>
                <w:spacing w:val="-5"/>
                <w:sz w:val="24"/>
                <w:szCs w:val="24"/>
                <w:highlight w:val="none"/>
                <w:vertAlign w:val="subscript"/>
                <w14:textFill>
                  <w14:solidFill>
                    <w14:schemeClr w14:val="tx1"/>
                  </w14:solidFill>
                </w14:textFill>
              </w:rPr>
              <w:t>n</w:t>
            </w:r>
            <w:r>
              <w:rPr>
                <w:rFonts w:hint="default" w:ascii="Times New Roman" w:hAnsi="Times New Roman" w:eastAsia="Times New Roman" w:cs="Times New Roman"/>
                <w:color w:val="000000" w:themeColor="text1"/>
                <w:spacing w:val="-2"/>
                <w:sz w:val="24"/>
                <w:szCs w:val="24"/>
                <w:highlight w:val="none"/>
                <w14:textFill>
                  <w14:solidFill>
                    <w14:schemeClr w14:val="tx1"/>
                  </w14:solidFill>
                </w14:textFill>
              </w:rPr>
              <w:t>—</w:t>
            </w:r>
            <w:r>
              <w:rPr>
                <w:rFonts w:hint="default" w:ascii="Times New Roman" w:hAnsi="Times New Roman" w:cs="Times New Roman"/>
                <w:color w:val="000000" w:themeColor="text1"/>
                <w:spacing w:val="-2"/>
                <w:sz w:val="24"/>
                <w:szCs w:val="24"/>
                <w:highlight w:val="none"/>
                <w14:textFill>
                  <w14:solidFill>
                    <w14:schemeClr w14:val="tx1"/>
                  </w14:solidFill>
                </w14:textFill>
              </w:rPr>
              <w:t>每种环境风险物质相</w:t>
            </w:r>
            <w:r>
              <w:rPr>
                <w:rFonts w:hint="default" w:ascii="Times New Roman" w:hAnsi="Times New Roman" w:cs="Times New Roman"/>
                <w:color w:val="000000" w:themeColor="text1"/>
                <w:spacing w:val="-3"/>
                <w:sz w:val="24"/>
                <w:szCs w:val="24"/>
                <w:highlight w:val="none"/>
                <w14:textFill>
                  <w14:solidFill>
                    <w14:schemeClr w14:val="tx1"/>
                  </w14:solidFill>
                </w14:textFill>
              </w:rPr>
              <w:t>对应的临界量，</w:t>
            </w:r>
            <w:r>
              <w:rPr>
                <w:rFonts w:hint="default" w:ascii="Times New Roman" w:hAnsi="Times New Roman" w:eastAsia="Times New Roman" w:cs="Times New Roman"/>
                <w:color w:val="000000" w:themeColor="text1"/>
                <w:spacing w:val="-3"/>
                <w:sz w:val="24"/>
                <w:szCs w:val="24"/>
                <w:highlight w:val="none"/>
                <w14:textFill>
                  <w14:solidFill>
                    <w14:schemeClr w14:val="tx1"/>
                  </w14:solidFill>
                </w14:textFill>
              </w:rPr>
              <w:t>t</w:t>
            </w:r>
            <w:r>
              <w:rPr>
                <w:rFonts w:hint="default" w:ascii="Times New Roman" w:hAnsi="Times New Roman" w:cs="Times New Roman"/>
                <w:color w:val="000000" w:themeColor="text1"/>
                <w:spacing w:val="-3"/>
                <w:sz w:val="24"/>
                <w:szCs w:val="24"/>
                <w:highlight w:val="none"/>
                <w14:textFill>
                  <w14:solidFill>
                    <w14:schemeClr w14:val="tx1"/>
                  </w14:solidFill>
                </w14:textFill>
              </w:rPr>
              <w:t>。</w:t>
            </w:r>
          </w:p>
          <w:p w14:paraId="43CD6DE7">
            <w:pPr>
              <w:pStyle w:val="39"/>
              <w:spacing w:after="0" w:line="360" w:lineRule="auto"/>
              <w:ind w:firstLine="482"/>
              <w:rPr>
                <w:rFonts w:hint="default" w:ascii="Times New Roman" w:hAnsi="Times New Roman"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本项目建成投产后，风险物质</w:t>
            </w:r>
            <w:r>
              <w:rPr>
                <w:rFonts w:hint="default" w:ascii="Times New Roman" w:hAnsi="Times New Roman" w:cs="Times New Roman"/>
                <w:color w:val="000000" w:themeColor="text1"/>
                <w:spacing w:val="-1"/>
                <w:sz w:val="24"/>
                <w:szCs w:val="24"/>
                <w:highlight w:val="none"/>
                <w14:textFill>
                  <w14:solidFill>
                    <w14:schemeClr w14:val="tx1"/>
                  </w14:solidFill>
                </w14:textFill>
              </w:rPr>
              <w:t>危险物质数量、分布情况及</w:t>
            </w:r>
            <w:r>
              <w:rPr>
                <w:rFonts w:hint="default" w:ascii="Times New Roman" w:hAnsi="Times New Roman" w:eastAsia="Times New Roman" w:cs="Times New Roman"/>
                <w:color w:val="000000" w:themeColor="text1"/>
                <w:spacing w:val="-1"/>
                <w:sz w:val="24"/>
                <w:szCs w:val="24"/>
                <w:highlight w:val="none"/>
                <w14:textFill>
                  <w14:solidFill>
                    <w14:schemeClr w14:val="tx1"/>
                  </w14:solidFill>
                </w14:textFill>
              </w:rPr>
              <w:t>Q</w:t>
            </w:r>
            <w:r>
              <w:rPr>
                <w:rFonts w:hint="default" w:ascii="Times New Roman" w:hAnsi="Times New Roman" w:cs="Times New Roman"/>
                <w:color w:val="000000" w:themeColor="text1"/>
                <w:spacing w:val="-1"/>
                <w:sz w:val="24"/>
                <w:szCs w:val="24"/>
                <w:highlight w:val="none"/>
                <w14:textFill>
                  <w14:solidFill>
                    <w14:schemeClr w14:val="tx1"/>
                  </w14:solidFill>
                </w14:textFill>
              </w:rPr>
              <w:t>值核算情况如下表所示。</w:t>
            </w:r>
          </w:p>
          <w:p w14:paraId="5CDDFAA0">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 xml:space="preserve">40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全厂风险物质Q值表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6"/>
              <w:gridCol w:w="911"/>
              <w:gridCol w:w="1792"/>
              <w:gridCol w:w="1530"/>
              <w:gridCol w:w="1340"/>
              <w:gridCol w:w="943"/>
              <w:gridCol w:w="1284"/>
            </w:tblGrid>
            <w:tr w14:paraId="42C2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626" w:type="dxa"/>
                  <w:shd w:val="clear" w:color="auto" w:fill="auto"/>
                  <w:vAlign w:val="center"/>
                </w:tcPr>
                <w:p w14:paraId="4C88CFAA">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序号</w:t>
                  </w:r>
                </w:p>
              </w:tc>
              <w:tc>
                <w:tcPr>
                  <w:tcW w:w="911" w:type="dxa"/>
                  <w:shd w:val="clear" w:color="auto" w:fill="auto"/>
                  <w:vAlign w:val="center"/>
                </w:tcPr>
                <w:p w14:paraId="6ACEE1A6">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类别</w:t>
                  </w:r>
                </w:p>
              </w:tc>
              <w:tc>
                <w:tcPr>
                  <w:tcW w:w="1792" w:type="dxa"/>
                  <w:shd w:val="clear" w:color="auto" w:fill="auto"/>
                  <w:vAlign w:val="center"/>
                </w:tcPr>
                <w:p w14:paraId="2354C400">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风险组份及含量</w:t>
                  </w:r>
                </w:p>
              </w:tc>
              <w:tc>
                <w:tcPr>
                  <w:tcW w:w="1530" w:type="dxa"/>
                  <w:shd w:val="clear" w:color="auto" w:fill="auto"/>
                  <w:vAlign w:val="center"/>
                </w:tcPr>
                <w:p w14:paraId="06C6BDF1">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CAS号</w:t>
                  </w:r>
                </w:p>
              </w:tc>
              <w:tc>
                <w:tcPr>
                  <w:tcW w:w="1340" w:type="dxa"/>
                  <w:shd w:val="clear" w:color="auto" w:fill="auto"/>
                  <w:vAlign w:val="center"/>
                </w:tcPr>
                <w:p w14:paraId="5F56182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最大储存量t</w:t>
                  </w:r>
                </w:p>
              </w:tc>
              <w:tc>
                <w:tcPr>
                  <w:tcW w:w="943" w:type="dxa"/>
                  <w:shd w:val="clear" w:color="auto" w:fill="auto"/>
                  <w:vAlign w:val="center"/>
                </w:tcPr>
                <w:p w14:paraId="633E6F2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临界值t</w:t>
                  </w:r>
                </w:p>
              </w:tc>
              <w:tc>
                <w:tcPr>
                  <w:tcW w:w="1284" w:type="dxa"/>
                  <w:shd w:val="clear" w:color="auto" w:fill="auto"/>
                  <w:vAlign w:val="center"/>
                </w:tcPr>
                <w:p w14:paraId="11BD69E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比值/Q</w:t>
                  </w:r>
                </w:p>
              </w:tc>
            </w:tr>
            <w:tr w14:paraId="03BA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6BE356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911" w:type="dxa"/>
                  <w:shd w:val="clear" w:color="auto" w:fill="auto"/>
                  <w:vAlign w:val="center"/>
                </w:tcPr>
                <w:p w14:paraId="195A54D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天然气</w:t>
                  </w:r>
                </w:p>
              </w:tc>
              <w:tc>
                <w:tcPr>
                  <w:tcW w:w="1792" w:type="dxa"/>
                  <w:shd w:val="clear" w:color="auto" w:fill="auto"/>
                  <w:vAlign w:val="center"/>
                </w:tcPr>
                <w:p w14:paraId="2E4293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甲烷</w:t>
                  </w:r>
                </w:p>
              </w:tc>
              <w:tc>
                <w:tcPr>
                  <w:tcW w:w="1530" w:type="dxa"/>
                  <w:shd w:val="clear" w:color="auto" w:fill="auto"/>
                  <w:vAlign w:val="center"/>
                </w:tcPr>
                <w:p w14:paraId="1DC96BA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8006-14-2</w:t>
                  </w:r>
                </w:p>
              </w:tc>
              <w:tc>
                <w:tcPr>
                  <w:tcW w:w="1340" w:type="dxa"/>
                  <w:shd w:val="clear" w:color="auto" w:fill="auto"/>
                  <w:vAlign w:val="center"/>
                </w:tcPr>
                <w:p w14:paraId="1D8D9A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0.00032</w:t>
                  </w:r>
                </w:p>
              </w:tc>
              <w:tc>
                <w:tcPr>
                  <w:tcW w:w="943" w:type="dxa"/>
                  <w:shd w:val="clear" w:color="auto" w:fill="auto"/>
                  <w:vAlign w:val="center"/>
                </w:tcPr>
                <w:p w14:paraId="5FA05D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284" w:type="dxa"/>
                  <w:shd w:val="clear" w:color="auto" w:fill="auto"/>
                  <w:vAlign w:val="center"/>
                </w:tcPr>
                <w:p w14:paraId="02AB7A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0.000032</w:t>
                  </w:r>
                </w:p>
              </w:tc>
            </w:tr>
            <w:tr w14:paraId="2FB7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433F9D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911" w:type="dxa"/>
                  <w:shd w:val="clear" w:color="auto" w:fill="auto"/>
                  <w:vAlign w:val="center"/>
                </w:tcPr>
                <w:p w14:paraId="624208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底漆</w:t>
                  </w:r>
                </w:p>
              </w:tc>
              <w:tc>
                <w:tcPr>
                  <w:tcW w:w="1792" w:type="dxa"/>
                  <w:shd w:val="clear" w:color="auto" w:fill="auto"/>
                  <w:vAlign w:val="center"/>
                </w:tcPr>
                <w:p w14:paraId="7B58108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二甲苯（33%）</w:t>
                  </w:r>
                </w:p>
              </w:tc>
              <w:tc>
                <w:tcPr>
                  <w:tcW w:w="1530" w:type="dxa"/>
                  <w:shd w:val="clear" w:color="auto" w:fill="auto"/>
                  <w:vAlign w:val="center"/>
                </w:tcPr>
                <w:p w14:paraId="596CAB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1330-20-7</w:t>
                  </w:r>
                </w:p>
              </w:tc>
              <w:tc>
                <w:tcPr>
                  <w:tcW w:w="1340" w:type="dxa"/>
                  <w:shd w:val="clear" w:color="auto" w:fill="auto"/>
                  <w:vAlign w:val="center"/>
                </w:tcPr>
                <w:p w14:paraId="1CFC0F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0.018</w:t>
                  </w:r>
                </w:p>
              </w:tc>
              <w:tc>
                <w:tcPr>
                  <w:tcW w:w="943" w:type="dxa"/>
                  <w:shd w:val="clear" w:color="auto" w:fill="auto"/>
                  <w:vAlign w:val="center"/>
                </w:tcPr>
                <w:p w14:paraId="330B59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284" w:type="dxa"/>
                  <w:shd w:val="clear" w:color="auto" w:fill="auto"/>
                  <w:vAlign w:val="center"/>
                </w:tcPr>
                <w:p w14:paraId="6F0716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0.0018</w:t>
                  </w:r>
                </w:p>
              </w:tc>
            </w:tr>
            <w:tr w14:paraId="3F15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24555DB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911" w:type="dxa"/>
                  <w:shd w:val="clear" w:color="auto" w:fill="auto"/>
                  <w:vAlign w:val="center"/>
                </w:tcPr>
                <w:p w14:paraId="708C78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面漆</w:t>
                  </w:r>
                </w:p>
              </w:tc>
              <w:tc>
                <w:tcPr>
                  <w:tcW w:w="1792" w:type="dxa"/>
                  <w:shd w:val="clear" w:color="auto" w:fill="auto"/>
                  <w:vAlign w:val="center"/>
                </w:tcPr>
                <w:p w14:paraId="338F91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二甲苯（27%）</w:t>
                  </w:r>
                </w:p>
              </w:tc>
              <w:tc>
                <w:tcPr>
                  <w:tcW w:w="1530" w:type="dxa"/>
                  <w:shd w:val="clear" w:color="auto" w:fill="auto"/>
                  <w:vAlign w:val="center"/>
                </w:tcPr>
                <w:p w14:paraId="6FF0CB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1330-20-7</w:t>
                  </w:r>
                </w:p>
              </w:tc>
              <w:tc>
                <w:tcPr>
                  <w:tcW w:w="1340" w:type="dxa"/>
                  <w:shd w:val="clear" w:color="auto" w:fill="auto"/>
                  <w:vAlign w:val="center"/>
                </w:tcPr>
                <w:p w14:paraId="6D5875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0.0385</w:t>
                  </w:r>
                </w:p>
              </w:tc>
              <w:tc>
                <w:tcPr>
                  <w:tcW w:w="943" w:type="dxa"/>
                  <w:shd w:val="clear" w:color="auto" w:fill="auto"/>
                  <w:vAlign w:val="center"/>
                </w:tcPr>
                <w:p w14:paraId="68F557B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284" w:type="dxa"/>
                  <w:shd w:val="clear" w:color="auto" w:fill="auto"/>
                  <w:vAlign w:val="center"/>
                </w:tcPr>
                <w:p w14:paraId="3834E8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0.00385</w:t>
                  </w:r>
                </w:p>
              </w:tc>
            </w:tr>
            <w:tr w14:paraId="34A1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046CF9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911" w:type="dxa"/>
                  <w:shd w:val="clear" w:color="auto" w:fill="auto"/>
                  <w:vAlign w:val="center"/>
                </w:tcPr>
                <w:p w14:paraId="4F83EE6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清漆</w:t>
                  </w:r>
                </w:p>
              </w:tc>
              <w:tc>
                <w:tcPr>
                  <w:tcW w:w="1792" w:type="dxa"/>
                  <w:shd w:val="clear" w:color="auto" w:fill="auto"/>
                  <w:vAlign w:val="center"/>
                </w:tcPr>
                <w:p w14:paraId="3D28ED9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二甲苯（30%）</w:t>
                  </w:r>
                </w:p>
              </w:tc>
              <w:tc>
                <w:tcPr>
                  <w:tcW w:w="1530" w:type="dxa"/>
                  <w:shd w:val="clear" w:color="auto" w:fill="auto"/>
                  <w:vAlign w:val="center"/>
                </w:tcPr>
                <w:p w14:paraId="63CCBA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1330-20-7</w:t>
                  </w:r>
                </w:p>
              </w:tc>
              <w:tc>
                <w:tcPr>
                  <w:tcW w:w="1340" w:type="dxa"/>
                  <w:shd w:val="clear" w:color="auto" w:fill="auto"/>
                  <w:vAlign w:val="center"/>
                </w:tcPr>
                <w:p w14:paraId="663C003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0.01118</w:t>
                  </w:r>
                </w:p>
              </w:tc>
              <w:tc>
                <w:tcPr>
                  <w:tcW w:w="943" w:type="dxa"/>
                  <w:shd w:val="clear" w:color="auto" w:fill="auto"/>
                  <w:vAlign w:val="center"/>
                </w:tcPr>
                <w:p w14:paraId="4C0E57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284" w:type="dxa"/>
                  <w:shd w:val="clear" w:color="auto" w:fill="auto"/>
                  <w:vAlign w:val="center"/>
                </w:tcPr>
                <w:p w14:paraId="5E59718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0.001118</w:t>
                  </w:r>
                </w:p>
              </w:tc>
            </w:tr>
            <w:tr w14:paraId="772E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restart"/>
                  <w:shd w:val="clear" w:color="auto" w:fill="auto"/>
                  <w:vAlign w:val="center"/>
                </w:tcPr>
                <w:p w14:paraId="786ADA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911" w:type="dxa"/>
                  <w:vMerge w:val="restart"/>
                  <w:shd w:val="clear" w:color="auto" w:fill="auto"/>
                  <w:vAlign w:val="center"/>
                </w:tcPr>
                <w:p w14:paraId="3477FA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稀释剂</w:t>
                  </w:r>
                </w:p>
              </w:tc>
              <w:tc>
                <w:tcPr>
                  <w:tcW w:w="1792" w:type="dxa"/>
                  <w:shd w:val="clear" w:color="auto" w:fill="auto"/>
                  <w:vAlign w:val="center"/>
                </w:tcPr>
                <w:p w14:paraId="703915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二甲苯（70%）</w:t>
                  </w:r>
                </w:p>
              </w:tc>
              <w:tc>
                <w:tcPr>
                  <w:tcW w:w="1530" w:type="dxa"/>
                  <w:shd w:val="clear" w:color="auto" w:fill="auto"/>
                  <w:vAlign w:val="center"/>
                </w:tcPr>
                <w:p w14:paraId="25A83C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1330-20-7</w:t>
                  </w:r>
                </w:p>
              </w:tc>
              <w:tc>
                <w:tcPr>
                  <w:tcW w:w="1340" w:type="dxa"/>
                  <w:shd w:val="clear" w:color="auto" w:fill="auto"/>
                  <w:vAlign w:val="center"/>
                </w:tcPr>
                <w:p w14:paraId="59098E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0.077</w:t>
                  </w:r>
                </w:p>
              </w:tc>
              <w:tc>
                <w:tcPr>
                  <w:tcW w:w="943" w:type="dxa"/>
                  <w:shd w:val="clear" w:color="auto" w:fill="auto"/>
                  <w:vAlign w:val="center"/>
                </w:tcPr>
                <w:p w14:paraId="653B34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284" w:type="dxa"/>
                  <w:shd w:val="clear" w:color="auto" w:fill="auto"/>
                  <w:vAlign w:val="center"/>
                </w:tcPr>
                <w:p w14:paraId="3BC5CC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0.0077</w:t>
                  </w:r>
                </w:p>
              </w:tc>
            </w:tr>
            <w:tr w14:paraId="7F88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vMerge w:val="continue"/>
                  <w:shd w:val="clear" w:color="auto" w:fill="auto"/>
                  <w:vAlign w:val="center"/>
                </w:tcPr>
                <w:p w14:paraId="59857743">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911" w:type="dxa"/>
                  <w:vMerge w:val="continue"/>
                  <w:shd w:val="clear" w:color="auto" w:fill="auto"/>
                  <w:vAlign w:val="center"/>
                </w:tcPr>
                <w:p w14:paraId="4608BE8D">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792" w:type="dxa"/>
                  <w:shd w:val="clear" w:color="auto" w:fill="auto"/>
                  <w:vAlign w:val="center"/>
                </w:tcPr>
                <w:p w14:paraId="07E050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乙二醇单丁醚（30%）</w:t>
                  </w:r>
                </w:p>
              </w:tc>
              <w:tc>
                <w:tcPr>
                  <w:tcW w:w="1530" w:type="dxa"/>
                  <w:shd w:val="clear" w:color="auto" w:fill="auto"/>
                  <w:vAlign w:val="center"/>
                </w:tcPr>
                <w:p w14:paraId="573D08D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111-76-2</w:t>
                  </w:r>
                </w:p>
              </w:tc>
              <w:tc>
                <w:tcPr>
                  <w:tcW w:w="1340" w:type="dxa"/>
                  <w:shd w:val="clear" w:color="auto" w:fill="auto"/>
                  <w:vAlign w:val="center"/>
                </w:tcPr>
                <w:p w14:paraId="31F0EE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0.033</w:t>
                  </w:r>
                </w:p>
              </w:tc>
              <w:tc>
                <w:tcPr>
                  <w:tcW w:w="943" w:type="dxa"/>
                  <w:shd w:val="clear" w:color="auto" w:fill="auto"/>
                  <w:vAlign w:val="center"/>
                </w:tcPr>
                <w:p w14:paraId="78B8CB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284" w:type="dxa"/>
                  <w:shd w:val="clear" w:color="auto" w:fill="auto"/>
                  <w:vAlign w:val="center"/>
                </w:tcPr>
                <w:p w14:paraId="38015C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0.0033</w:t>
                  </w:r>
                </w:p>
              </w:tc>
            </w:tr>
            <w:tr w14:paraId="3B14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4CE372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911" w:type="dxa"/>
                  <w:shd w:val="clear" w:color="auto" w:fill="auto"/>
                  <w:vAlign w:val="center"/>
                </w:tcPr>
                <w:p w14:paraId="18D5B9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pH调整剂</w:t>
                  </w:r>
                </w:p>
              </w:tc>
              <w:tc>
                <w:tcPr>
                  <w:tcW w:w="1792" w:type="dxa"/>
                  <w:shd w:val="clear" w:color="auto" w:fill="auto"/>
                  <w:vAlign w:val="center"/>
                </w:tcPr>
                <w:p w14:paraId="6CA1A8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70%硫酸</w:t>
                  </w:r>
                </w:p>
              </w:tc>
              <w:tc>
                <w:tcPr>
                  <w:tcW w:w="1530" w:type="dxa"/>
                  <w:shd w:val="clear" w:color="auto" w:fill="auto"/>
                  <w:vAlign w:val="center"/>
                </w:tcPr>
                <w:p w14:paraId="678BE1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7664-93-9</w:t>
                  </w:r>
                </w:p>
              </w:tc>
              <w:tc>
                <w:tcPr>
                  <w:tcW w:w="1340" w:type="dxa"/>
                  <w:shd w:val="clear" w:color="auto" w:fill="auto"/>
                  <w:vAlign w:val="center"/>
                </w:tcPr>
                <w:p w14:paraId="4293B8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c>
                <w:tcPr>
                  <w:tcW w:w="943" w:type="dxa"/>
                  <w:shd w:val="clear" w:color="auto" w:fill="auto"/>
                  <w:vAlign w:val="center"/>
                </w:tcPr>
                <w:p w14:paraId="14F0AAD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284" w:type="dxa"/>
                  <w:shd w:val="clear" w:color="auto" w:fill="auto"/>
                  <w:vAlign w:val="center"/>
                </w:tcPr>
                <w:p w14:paraId="5C5EAA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0.014</w:t>
                  </w:r>
                </w:p>
              </w:tc>
            </w:tr>
            <w:tr w14:paraId="3E81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5510EB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911" w:type="dxa"/>
                  <w:shd w:val="clear" w:color="auto" w:fill="auto"/>
                  <w:vAlign w:val="center"/>
                </w:tcPr>
                <w:p w14:paraId="1247E3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危险废物</w:t>
                  </w:r>
                </w:p>
              </w:tc>
              <w:tc>
                <w:tcPr>
                  <w:tcW w:w="1792" w:type="dxa"/>
                  <w:shd w:val="clear" w:color="auto" w:fill="auto"/>
                  <w:vAlign w:val="center"/>
                </w:tcPr>
                <w:p w14:paraId="0A58DE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530" w:type="dxa"/>
                  <w:shd w:val="clear" w:color="auto" w:fill="auto"/>
                  <w:vAlign w:val="center"/>
                </w:tcPr>
                <w:p w14:paraId="1FCC49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0" w:type="dxa"/>
                  <w:shd w:val="clear" w:color="auto" w:fill="auto"/>
                  <w:vAlign w:val="center"/>
                </w:tcPr>
                <w:p w14:paraId="23B146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p>
              </w:tc>
              <w:tc>
                <w:tcPr>
                  <w:tcW w:w="943" w:type="dxa"/>
                  <w:shd w:val="clear" w:color="auto" w:fill="auto"/>
                  <w:vAlign w:val="center"/>
                </w:tcPr>
                <w:p w14:paraId="558B00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1284" w:type="dxa"/>
                  <w:shd w:val="clear" w:color="auto" w:fill="auto"/>
                  <w:vAlign w:val="center"/>
                </w:tcPr>
                <w:p w14:paraId="178FB7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w:t>
                  </w:r>
                </w:p>
              </w:tc>
            </w:tr>
            <w:tr w14:paraId="3249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2FCDD0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911" w:type="dxa"/>
                  <w:shd w:val="clear" w:color="auto" w:fill="auto"/>
                  <w:vAlign w:val="center"/>
                </w:tcPr>
                <w:p w14:paraId="101E5C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机油</w:t>
                  </w:r>
                </w:p>
              </w:tc>
              <w:tc>
                <w:tcPr>
                  <w:tcW w:w="1792" w:type="dxa"/>
                  <w:shd w:val="clear" w:color="auto" w:fill="auto"/>
                  <w:vAlign w:val="center"/>
                </w:tcPr>
                <w:p w14:paraId="24E290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530" w:type="dxa"/>
                  <w:shd w:val="clear" w:color="auto" w:fill="auto"/>
                  <w:vAlign w:val="center"/>
                </w:tcPr>
                <w:p w14:paraId="54D48D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0" w:type="dxa"/>
                  <w:shd w:val="clear" w:color="auto" w:fill="auto"/>
                  <w:noWrap/>
                  <w:vAlign w:val="center"/>
                </w:tcPr>
                <w:p w14:paraId="427814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943" w:type="dxa"/>
                  <w:shd w:val="clear" w:color="auto" w:fill="auto"/>
                  <w:vAlign w:val="center"/>
                </w:tcPr>
                <w:p w14:paraId="303A186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2500</w:t>
                  </w:r>
                </w:p>
              </w:tc>
              <w:tc>
                <w:tcPr>
                  <w:tcW w:w="1284" w:type="dxa"/>
                  <w:shd w:val="clear" w:color="auto" w:fill="auto"/>
                  <w:vAlign w:val="center"/>
                </w:tcPr>
                <w:p w14:paraId="11D61A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0.00004</w:t>
                  </w:r>
                </w:p>
              </w:tc>
            </w:tr>
            <w:tr w14:paraId="760E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769D94A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911" w:type="dxa"/>
                  <w:shd w:val="clear" w:color="auto" w:fill="auto"/>
                  <w:vAlign w:val="center"/>
                </w:tcPr>
                <w:p w14:paraId="20798F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液压油</w:t>
                  </w:r>
                </w:p>
              </w:tc>
              <w:tc>
                <w:tcPr>
                  <w:tcW w:w="1792" w:type="dxa"/>
                  <w:shd w:val="clear" w:color="auto" w:fill="auto"/>
                  <w:vAlign w:val="center"/>
                </w:tcPr>
                <w:p w14:paraId="6D7900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530" w:type="dxa"/>
                  <w:shd w:val="clear" w:color="auto" w:fill="auto"/>
                  <w:vAlign w:val="center"/>
                </w:tcPr>
                <w:p w14:paraId="6FB934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0" w:type="dxa"/>
                  <w:shd w:val="clear" w:color="auto" w:fill="auto"/>
                  <w:vAlign w:val="center"/>
                </w:tcPr>
                <w:p w14:paraId="4FD94A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943" w:type="dxa"/>
                  <w:shd w:val="clear" w:color="auto" w:fill="auto"/>
                  <w:vAlign w:val="center"/>
                </w:tcPr>
                <w:p w14:paraId="66CE18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2500</w:t>
                  </w:r>
                </w:p>
              </w:tc>
              <w:tc>
                <w:tcPr>
                  <w:tcW w:w="1284" w:type="dxa"/>
                  <w:shd w:val="clear" w:color="auto" w:fill="auto"/>
                  <w:vAlign w:val="center"/>
                </w:tcPr>
                <w:p w14:paraId="4572CE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0.00004</w:t>
                  </w:r>
                </w:p>
              </w:tc>
            </w:tr>
            <w:tr w14:paraId="19B1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restart"/>
                  <w:shd w:val="clear" w:color="auto" w:fill="auto"/>
                  <w:vAlign w:val="center"/>
                </w:tcPr>
                <w:p w14:paraId="360470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911" w:type="dxa"/>
                  <w:vMerge w:val="restart"/>
                  <w:shd w:val="clear" w:color="auto" w:fill="auto"/>
                  <w:vAlign w:val="center"/>
                </w:tcPr>
                <w:p w14:paraId="4264AB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无铬钝化剂</w:t>
                  </w:r>
                </w:p>
              </w:tc>
              <w:tc>
                <w:tcPr>
                  <w:tcW w:w="1792" w:type="dxa"/>
                  <w:shd w:val="clear" w:color="auto" w:fill="auto"/>
                  <w:vAlign w:val="center"/>
                </w:tcPr>
                <w:p w14:paraId="183E5F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氟锆酸（10%）</w:t>
                  </w:r>
                </w:p>
              </w:tc>
              <w:tc>
                <w:tcPr>
                  <w:tcW w:w="1530" w:type="dxa"/>
                  <w:shd w:val="clear" w:color="auto" w:fill="auto"/>
                  <w:vAlign w:val="center"/>
                </w:tcPr>
                <w:p w14:paraId="3B49E6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12021-95-3</w:t>
                  </w:r>
                </w:p>
              </w:tc>
              <w:tc>
                <w:tcPr>
                  <w:tcW w:w="1340" w:type="dxa"/>
                  <w:shd w:val="clear" w:color="auto" w:fill="auto"/>
                  <w:vAlign w:val="center"/>
                </w:tcPr>
                <w:p w14:paraId="5E63A0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943" w:type="dxa"/>
                  <w:shd w:val="clear" w:color="auto" w:fill="auto"/>
                  <w:vAlign w:val="center"/>
                </w:tcPr>
                <w:p w14:paraId="2D8CB9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284" w:type="dxa"/>
                  <w:shd w:val="clear" w:color="auto" w:fill="auto"/>
                  <w:vAlign w:val="center"/>
                </w:tcPr>
                <w:p w14:paraId="122FAF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w:t>
                  </w:r>
                </w:p>
              </w:tc>
            </w:tr>
            <w:tr w14:paraId="4A2C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continue"/>
                  <w:shd w:val="clear" w:color="auto" w:fill="auto"/>
                  <w:vAlign w:val="center"/>
                </w:tcPr>
                <w:p w14:paraId="65D9DC17">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911" w:type="dxa"/>
                  <w:vMerge w:val="continue"/>
                  <w:shd w:val="clear" w:color="auto" w:fill="auto"/>
                  <w:vAlign w:val="center"/>
                </w:tcPr>
                <w:p w14:paraId="5EC3B944">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792" w:type="dxa"/>
                  <w:shd w:val="clear" w:color="auto" w:fill="auto"/>
                  <w:vAlign w:val="center"/>
                </w:tcPr>
                <w:p w14:paraId="1970AA1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氟钛酸（10%）</w:t>
                  </w:r>
                </w:p>
              </w:tc>
              <w:tc>
                <w:tcPr>
                  <w:tcW w:w="1530" w:type="dxa"/>
                  <w:shd w:val="clear" w:color="auto" w:fill="auto"/>
                  <w:vAlign w:val="center"/>
                </w:tcPr>
                <w:p w14:paraId="5B8369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17439-11-1</w:t>
                  </w:r>
                </w:p>
              </w:tc>
              <w:tc>
                <w:tcPr>
                  <w:tcW w:w="1340" w:type="dxa"/>
                  <w:shd w:val="clear" w:color="auto" w:fill="auto"/>
                  <w:vAlign w:val="center"/>
                </w:tcPr>
                <w:p w14:paraId="350DEA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943" w:type="dxa"/>
                  <w:shd w:val="clear" w:color="auto" w:fill="auto"/>
                  <w:vAlign w:val="center"/>
                </w:tcPr>
                <w:p w14:paraId="7B7B11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284" w:type="dxa"/>
                  <w:shd w:val="clear" w:color="auto" w:fill="auto"/>
                  <w:vAlign w:val="center"/>
                </w:tcPr>
                <w:p w14:paraId="1C0166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w:t>
                  </w:r>
                </w:p>
              </w:tc>
            </w:tr>
            <w:tr w14:paraId="3541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5D37A7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911" w:type="dxa"/>
                  <w:shd w:val="clear" w:color="auto" w:fill="auto"/>
                  <w:vAlign w:val="center"/>
                </w:tcPr>
                <w:p w14:paraId="1F96FC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除油</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剂</w:t>
                  </w:r>
                </w:p>
              </w:tc>
              <w:tc>
                <w:tcPr>
                  <w:tcW w:w="1792" w:type="dxa"/>
                  <w:shd w:val="clear" w:color="auto" w:fill="auto"/>
                  <w:vAlign w:val="center"/>
                </w:tcPr>
                <w:p w14:paraId="4DCBC0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表面活性剂（5%）</w:t>
                  </w:r>
                </w:p>
              </w:tc>
              <w:tc>
                <w:tcPr>
                  <w:tcW w:w="1530" w:type="dxa"/>
                  <w:shd w:val="clear" w:color="auto" w:fill="auto"/>
                  <w:vAlign w:val="center"/>
                </w:tcPr>
                <w:p w14:paraId="7ED618B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68084-34-4</w:t>
                  </w:r>
                </w:p>
              </w:tc>
              <w:tc>
                <w:tcPr>
                  <w:tcW w:w="1340" w:type="dxa"/>
                  <w:shd w:val="clear" w:color="auto" w:fill="auto"/>
                  <w:vAlign w:val="center"/>
                </w:tcPr>
                <w:p w14:paraId="3A2130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943" w:type="dxa"/>
                  <w:shd w:val="clear" w:color="auto" w:fill="auto"/>
                  <w:vAlign w:val="center"/>
                </w:tcPr>
                <w:p w14:paraId="7889FE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284" w:type="dxa"/>
                  <w:shd w:val="clear" w:color="auto" w:fill="auto"/>
                  <w:vAlign w:val="center"/>
                </w:tcPr>
                <w:p w14:paraId="6B1728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0.004</w:t>
                  </w:r>
                </w:p>
              </w:tc>
            </w:tr>
            <w:tr w14:paraId="54C1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3ADBDEC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12</w:t>
                  </w:r>
                </w:p>
              </w:tc>
              <w:tc>
                <w:tcPr>
                  <w:tcW w:w="911" w:type="dxa"/>
                  <w:vMerge w:val="restart"/>
                  <w:shd w:val="clear" w:color="auto" w:fill="auto"/>
                  <w:vAlign w:val="center"/>
                </w:tcPr>
                <w:p w14:paraId="127382EE">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清洗剂</w:t>
                  </w:r>
                </w:p>
              </w:tc>
              <w:tc>
                <w:tcPr>
                  <w:tcW w:w="1792" w:type="dxa"/>
                  <w:shd w:val="clear" w:color="auto" w:fill="auto"/>
                  <w:vAlign w:val="center"/>
                </w:tcPr>
                <w:p w14:paraId="26CF1D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乙酸乙酯</w:t>
                  </w:r>
                </w:p>
              </w:tc>
              <w:tc>
                <w:tcPr>
                  <w:tcW w:w="1530" w:type="dxa"/>
                  <w:shd w:val="clear" w:color="auto" w:fill="auto"/>
                  <w:vAlign w:val="center"/>
                </w:tcPr>
                <w:p w14:paraId="145184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noBreakHyphen/>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noBreakHyphen/>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340" w:type="dxa"/>
                  <w:shd w:val="clear" w:color="auto" w:fill="auto"/>
                  <w:vAlign w:val="center"/>
                </w:tcPr>
                <w:p w14:paraId="672482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0.025</w:t>
                  </w:r>
                </w:p>
              </w:tc>
              <w:tc>
                <w:tcPr>
                  <w:tcW w:w="943" w:type="dxa"/>
                  <w:shd w:val="clear" w:color="auto" w:fill="auto"/>
                  <w:vAlign w:val="center"/>
                </w:tcPr>
                <w:p w14:paraId="5D7F0A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w:t>
                  </w:r>
                </w:p>
              </w:tc>
              <w:tc>
                <w:tcPr>
                  <w:tcW w:w="1284" w:type="dxa"/>
                  <w:shd w:val="clear" w:color="auto" w:fill="auto"/>
                  <w:vAlign w:val="center"/>
                </w:tcPr>
                <w:p w14:paraId="1FCC0B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0.00005</w:t>
                  </w:r>
                </w:p>
              </w:tc>
            </w:tr>
            <w:tr w14:paraId="2127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3BEE6A3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13</w:t>
                  </w:r>
                </w:p>
              </w:tc>
              <w:tc>
                <w:tcPr>
                  <w:tcW w:w="911" w:type="dxa"/>
                  <w:vMerge w:val="continue"/>
                  <w:shd w:val="clear" w:color="auto" w:fill="auto"/>
                  <w:vAlign w:val="center"/>
                </w:tcPr>
                <w:p w14:paraId="23383224">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p>
              </w:tc>
              <w:tc>
                <w:tcPr>
                  <w:tcW w:w="1792" w:type="dxa"/>
                  <w:shd w:val="clear" w:color="auto" w:fill="auto"/>
                  <w:vAlign w:val="center"/>
                </w:tcPr>
                <w:p w14:paraId="7773B4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乙酸正乙酯</w:t>
                  </w:r>
                </w:p>
              </w:tc>
              <w:tc>
                <w:tcPr>
                  <w:tcW w:w="1530" w:type="dxa"/>
                  <w:shd w:val="clear" w:color="auto" w:fill="auto"/>
                  <w:vAlign w:val="center"/>
                </w:tcPr>
                <w:p w14:paraId="38D7EE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noBreakHyphen/>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noBreakHyphen/>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340" w:type="dxa"/>
                  <w:shd w:val="clear" w:color="auto" w:fill="auto"/>
                  <w:vAlign w:val="center"/>
                </w:tcPr>
                <w:p w14:paraId="47DB23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0.025</w:t>
                  </w:r>
                </w:p>
              </w:tc>
              <w:tc>
                <w:tcPr>
                  <w:tcW w:w="943" w:type="dxa"/>
                  <w:shd w:val="clear" w:color="auto" w:fill="auto"/>
                  <w:vAlign w:val="center"/>
                </w:tcPr>
                <w:p w14:paraId="25D36B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w:t>
                  </w:r>
                </w:p>
              </w:tc>
              <w:tc>
                <w:tcPr>
                  <w:tcW w:w="1284" w:type="dxa"/>
                  <w:shd w:val="clear" w:color="auto" w:fill="auto"/>
                  <w:vAlign w:val="center"/>
                </w:tcPr>
                <w:p w14:paraId="1743A8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0.00005</w:t>
                  </w:r>
                </w:p>
              </w:tc>
            </w:tr>
            <w:tr w14:paraId="33C8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7142" w:type="dxa"/>
                  <w:gridSpan w:val="6"/>
                  <w:shd w:val="clear" w:color="auto" w:fill="auto"/>
                  <w:vAlign w:val="center"/>
                </w:tcPr>
                <w:p w14:paraId="550533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项目Q值</w:t>
                  </w:r>
                </w:p>
              </w:tc>
              <w:tc>
                <w:tcPr>
                  <w:tcW w:w="1284" w:type="dxa"/>
                  <w:shd w:val="clear" w:color="auto" w:fill="auto"/>
                  <w:vAlign w:val="center"/>
                </w:tcPr>
                <w:p w14:paraId="06C979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38</w:t>
                  </w:r>
                </w:p>
              </w:tc>
            </w:tr>
            <w:tr w14:paraId="6CDD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8426" w:type="dxa"/>
                  <w:gridSpan w:val="7"/>
                  <w:shd w:val="clear" w:color="auto" w:fill="auto"/>
                  <w:vAlign w:val="center"/>
                </w:tcPr>
                <w:p w14:paraId="65558B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注：底漆（最大贮存量0.18t）、稀释剂（最大贮存量0.11t）、面漆（最大贮存量0.35t）、清漆（最大贮存量0.13t）原料中对应风险组份的最大储存量按其对应原料最大储存量折算得出；危险废物（最大贮存量以贮存能力计）临界量参考《建设项目环境风险评价技术导则》（HJ-2018）表b.2的健康危险急性毒性物质（类别2、类别3）进行计算；无铬钝化剂、</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除油</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剂参考表b.2危害水环境物质（类别3）进行计算；机油、液压油属于矿物质油，其临界量参考《建设项目环境风险评价技术导则》（HJ-2018）油类物质（矿物油类，如石油、汽油、柴油等；生物柴油等）的临界量；厂区内不设天然气储存装置，故本项目按管道中的天然气量计算最大储存量，厂区内天然气管道总长度约</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360</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m，管径40mm，密度0.7174kg/m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。则本项目厂区内最大储存量=天然气管道截面积×厂区内长度×密度，约为0.000</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32t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w:t>
                  </w:r>
                </w:p>
              </w:tc>
            </w:tr>
          </w:tbl>
          <w:p w14:paraId="3ED8DB9D">
            <w:pPr>
              <w:keepNext w:val="0"/>
              <w:keepLines w:val="0"/>
              <w:pageBreakBefore w:val="0"/>
              <w:widowControl w:val="0"/>
              <w:kinsoku/>
              <w:wordWrap/>
              <w:overflowPunct/>
              <w:topLinePunct w:val="0"/>
              <w:autoSpaceDE/>
              <w:autoSpaceDN/>
              <w:bidi w:val="0"/>
              <w:adjustRightInd/>
              <w:snapToGrid/>
              <w:spacing w:line="120" w:lineRule="exact"/>
              <w:textAlignment w:val="auto"/>
              <w:rPr>
                <w:rFonts w:hint="default" w:ascii="Times New Roman" w:hAnsi="Times New Roman" w:cs="Times New Roman"/>
                <w:color w:val="000000" w:themeColor="text1"/>
                <w:highlight w:val="none"/>
                <w14:textFill>
                  <w14:solidFill>
                    <w14:schemeClr w14:val="tx1"/>
                  </w14:solidFill>
                </w14:textFill>
              </w:rPr>
            </w:pPr>
          </w:p>
          <w:p w14:paraId="1C928166">
            <w:pPr>
              <w:pStyle w:val="39"/>
              <w:spacing w:after="0" w:line="360" w:lineRule="auto"/>
              <w:ind w:firstLine="482"/>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套入公式所得结果为（Q）=∑q</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sz w:val="24"/>
                <w:szCs w:val="24"/>
                <w:highlight w:val="none"/>
                <w14:textFill>
                  <w14:solidFill>
                    <w14:schemeClr w14:val="tx1"/>
                  </w14:solidFill>
                </w14:textFill>
              </w:rPr>
              <w:t>/Q</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0.</w:t>
            </w:r>
            <w:r>
              <w:rPr>
                <w:rFonts w:hint="eastAsia" w:cs="Times New Roman"/>
                <w:b w:val="0"/>
                <w:bCs/>
                <w:color w:val="000000" w:themeColor="text1"/>
                <w:sz w:val="24"/>
                <w:szCs w:val="24"/>
                <w:highlight w:val="none"/>
                <w:lang w:val="en-US" w:eastAsia="zh-CN"/>
                <w14:textFill>
                  <w14:solidFill>
                    <w14:schemeClr w14:val="tx1"/>
                  </w14:solidFill>
                </w14:textFill>
              </w:rPr>
              <w:t>937</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Q</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712CBF0B">
            <w:pPr>
              <w:pStyle w:val="39"/>
              <w:spacing w:after="0" w:line="360" w:lineRule="auto"/>
              <w:ind w:firstLine="482"/>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7.2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风险源分布情况及可能影响途径</w:t>
            </w:r>
          </w:p>
          <w:p w14:paraId="01A2DAA2">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表4-4</w:t>
            </w:r>
            <w:r>
              <w:rPr>
                <w:rFonts w:hint="eastAsia" w:cs="Times New Roman"/>
                <w:b/>
                <w:bCs/>
                <w:color w:val="000000" w:themeColor="text1"/>
                <w:kern w:val="2"/>
                <w:sz w:val="21"/>
                <w:szCs w:val="21"/>
                <w:lang w:val="en-US" w:eastAsia="zh-CN" w:bidi="ar-SA"/>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危险单元风险类型识别</w:t>
            </w:r>
          </w:p>
          <w:tbl>
            <w:tblPr>
              <w:tblStyle w:val="132"/>
              <w:tblW w:w="499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4"/>
              <w:gridCol w:w="1021"/>
              <w:gridCol w:w="1064"/>
              <w:gridCol w:w="1965"/>
              <w:gridCol w:w="1551"/>
              <w:gridCol w:w="1842"/>
            </w:tblGrid>
            <w:tr w14:paraId="0013D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l2br w:val="nil"/>
                    <w:tr2bl w:val="nil"/>
                  </w:tcBorders>
                  <w:noWrap w:val="0"/>
                  <w:vAlign w:val="center"/>
                </w:tcPr>
                <w:p w14:paraId="3CB63831">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风险</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单元</w:t>
                  </w:r>
                </w:p>
              </w:tc>
              <w:tc>
                <w:tcPr>
                  <w:tcW w:w="614" w:type="pct"/>
                  <w:tcBorders>
                    <w:tl2br w:val="nil"/>
                    <w:tr2bl w:val="nil"/>
                  </w:tcBorders>
                  <w:noWrap w:val="0"/>
                  <w:vAlign w:val="center"/>
                </w:tcPr>
                <w:p w14:paraId="77938C34">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风险源</w:t>
                  </w:r>
                </w:p>
              </w:tc>
              <w:tc>
                <w:tcPr>
                  <w:tcW w:w="640" w:type="pct"/>
                  <w:tcBorders>
                    <w:tl2br w:val="nil"/>
                    <w:tr2bl w:val="nil"/>
                  </w:tcBorders>
                  <w:noWrap w:val="0"/>
                  <w:vAlign w:val="center"/>
                </w:tcPr>
                <w:p w14:paraId="22D6311A">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风险</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物质</w:t>
                  </w:r>
                </w:p>
              </w:tc>
              <w:tc>
                <w:tcPr>
                  <w:tcW w:w="1182" w:type="pct"/>
                  <w:tcBorders>
                    <w:tl2br w:val="nil"/>
                    <w:tr2bl w:val="nil"/>
                  </w:tcBorders>
                  <w:noWrap w:val="0"/>
                  <w:vAlign w:val="center"/>
                </w:tcPr>
                <w:p w14:paraId="12E50592">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环境风险类型</w:t>
                  </w:r>
                </w:p>
              </w:tc>
              <w:tc>
                <w:tcPr>
                  <w:tcW w:w="933" w:type="pct"/>
                  <w:tcBorders>
                    <w:tl2br w:val="nil"/>
                    <w:tr2bl w:val="nil"/>
                  </w:tcBorders>
                  <w:noWrap w:val="0"/>
                  <w:vAlign w:val="center"/>
                </w:tcPr>
                <w:p w14:paraId="00532FBA">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环境影响途径</w:t>
                  </w:r>
                </w:p>
              </w:tc>
              <w:tc>
                <w:tcPr>
                  <w:tcW w:w="1108" w:type="pct"/>
                  <w:tcBorders>
                    <w:tl2br w:val="nil"/>
                    <w:tr2bl w:val="nil"/>
                  </w:tcBorders>
                  <w:noWrap w:val="0"/>
                  <w:vAlign w:val="center"/>
                </w:tcPr>
                <w:p w14:paraId="03079E47">
                  <w:pPr>
                    <w:widowControl/>
                    <w:spacing w:line="240" w:lineRule="auto"/>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可能受影响的环境敏感目标</w:t>
                  </w:r>
                </w:p>
              </w:tc>
            </w:tr>
            <w:tr w14:paraId="240D2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bottom w:val="single" w:color="auto" w:sz="4" w:space="0"/>
                    <w:tl2br w:val="nil"/>
                    <w:tr2bl w:val="nil"/>
                  </w:tcBorders>
                  <w:noWrap w:val="0"/>
                  <w:vAlign w:val="center"/>
                </w:tcPr>
                <w:p w14:paraId="7627CFF4">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生产装置</w:t>
                  </w:r>
                </w:p>
              </w:tc>
              <w:tc>
                <w:tcPr>
                  <w:tcW w:w="614" w:type="pct"/>
                  <w:tcBorders>
                    <w:bottom w:val="single" w:color="auto" w:sz="4" w:space="0"/>
                    <w:tl2br w:val="nil"/>
                    <w:tr2bl w:val="nil"/>
                  </w:tcBorders>
                  <w:noWrap w:val="0"/>
                  <w:vAlign w:val="center"/>
                </w:tcPr>
                <w:p w14:paraId="5CEFB25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工件表面预处理</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生产线</w:t>
                  </w:r>
                </w:p>
              </w:tc>
              <w:tc>
                <w:tcPr>
                  <w:tcW w:w="640" w:type="pct"/>
                  <w:tcBorders>
                    <w:tl2br w:val="nil"/>
                    <w:tr2bl w:val="nil"/>
                  </w:tcBorders>
                  <w:noWrap w:val="0"/>
                  <w:vAlign w:val="center"/>
                </w:tcPr>
                <w:p w14:paraId="753831C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表面处理废水</w:t>
                  </w:r>
                </w:p>
              </w:tc>
              <w:tc>
                <w:tcPr>
                  <w:tcW w:w="1182" w:type="pct"/>
                  <w:tcBorders>
                    <w:tl2br w:val="nil"/>
                    <w:tr2bl w:val="nil"/>
                  </w:tcBorders>
                  <w:noWrap w:val="0"/>
                  <w:vAlign w:val="center"/>
                </w:tcPr>
                <w:p w14:paraId="3CDB99A5">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泄漏</w:t>
                  </w:r>
                </w:p>
              </w:tc>
              <w:tc>
                <w:tcPr>
                  <w:tcW w:w="933" w:type="pct"/>
                  <w:tcBorders>
                    <w:tl2br w:val="nil"/>
                    <w:tr2bl w:val="nil"/>
                  </w:tcBorders>
                  <w:noWrap w:val="0"/>
                  <w:vAlign w:val="center"/>
                </w:tcPr>
                <w:p w14:paraId="531EFF95">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地表径流、下渗</w:t>
                  </w:r>
                </w:p>
              </w:tc>
              <w:tc>
                <w:tcPr>
                  <w:tcW w:w="1108" w:type="pct"/>
                  <w:tcBorders>
                    <w:tl2br w:val="nil"/>
                    <w:tr2bl w:val="nil"/>
                  </w:tcBorders>
                  <w:noWrap w:val="0"/>
                  <w:vAlign w:val="center"/>
                </w:tcPr>
                <w:p w14:paraId="7A47906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地表水、地下水环境</w:t>
                  </w:r>
                </w:p>
              </w:tc>
            </w:tr>
            <w:tr w14:paraId="1EF13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op w:val="single" w:color="auto" w:sz="4" w:space="0"/>
                    <w:bottom w:val="single" w:color="auto" w:sz="4" w:space="0"/>
                    <w:tl2br w:val="nil"/>
                    <w:tr2bl w:val="nil"/>
                  </w:tcBorders>
                  <w:noWrap w:val="0"/>
                  <w:vAlign w:val="center"/>
                </w:tcPr>
                <w:p w14:paraId="232E6C88">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辅助生产设施</w:t>
                  </w:r>
                </w:p>
              </w:tc>
              <w:tc>
                <w:tcPr>
                  <w:tcW w:w="614" w:type="pct"/>
                  <w:tcBorders>
                    <w:top w:val="single" w:color="auto" w:sz="4" w:space="0"/>
                    <w:bottom w:val="single" w:color="auto" w:sz="4" w:space="0"/>
                    <w:tl2br w:val="nil"/>
                    <w:tr2bl w:val="nil"/>
                  </w:tcBorders>
                  <w:noWrap w:val="0"/>
                  <w:vAlign w:val="center"/>
                </w:tcPr>
                <w:p w14:paraId="2F8FCBC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天然气管道</w:t>
                  </w:r>
                </w:p>
              </w:tc>
              <w:tc>
                <w:tcPr>
                  <w:tcW w:w="640" w:type="pct"/>
                  <w:tcBorders>
                    <w:tl2br w:val="nil"/>
                    <w:tr2bl w:val="nil"/>
                  </w:tcBorders>
                  <w:noWrap w:val="0"/>
                  <w:vAlign w:val="center"/>
                </w:tcPr>
                <w:p w14:paraId="1E8082F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甲烷</w:t>
                  </w:r>
                </w:p>
              </w:tc>
              <w:tc>
                <w:tcPr>
                  <w:tcW w:w="1182" w:type="pct"/>
                  <w:tcBorders>
                    <w:tl2br w:val="nil"/>
                    <w:tr2bl w:val="nil"/>
                  </w:tcBorders>
                  <w:noWrap w:val="0"/>
                  <w:vAlign w:val="center"/>
                </w:tcPr>
                <w:p w14:paraId="4BC5A00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泄漏、火灾引发的伴生/次生污染</w:t>
                  </w:r>
                </w:p>
              </w:tc>
              <w:tc>
                <w:tcPr>
                  <w:tcW w:w="933" w:type="pct"/>
                  <w:tcBorders>
                    <w:tl2br w:val="nil"/>
                    <w:tr2bl w:val="nil"/>
                  </w:tcBorders>
                  <w:noWrap w:val="0"/>
                  <w:vAlign w:val="center"/>
                </w:tcPr>
                <w:p w14:paraId="30ADC22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大气扩散</w:t>
                  </w:r>
                </w:p>
              </w:tc>
              <w:tc>
                <w:tcPr>
                  <w:tcW w:w="1108" w:type="pct"/>
                  <w:tcBorders>
                    <w:tl2br w:val="nil"/>
                    <w:tr2bl w:val="nil"/>
                  </w:tcBorders>
                  <w:noWrap w:val="0"/>
                  <w:vAlign w:val="center"/>
                </w:tcPr>
                <w:p w14:paraId="382606D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大气环境</w:t>
                  </w:r>
                </w:p>
              </w:tc>
            </w:tr>
            <w:tr w14:paraId="67D0D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op w:val="single" w:color="auto" w:sz="4" w:space="0"/>
                    <w:tl2br w:val="nil"/>
                    <w:tr2bl w:val="nil"/>
                  </w:tcBorders>
                  <w:noWrap w:val="0"/>
                  <w:vAlign w:val="center"/>
                </w:tcPr>
                <w:p w14:paraId="035B986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储运设施</w:t>
                  </w:r>
                </w:p>
              </w:tc>
              <w:tc>
                <w:tcPr>
                  <w:tcW w:w="614" w:type="pct"/>
                  <w:tcBorders>
                    <w:top w:val="single" w:color="auto" w:sz="4" w:space="0"/>
                    <w:tl2br w:val="nil"/>
                    <w:tr2bl w:val="nil"/>
                  </w:tcBorders>
                  <w:noWrap w:val="0"/>
                  <w:vAlign w:val="center"/>
                </w:tcPr>
                <w:p w14:paraId="20A5237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化学品仓库</w:t>
                  </w:r>
                </w:p>
              </w:tc>
              <w:tc>
                <w:tcPr>
                  <w:tcW w:w="640" w:type="pct"/>
                  <w:tcBorders>
                    <w:tl2br w:val="nil"/>
                    <w:tr2bl w:val="nil"/>
                  </w:tcBorders>
                  <w:noWrap w:val="0"/>
                  <w:vAlign w:val="center"/>
                </w:tcPr>
                <w:p w14:paraId="4CEF8C2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pH调整剂、无铬钝化剂、机油、润滑油</w:t>
                  </w:r>
                  <w:r>
                    <w:rPr>
                      <w:rFonts w:hint="eastAsia" w:cs="Times New Roman"/>
                      <w:color w:val="000000" w:themeColor="text1"/>
                      <w:kern w:val="0"/>
                      <w:sz w:val="21"/>
                      <w:szCs w:val="21"/>
                      <w:highlight w:val="none"/>
                      <w:lang w:val="en-US" w:eastAsia="zh-CN" w:bidi="ar"/>
                      <w14:textFill>
                        <w14:solidFill>
                          <w14:schemeClr w14:val="tx1"/>
                        </w14:solidFill>
                      </w14:textFill>
                    </w:rPr>
                    <w:t>、油漆、稀释剂、清洗剂等</w:t>
                  </w:r>
                </w:p>
              </w:tc>
              <w:tc>
                <w:tcPr>
                  <w:tcW w:w="1182" w:type="pct"/>
                  <w:tcBorders>
                    <w:tl2br w:val="nil"/>
                    <w:tr2bl w:val="nil"/>
                  </w:tcBorders>
                  <w:noWrap w:val="0"/>
                  <w:vAlign w:val="center"/>
                </w:tcPr>
                <w:p w14:paraId="5342457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泄漏</w:t>
                  </w:r>
                </w:p>
              </w:tc>
              <w:tc>
                <w:tcPr>
                  <w:tcW w:w="933" w:type="pct"/>
                  <w:tcBorders>
                    <w:tl2br w:val="nil"/>
                    <w:tr2bl w:val="nil"/>
                  </w:tcBorders>
                  <w:noWrap w:val="0"/>
                  <w:vAlign w:val="center"/>
                </w:tcPr>
                <w:p w14:paraId="5B0D517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地表径流、下渗</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w:t>
                  </w:r>
                </w:p>
              </w:tc>
              <w:tc>
                <w:tcPr>
                  <w:tcW w:w="1108" w:type="pct"/>
                  <w:tcBorders>
                    <w:tl2br w:val="nil"/>
                    <w:tr2bl w:val="nil"/>
                  </w:tcBorders>
                  <w:noWrap w:val="0"/>
                  <w:vAlign w:val="center"/>
                </w:tcPr>
                <w:p w14:paraId="5AA744E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地表水、地下水环境</w:t>
                  </w:r>
                </w:p>
              </w:tc>
            </w:tr>
            <w:tr w14:paraId="598D4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restart"/>
                  <w:tcBorders>
                    <w:tl2br w:val="nil"/>
                    <w:tr2bl w:val="nil"/>
                  </w:tcBorders>
                  <w:noWrap w:val="0"/>
                  <w:vAlign w:val="center"/>
                </w:tcPr>
                <w:p w14:paraId="3B6C1F68">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储运设施</w:t>
                  </w:r>
                </w:p>
              </w:tc>
              <w:tc>
                <w:tcPr>
                  <w:tcW w:w="614" w:type="pct"/>
                  <w:vMerge w:val="restart"/>
                  <w:tcBorders>
                    <w:tl2br w:val="nil"/>
                    <w:tr2bl w:val="nil"/>
                  </w:tcBorders>
                  <w:noWrap w:val="0"/>
                  <w:vAlign w:val="center"/>
                </w:tcPr>
                <w:p w14:paraId="0C4B879C">
                  <w:pPr>
                    <w:widowControl/>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eastAsia="zh-CN" w:bidi="ar"/>
                      <w14:textFill>
                        <w14:solidFill>
                          <w14:schemeClr w14:val="tx1"/>
                        </w14:solidFill>
                      </w14:textFill>
                    </w:rPr>
                    <w:t>危险废物贮存间</w:t>
                  </w:r>
                </w:p>
              </w:tc>
              <w:tc>
                <w:tcPr>
                  <w:tcW w:w="640" w:type="pct"/>
                  <w:tcBorders>
                    <w:tl2br w:val="nil"/>
                    <w:tr2bl w:val="nil"/>
                  </w:tcBorders>
                  <w:noWrap w:val="0"/>
                  <w:vAlign w:val="center"/>
                </w:tcPr>
                <w:p w14:paraId="3D2A445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废机油</w:t>
                  </w:r>
                </w:p>
              </w:tc>
              <w:tc>
                <w:tcPr>
                  <w:tcW w:w="1182" w:type="pct"/>
                  <w:tcBorders>
                    <w:tl2br w:val="nil"/>
                    <w:tr2bl w:val="nil"/>
                  </w:tcBorders>
                  <w:noWrap w:val="0"/>
                  <w:vAlign w:val="center"/>
                </w:tcPr>
                <w:p w14:paraId="5D108107">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泄漏</w:t>
                  </w:r>
                </w:p>
              </w:tc>
              <w:tc>
                <w:tcPr>
                  <w:tcW w:w="933" w:type="pct"/>
                  <w:tcBorders>
                    <w:tl2br w:val="nil"/>
                    <w:tr2bl w:val="nil"/>
                  </w:tcBorders>
                  <w:noWrap w:val="0"/>
                  <w:vAlign w:val="center"/>
                </w:tcPr>
                <w:p w14:paraId="6D6EB9A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地表径流、下渗</w:t>
                  </w:r>
                </w:p>
              </w:tc>
              <w:tc>
                <w:tcPr>
                  <w:tcW w:w="1108" w:type="pct"/>
                  <w:tcBorders>
                    <w:tl2br w:val="nil"/>
                    <w:tr2bl w:val="nil"/>
                  </w:tcBorders>
                  <w:noWrap w:val="0"/>
                  <w:vAlign w:val="center"/>
                </w:tcPr>
                <w:p w14:paraId="14DBB14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地表水、地下水环境</w:t>
                  </w:r>
                </w:p>
              </w:tc>
            </w:tr>
            <w:tr w14:paraId="64DDF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44A61FE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14" w:type="pct"/>
                  <w:vMerge w:val="continue"/>
                  <w:tcBorders>
                    <w:tl2br w:val="nil"/>
                    <w:tr2bl w:val="nil"/>
                  </w:tcBorders>
                  <w:noWrap w:val="0"/>
                  <w:vAlign w:val="center"/>
                </w:tcPr>
                <w:p w14:paraId="16122C22">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640" w:type="pct"/>
                  <w:tcBorders>
                    <w:tl2br w:val="nil"/>
                    <w:tr2bl w:val="nil"/>
                  </w:tcBorders>
                  <w:noWrap w:val="0"/>
                  <w:vAlign w:val="center"/>
                </w:tcPr>
                <w:p w14:paraId="3B8A185F">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废润滑油</w:t>
                  </w:r>
                </w:p>
              </w:tc>
              <w:tc>
                <w:tcPr>
                  <w:tcW w:w="1182" w:type="pct"/>
                  <w:tcBorders>
                    <w:tl2br w:val="nil"/>
                    <w:tr2bl w:val="nil"/>
                  </w:tcBorders>
                  <w:noWrap w:val="0"/>
                  <w:vAlign w:val="center"/>
                </w:tcPr>
                <w:p w14:paraId="0453ACC5">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泄漏</w:t>
                  </w:r>
                </w:p>
              </w:tc>
              <w:tc>
                <w:tcPr>
                  <w:tcW w:w="933" w:type="pct"/>
                  <w:tcBorders>
                    <w:tl2br w:val="nil"/>
                    <w:tr2bl w:val="nil"/>
                  </w:tcBorders>
                  <w:noWrap w:val="0"/>
                  <w:vAlign w:val="center"/>
                </w:tcPr>
                <w:p w14:paraId="761A05F3">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地表径流、下渗</w:t>
                  </w:r>
                </w:p>
              </w:tc>
              <w:tc>
                <w:tcPr>
                  <w:tcW w:w="1108" w:type="pct"/>
                  <w:tcBorders>
                    <w:tl2br w:val="nil"/>
                    <w:tr2bl w:val="nil"/>
                  </w:tcBorders>
                  <w:noWrap w:val="0"/>
                  <w:vAlign w:val="center"/>
                </w:tcPr>
                <w:p w14:paraId="533ED13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地表水、地下水环境</w:t>
                  </w:r>
                </w:p>
              </w:tc>
            </w:tr>
            <w:tr w14:paraId="5827F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76F125F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14" w:type="pct"/>
                  <w:vMerge w:val="continue"/>
                  <w:tcBorders>
                    <w:tl2br w:val="nil"/>
                    <w:tr2bl w:val="nil"/>
                  </w:tcBorders>
                  <w:noWrap w:val="0"/>
                  <w:vAlign w:val="center"/>
                </w:tcPr>
                <w:p w14:paraId="6A740D2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640" w:type="pct"/>
                  <w:tcBorders>
                    <w:tl2br w:val="nil"/>
                    <w:tr2bl w:val="nil"/>
                  </w:tcBorders>
                  <w:noWrap w:val="0"/>
                  <w:vAlign w:val="center"/>
                </w:tcPr>
                <w:p w14:paraId="088976E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无铬钝化池废槽液</w:t>
                  </w:r>
                  <w:r>
                    <w:rPr>
                      <w:rFonts w:hint="eastAsia" w:cs="Times New Roman"/>
                      <w:color w:val="000000" w:themeColor="text1"/>
                      <w:kern w:val="0"/>
                      <w:sz w:val="21"/>
                      <w:szCs w:val="21"/>
                      <w:highlight w:val="none"/>
                      <w:lang w:val="en-US" w:eastAsia="zh-CN" w:bidi="ar"/>
                      <w14:textFill>
                        <w14:solidFill>
                          <w14:schemeClr w14:val="tx1"/>
                        </w14:solidFill>
                      </w14:textFill>
                    </w:rPr>
                    <w:t>等</w:t>
                  </w:r>
                </w:p>
              </w:tc>
              <w:tc>
                <w:tcPr>
                  <w:tcW w:w="1182" w:type="pct"/>
                  <w:tcBorders>
                    <w:tl2br w:val="nil"/>
                    <w:tr2bl w:val="nil"/>
                  </w:tcBorders>
                  <w:noWrap w:val="0"/>
                  <w:vAlign w:val="center"/>
                </w:tcPr>
                <w:p w14:paraId="58FCA47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泄漏</w:t>
                  </w:r>
                </w:p>
              </w:tc>
              <w:tc>
                <w:tcPr>
                  <w:tcW w:w="933" w:type="pct"/>
                  <w:tcBorders>
                    <w:tl2br w:val="nil"/>
                    <w:tr2bl w:val="nil"/>
                  </w:tcBorders>
                  <w:noWrap w:val="0"/>
                  <w:vAlign w:val="center"/>
                </w:tcPr>
                <w:p w14:paraId="04923F7F">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地表径流、下渗</w:t>
                  </w:r>
                </w:p>
              </w:tc>
              <w:tc>
                <w:tcPr>
                  <w:tcW w:w="1108" w:type="pct"/>
                  <w:tcBorders>
                    <w:tl2br w:val="nil"/>
                    <w:tr2bl w:val="nil"/>
                  </w:tcBorders>
                  <w:noWrap w:val="0"/>
                  <w:vAlign w:val="center"/>
                </w:tcPr>
                <w:p w14:paraId="3DEE4920">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地表水、地下水环境</w:t>
                  </w:r>
                </w:p>
              </w:tc>
            </w:tr>
            <w:tr w14:paraId="04CA2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restart"/>
                  <w:tcBorders>
                    <w:tl2br w:val="nil"/>
                    <w:tr2bl w:val="nil"/>
                  </w:tcBorders>
                  <w:noWrap w:val="0"/>
                  <w:vAlign w:val="center"/>
                </w:tcPr>
                <w:p w14:paraId="3B207A8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环境保护设施</w:t>
                  </w:r>
                </w:p>
              </w:tc>
              <w:tc>
                <w:tcPr>
                  <w:tcW w:w="614" w:type="pct"/>
                  <w:tcBorders>
                    <w:tl2br w:val="nil"/>
                    <w:tr2bl w:val="nil"/>
                  </w:tcBorders>
                  <w:noWrap w:val="0"/>
                  <w:vAlign w:val="center"/>
                </w:tcPr>
                <w:p w14:paraId="35AC7BA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污水处理站</w:t>
                  </w:r>
                </w:p>
              </w:tc>
              <w:tc>
                <w:tcPr>
                  <w:tcW w:w="640" w:type="pct"/>
                  <w:tcBorders>
                    <w:tl2br w:val="nil"/>
                    <w:tr2bl w:val="nil"/>
                  </w:tcBorders>
                  <w:noWrap w:val="0"/>
                  <w:vAlign w:val="center"/>
                </w:tcPr>
                <w:p w14:paraId="5C1941CA">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表面处理废水</w:t>
                  </w:r>
                </w:p>
              </w:tc>
              <w:tc>
                <w:tcPr>
                  <w:tcW w:w="1182" w:type="pct"/>
                  <w:tcBorders>
                    <w:tl2br w:val="nil"/>
                    <w:tr2bl w:val="nil"/>
                  </w:tcBorders>
                  <w:noWrap w:val="0"/>
                  <w:vAlign w:val="center"/>
                </w:tcPr>
                <w:p w14:paraId="053B53A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泄漏</w:t>
                  </w:r>
                </w:p>
              </w:tc>
              <w:tc>
                <w:tcPr>
                  <w:tcW w:w="933" w:type="pct"/>
                  <w:tcBorders>
                    <w:tl2br w:val="nil"/>
                    <w:tr2bl w:val="nil"/>
                  </w:tcBorders>
                  <w:noWrap w:val="0"/>
                  <w:vAlign w:val="center"/>
                </w:tcPr>
                <w:p w14:paraId="16A9AE0B">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地表径流、下渗</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w:t>
                  </w:r>
                </w:p>
              </w:tc>
              <w:tc>
                <w:tcPr>
                  <w:tcW w:w="1108" w:type="pct"/>
                  <w:tcBorders>
                    <w:tl2br w:val="nil"/>
                    <w:tr2bl w:val="nil"/>
                  </w:tcBorders>
                  <w:noWrap w:val="0"/>
                  <w:vAlign w:val="center"/>
                </w:tcPr>
                <w:p w14:paraId="7E7ADA5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地表水、地下水环境</w:t>
                  </w:r>
                </w:p>
              </w:tc>
            </w:tr>
            <w:tr w14:paraId="3367F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73788111">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614" w:type="pct"/>
                  <w:tcBorders>
                    <w:tl2br w:val="nil"/>
                    <w:tr2bl w:val="nil"/>
                  </w:tcBorders>
                  <w:noWrap w:val="0"/>
                  <w:vAlign w:val="center"/>
                </w:tcPr>
                <w:p w14:paraId="02813EB9">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废气处理</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系统</w:t>
                  </w:r>
                </w:p>
              </w:tc>
              <w:tc>
                <w:tcPr>
                  <w:tcW w:w="640" w:type="pct"/>
                  <w:tcBorders>
                    <w:tl2br w:val="nil"/>
                    <w:tr2bl w:val="nil"/>
                  </w:tcBorders>
                  <w:noWrap w:val="0"/>
                  <w:vAlign w:val="center"/>
                </w:tcPr>
                <w:p w14:paraId="41DB7C4F">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1182" w:type="pct"/>
                  <w:tcBorders>
                    <w:tl2br w:val="nil"/>
                    <w:tr2bl w:val="nil"/>
                  </w:tcBorders>
                  <w:noWrap w:val="0"/>
                  <w:vAlign w:val="center"/>
                </w:tcPr>
                <w:p w14:paraId="0983CE1D">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系统故障导致废气超标排放</w:t>
                  </w:r>
                </w:p>
              </w:tc>
              <w:tc>
                <w:tcPr>
                  <w:tcW w:w="933" w:type="pct"/>
                  <w:tcBorders>
                    <w:tl2br w:val="nil"/>
                    <w:tr2bl w:val="nil"/>
                  </w:tcBorders>
                  <w:noWrap w:val="0"/>
                  <w:vAlign w:val="center"/>
                </w:tcPr>
                <w:p w14:paraId="0101E8BC">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大气扩散</w:t>
                  </w:r>
                </w:p>
              </w:tc>
              <w:tc>
                <w:tcPr>
                  <w:tcW w:w="1108" w:type="pct"/>
                  <w:tcBorders>
                    <w:tl2br w:val="nil"/>
                    <w:tr2bl w:val="nil"/>
                  </w:tcBorders>
                  <w:noWrap w:val="0"/>
                  <w:vAlign w:val="center"/>
                </w:tcPr>
                <w:p w14:paraId="075A69AE">
                  <w:pPr>
                    <w:widowControl/>
                    <w:spacing w:line="240" w:lineRule="auto"/>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大气环境</w:t>
                  </w:r>
                </w:p>
              </w:tc>
            </w:tr>
          </w:tbl>
          <w:p w14:paraId="01B55E8D">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color w:val="000000" w:themeColor="text1"/>
                <w:highlight w:val="none"/>
                <w14:textFill>
                  <w14:solidFill>
                    <w14:schemeClr w14:val="tx1"/>
                  </w14:solidFill>
                </w14:textFill>
              </w:rPr>
            </w:pPr>
          </w:p>
          <w:p w14:paraId="4610E157">
            <w:pPr>
              <w:pStyle w:val="39"/>
              <w:spacing w:after="0" w:line="360" w:lineRule="auto"/>
              <w:ind w:firstLine="482"/>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pacing w:val="-1"/>
                <w:sz w:val="24"/>
                <w:szCs w:val="24"/>
                <w:highlight w:val="none"/>
                <w14:textFill>
                  <w14:solidFill>
                    <w14:schemeClr w14:val="tx1"/>
                  </w14:solidFill>
                </w14:textFill>
              </w:rPr>
              <w:t>地表水环境风险：可能发生泄漏的环节主要在</w:t>
            </w:r>
            <w:r>
              <w:rPr>
                <w:rFonts w:hint="eastAsia" w:cs="Times New Roman"/>
                <w:color w:val="000000" w:themeColor="text1"/>
                <w:spacing w:val="-1"/>
                <w:sz w:val="24"/>
                <w:szCs w:val="24"/>
                <w:highlight w:val="none"/>
                <w:lang w:val="en-US" w:eastAsia="zh-CN"/>
                <w14:textFill>
                  <w14:solidFill>
                    <w14:schemeClr w14:val="tx1"/>
                  </w14:solidFill>
                </w14:textFill>
              </w:rPr>
              <w:t>工件表面预处理</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生产线、化学品</w:t>
            </w:r>
            <w:r>
              <w:rPr>
                <w:rFonts w:hint="default" w:ascii="Times New Roman" w:hAnsi="Times New Roman" w:cs="Times New Roman"/>
                <w:color w:val="000000" w:themeColor="text1"/>
                <w:spacing w:val="-1"/>
                <w:sz w:val="24"/>
                <w:szCs w:val="24"/>
                <w:highlight w:val="none"/>
                <w14:textFill>
                  <w14:solidFill>
                    <w14:schemeClr w14:val="tx1"/>
                  </w14:solidFill>
                </w14:textFill>
              </w:rPr>
              <w:t>仓库、</w:t>
            </w:r>
            <w:r>
              <w:rPr>
                <w:rFonts w:hint="eastAsia" w:cs="Times New Roman"/>
                <w:color w:val="000000" w:themeColor="text1"/>
                <w:spacing w:val="-1"/>
                <w:sz w:val="24"/>
                <w:szCs w:val="24"/>
                <w:highlight w:val="none"/>
                <w:lang w:eastAsia="zh-CN"/>
                <w14:textFill>
                  <w14:solidFill>
                    <w14:schemeClr w14:val="tx1"/>
                  </w14:solidFill>
                </w14:textFill>
              </w:rPr>
              <w:t>危险废物贮存间</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污水处理站</w:t>
            </w:r>
            <w:r>
              <w:rPr>
                <w:rFonts w:hint="default" w:ascii="Times New Roman" w:hAnsi="Times New Roman" w:cs="Times New Roman"/>
                <w:color w:val="000000" w:themeColor="text1"/>
                <w:spacing w:val="-1"/>
                <w:sz w:val="24"/>
                <w:szCs w:val="24"/>
                <w:highlight w:val="none"/>
                <w14:textFill>
                  <w14:solidFill>
                    <w14:schemeClr w14:val="tx1"/>
                  </w14:solidFill>
                </w14:textFill>
              </w:rPr>
              <w:t>等，根据前文分析可知，厂区按照规范和要求对</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生产厂房、化学品</w:t>
            </w:r>
            <w:r>
              <w:rPr>
                <w:rFonts w:hint="default" w:ascii="Times New Roman" w:hAnsi="Times New Roman" w:cs="Times New Roman"/>
                <w:color w:val="000000" w:themeColor="text1"/>
                <w:spacing w:val="-1"/>
                <w:sz w:val="24"/>
                <w:szCs w:val="24"/>
                <w:highlight w:val="none"/>
                <w14:textFill>
                  <w14:solidFill>
                    <w14:schemeClr w14:val="tx1"/>
                  </w14:solidFill>
                </w14:textFill>
              </w:rPr>
              <w:t>仓库、</w:t>
            </w:r>
            <w:r>
              <w:rPr>
                <w:rFonts w:hint="eastAsia" w:cs="Times New Roman"/>
                <w:color w:val="000000" w:themeColor="text1"/>
                <w:spacing w:val="-1"/>
                <w:sz w:val="24"/>
                <w:szCs w:val="24"/>
                <w:highlight w:val="none"/>
                <w:lang w:eastAsia="zh-CN"/>
                <w14:textFill>
                  <w14:solidFill>
                    <w14:schemeClr w14:val="tx1"/>
                  </w14:solidFill>
                </w14:textFill>
              </w:rPr>
              <w:t>危险废物贮存间</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污水处理站</w:t>
            </w:r>
            <w:r>
              <w:rPr>
                <w:rFonts w:hint="default" w:ascii="Times New Roman" w:hAnsi="Times New Roman" w:cs="Times New Roman"/>
                <w:color w:val="000000" w:themeColor="text1"/>
                <w:spacing w:val="-1"/>
                <w:sz w:val="24"/>
                <w:szCs w:val="24"/>
                <w:highlight w:val="none"/>
                <w14:textFill>
                  <w14:solidFill>
                    <w14:schemeClr w14:val="tx1"/>
                  </w14:solidFill>
                </w14:textFill>
              </w:rPr>
              <w:t>等采取有效的防雨、防渗漏、防溢流等措施；厂区地面均已进行场地硬化，因操作不当发生少量泄漏后，可</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截止</w:t>
            </w:r>
            <w:r>
              <w:rPr>
                <w:rFonts w:hint="default" w:ascii="Times New Roman" w:hAnsi="Times New Roman" w:cs="Times New Roman"/>
                <w:color w:val="000000" w:themeColor="text1"/>
                <w:spacing w:val="-1"/>
                <w:sz w:val="24"/>
                <w:szCs w:val="24"/>
                <w:highlight w:val="none"/>
                <w14:textFill>
                  <w14:solidFill>
                    <w14:schemeClr w14:val="tx1"/>
                  </w14:solidFill>
                </w14:textFill>
              </w:rPr>
              <w:t>在厂区内，且厂区内危险物质的总储存量不大，危险单元中的物质存放量较少，局部泄漏量较少。</w:t>
            </w:r>
          </w:p>
          <w:p w14:paraId="67F87E35">
            <w:pPr>
              <w:pStyle w:val="39"/>
              <w:spacing w:after="0" w:line="360" w:lineRule="auto"/>
              <w:ind w:firstLine="482"/>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地下水环境风险：各种泄漏事件，导致通过地表下渗污染地下水水质，比如，项目有毒有害物质在运输、装卸、储存和使用过程中发生渗漏，仓库防渗层损坏等。</w:t>
            </w:r>
          </w:p>
          <w:p w14:paraId="5759ED51">
            <w:pPr>
              <w:pStyle w:val="39"/>
              <w:spacing w:after="0" w:line="360" w:lineRule="auto"/>
              <w:ind w:firstLine="482"/>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大气环境风险：</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天然气</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管道破裂而泄漏</w:t>
            </w:r>
            <w:r>
              <w:rPr>
                <w:rFonts w:hint="default"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遇明火发生火灾或爆炸，产生大量燃烧废气</w:t>
            </w:r>
            <w:r>
              <w:rPr>
                <w:rFonts w:hint="default"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一旦发生火灾事故，硫酸铵燃烧过程中产生的有毒有害气体、燃烧烟尘、颗粒物对区域的大气环境会造成不利影响，导致区域环境空气质量下降，且短时间内不易恢复。</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项目废气处理设施正常运行时，可保证废气达标排放，当废气处理设施发生故障时，会造成未处理的废气直接排入空气中，对环境空气造成一定的影响。</w:t>
            </w:r>
          </w:p>
          <w:p w14:paraId="714BB506">
            <w:pPr>
              <w:pStyle w:val="39"/>
              <w:spacing w:after="0" w:line="360" w:lineRule="auto"/>
              <w:ind w:firstLine="482"/>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7.3环境风险防范措施</w:t>
            </w:r>
          </w:p>
          <w:p w14:paraId="1ED71A24">
            <w:pPr>
              <w:pStyle w:val="39"/>
              <w:spacing w:after="0" w:line="360" w:lineRule="auto"/>
              <w:ind w:firstLine="482"/>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①严格执行应急管理、消防等相关规范，从总图布置和建筑安全方面进行风险防范，预留疏散通道或安置场所。</w:t>
            </w:r>
          </w:p>
          <w:p w14:paraId="66569C1E">
            <w:pPr>
              <w:pStyle w:val="39"/>
              <w:spacing w:after="0" w:line="360" w:lineRule="auto"/>
              <w:ind w:firstLine="482"/>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②从优化改进生产工艺、减少储存量、改善储存条件等方面降低风险程度。</w:t>
            </w:r>
          </w:p>
          <w:p w14:paraId="2F7E3842">
            <w:pPr>
              <w:pStyle w:val="39"/>
              <w:spacing w:after="0" w:line="360" w:lineRule="auto"/>
              <w:ind w:firstLine="482"/>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③加强日常管理，降低管理失误而出现的风险事故，提高员工规范性操作水平，减少误操作引发的风险事故。</w:t>
            </w:r>
          </w:p>
          <w:p w14:paraId="3706C220">
            <w:pPr>
              <w:pStyle w:val="39"/>
              <w:spacing w:after="0" w:line="360" w:lineRule="auto"/>
              <w:ind w:firstLine="482"/>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④根据贮存的相关要求进行贮存、使用，设置满足要求的围堰区。遵循“源头控制，分区防渗”的原则，做好仓库、车间、</w:t>
            </w:r>
            <w:r>
              <w:rPr>
                <w:rFonts w:hint="eastAsia" w:cs="Times New Roman"/>
                <w:color w:val="000000" w:themeColor="text1"/>
                <w:spacing w:val="-1"/>
                <w:sz w:val="24"/>
                <w:szCs w:val="24"/>
                <w:highlight w:val="none"/>
                <w:lang w:eastAsia="zh-CN"/>
                <w14:textFill>
                  <w14:solidFill>
                    <w14:schemeClr w14:val="tx1"/>
                  </w14:solidFill>
                </w14:textFill>
              </w:rPr>
              <w:t>危险废物贮存间</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的防渗措施，满足相应标准要求。危废间在建筑物内部，达到防风防雨防晒要求，地面硬化并刷环氧树脂漆防渗，四周设置围堰，满足四防要求。</w:t>
            </w:r>
          </w:p>
          <w:p w14:paraId="3DDA48D6">
            <w:pPr>
              <w:pStyle w:val="39"/>
              <w:spacing w:after="0" w:line="360" w:lineRule="auto"/>
              <w:ind w:firstLine="482"/>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项目风险防范措施详见下表：</w:t>
            </w:r>
          </w:p>
          <w:p w14:paraId="3AFD058E">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表4-4</w:t>
            </w:r>
            <w:r>
              <w:rPr>
                <w:rFonts w:hint="eastAsia" w:cs="Times New Roman"/>
                <w:b/>
                <w:bCs/>
                <w:color w:val="000000" w:themeColor="text1"/>
                <w:kern w:val="2"/>
                <w:sz w:val="21"/>
                <w:szCs w:val="21"/>
                <w:lang w:val="en-US" w:eastAsia="zh-CN" w:bidi="ar-SA"/>
                <w14:textFill>
                  <w14:solidFill>
                    <w14:schemeClr w14:val="tx1"/>
                  </w14:solidFill>
                </w14:textFill>
              </w:rPr>
              <w:t>2</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项目风险防范措施一览表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917"/>
              <w:gridCol w:w="3437"/>
              <w:gridCol w:w="3379"/>
            </w:tblGrid>
            <w:tr w14:paraId="1F98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pct"/>
                  <w:gridSpan w:val="2"/>
                  <w:noWrap w:val="0"/>
                  <w:vAlign w:val="center"/>
                </w:tcPr>
                <w:p w14:paraId="5F1291AD">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环境风险因素</w:t>
                  </w:r>
                </w:p>
              </w:tc>
              <w:tc>
                <w:tcPr>
                  <w:tcW w:w="2066" w:type="pct"/>
                  <w:noWrap w:val="0"/>
                  <w:vAlign w:val="center"/>
                </w:tcPr>
                <w:p w14:paraId="68DC2428">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环境风险影响</w:t>
                  </w:r>
                </w:p>
              </w:tc>
              <w:tc>
                <w:tcPr>
                  <w:tcW w:w="2031" w:type="pct"/>
                  <w:noWrap w:val="0"/>
                  <w:vAlign w:val="center"/>
                </w:tcPr>
                <w:p w14:paraId="3311A824">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风险防范措施</w:t>
                  </w:r>
                </w:p>
              </w:tc>
            </w:tr>
            <w:tr w14:paraId="4624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pct"/>
                  <w:gridSpan w:val="2"/>
                  <w:noWrap w:val="0"/>
                  <w:vAlign w:val="center"/>
                </w:tcPr>
                <w:p w14:paraId="0B78B478">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天然气管道</w:t>
                  </w:r>
                </w:p>
              </w:tc>
              <w:tc>
                <w:tcPr>
                  <w:tcW w:w="2066" w:type="pct"/>
                  <w:noWrap w:val="0"/>
                  <w:vAlign w:val="center"/>
                </w:tcPr>
                <w:p w14:paraId="0C4AB191">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火灾爆炸事故次生环境事件</w:t>
                  </w:r>
                </w:p>
              </w:tc>
              <w:tc>
                <w:tcPr>
                  <w:tcW w:w="2031" w:type="pct"/>
                  <w:noWrap w:val="0"/>
                  <w:vAlign w:val="center"/>
                </w:tcPr>
                <w:p w14:paraId="7212BC0A">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定期维护检修，安排专人巡检，配备一定的消防、环境应急物资</w:t>
                  </w:r>
                </w:p>
              </w:tc>
            </w:tr>
            <w:tr w14:paraId="2477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pct"/>
                  <w:gridSpan w:val="2"/>
                  <w:noWrap w:val="0"/>
                  <w:vAlign w:val="center"/>
                </w:tcPr>
                <w:p w14:paraId="7EEC0D57">
                  <w:pPr>
                    <w:pStyle w:val="4"/>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表面处理区域</w:t>
                  </w:r>
                </w:p>
              </w:tc>
              <w:tc>
                <w:tcPr>
                  <w:tcW w:w="2066" w:type="pct"/>
                  <w:noWrap w:val="0"/>
                  <w:vAlign w:val="center"/>
                </w:tcPr>
                <w:p w14:paraId="26330080">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预处理槽槽液存储、使用过程发生泄漏</w:t>
                  </w:r>
                </w:p>
              </w:tc>
              <w:tc>
                <w:tcPr>
                  <w:tcW w:w="2031" w:type="pct"/>
                  <w:noWrap w:val="0"/>
                  <w:vAlign w:val="center"/>
                </w:tcPr>
                <w:p w14:paraId="130874E9">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表面处理区域</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化学品仓</w:t>
                  </w:r>
                  <w:r>
                    <w:rPr>
                      <w:rFonts w:hint="default" w:ascii="Times New Roman" w:hAnsi="Times New Roman" w:cs="Times New Roman"/>
                      <w:b w:val="0"/>
                      <w:bCs w:val="0"/>
                      <w:color w:val="000000" w:themeColor="text1"/>
                      <w:sz w:val="21"/>
                      <w:szCs w:val="21"/>
                      <w:highlight w:val="none"/>
                      <w14:textFill>
                        <w14:solidFill>
                          <w14:schemeClr w14:val="tx1"/>
                        </w14:solidFill>
                      </w14:textFill>
                    </w:rPr>
                    <w:t>设置围堰并对其地面设置防渗层，防止</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泄漏</w:t>
                  </w:r>
                  <w:r>
                    <w:rPr>
                      <w:rFonts w:hint="default" w:ascii="Times New Roman" w:hAnsi="Times New Roman" w:cs="Times New Roman"/>
                      <w:b w:val="0"/>
                      <w:bCs w:val="0"/>
                      <w:color w:val="000000" w:themeColor="text1"/>
                      <w:sz w:val="21"/>
                      <w:szCs w:val="21"/>
                      <w:highlight w:val="none"/>
                      <w14:textFill>
                        <w14:solidFill>
                          <w14:schemeClr w14:val="tx1"/>
                        </w14:solidFill>
                      </w14:textFill>
                    </w:rPr>
                    <w:t>液体渗透至土壤。</w:t>
                  </w:r>
                </w:p>
              </w:tc>
            </w:tr>
            <w:tr w14:paraId="1EAB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restart"/>
                  <w:noWrap w:val="0"/>
                  <w:vAlign w:val="center"/>
                </w:tcPr>
                <w:p w14:paraId="17A27DCC">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储运工程</w:t>
                  </w:r>
                </w:p>
              </w:tc>
              <w:tc>
                <w:tcPr>
                  <w:tcW w:w="550" w:type="pct"/>
                  <w:noWrap w:val="0"/>
                  <w:vAlign w:val="center"/>
                </w:tcPr>
                <w:p w14:paraId="2BD5F523">
                  <w:pPr>
                    <w:pStyle w:val="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原辅材料</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泄漏</w:t>
                  </w:r>
                </w:p>
              </w:tc>
              <w:tc>
                <w:tcPr>
                  <w:tcW w:w="2066" w:type="pct"/>
                  <w:noWrap w:val="0"/>
                  <w:vAlign w:val="center"/>
                </w:tcPr>
                <w:p w14:paraId="095E1352">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表面处理添加剂等物质在存储、使用、转运过程中</w:t>
                  </w:r>
                </w:p>
              </w:tc>
              <w:tc>
                <w:tcPr>
                  <w:tcW w:w="2031" w:type="pct"/>
                  <w:noWrap w:val="0"/>
                  <w:vAlign w:val="center"/>
                </w:tcPr>
                <w:p w14:paraId="2BBE0BC5">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原料区</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中用于储存危险化学品的化学品仓</w:t>
                  </w:r>
                  <w:r>
                    <w:rPr>
                      <w:rFonts w:hint="default" w:ascii="Times New Roman" w:hAnsi="Times New Roman" w:cs="Times New Roman"/>
                      <w:b w:val="0"/>
                      <w:bCs w:val="0"/>
                      <w:color w:val="000000" w:themeColor="text1"/>
                      <w:sz w:val="21"/>
                      <w:szCs w:val="21"/>
                      <w:highlight w:val="none"/>
                      <w14:textFill>
                        <w14:solidFill>
                          <w14:schemeClr w14:val="tx1"/>
                        </w14:solidFill>
                      </w14:textFill>
                    </w:rPr>
                    <w:t>进行</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重点防渗，并设置围堰，其余区域作</w:t>
                  </w:r>
                  <w:r>
                    <w:rPr>
                      <w:rFonts w:hint="default" w:ascii="Times New Roman" w:hAnsi="Times New Roman" w:cs="Times New Roman"/>
                      <w:b w:val="0"/>
                      <w:bCs w:val="0"/>
                      <w:color w:val="000000" w:themeColor="text1"/>
                      <w:sz w:val="21"/>
                      <w:szCs w:val="21"/>
                      <w:highlight w:val="none"/>
                      <w14:textFill>
                        <w14:solidFill>
                          <w14:schemeClr w14:val="tx1"/>
                        </w14:solidFill>
                      </w14:textFill>
                    </w:rPr>
                    <w:t>一般防渗，安全操作；配备一定的环境应急物资</w:t>
                  </w:r>
                </w:p>
              </w:tc>
            </w:tr>
            <w:tr w14:paraId="5BB9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continue"/>
                  <w:noWrap w:val="0"/>
                  <w:vAlign w:val="center"/>
                </w:tcPr>
                <w:p w14:paraId="39E9AAC2">
                  <w:pPr>
                    <w:pStyle w:val="4"/>
                    <w:keepNext w:val="0"/>
                    <w:keepLines w:val="0"/>
                    <w:suppressLineNumbers w:val="0"/>
                    <w:spacing w:before="0" w:beforeAutospacing="0" w:after="0" w:afterAutospacing="0" w:line="240" w:lineRule="auto"/>
                    <w:ind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550" w:type="pct"/>
                  <w:noWrap w:val="0"/>
                  <w:vAlign w:val="center"/>
                </w:tcPr>
                <w:p w14:paraId="53312067">
                  <w:pPr>
                    <w:pStyle w:val="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危险废物</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泄漏</w:t>
                  </w:r>
                </w:p>
              </w:tc>
              <w:tc>
                <w:tcPr>
                  <w:tcW w:w="2066" w:type="pct"/>
                  <w:noWrap w:val="0"/>
                  <w:vAlign w:val="center"/>
                </w:tcPr>
                <w:p w14:paraId="39124C3B">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无铬钝化废槽液</w:t>
                  </w:r>
                  <w:r>
                    <w:rPr>
                      <w:rFonts w:hint="default" w:ascii="Times New Roman" w:hAnsi="Times New Roman" w:cs="Times New Roman"/>
                      <w:b w:val="0"/>
                      <w:bCs w:val="0"/>
                      <w:color w:val="000000" w:themeColor="text1"/>
                      <w:sz w:val="21"/>
                      <w:szCs w:val="21"/>
                      <w:highlight w:val="none"/>
                      <w14:textFill>
                        <w14:solidFill>
                          <w14:schemeClr w14:val="tx1"/>
                        </w14:solidFill>
                      </w14:textFill>
                    </w:rPr>
                    <w:t>、废活性炭等危险废物在存储、转运过程中发生</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泄漏</w:t>
                  </w:r>
                  <w:r>
                    <w:rPr>
                      <w:rFonts w:hint="default" w:ascii="Times New Roman" w:hAnsi="Times New Roman" w:cs="Times New Roman"/>
                      <w:b w:val="0"/>
                      <w:bCs w:val="0"/>
                      <w:color w:val="000000" w:themeColor="text1"/>
                      <w:sz w:val="21"/>
                      <w:szCs w:val="21"/>
                      <w:highlight w:val="none"/>
                      <w14:textFill>
                        <w14:solidFill>
                          <w14:schemeClr w14:val="tx1"/>
                        </w14:solidFill>
                      </w14:textFill>
                    </w:rPr>
                    <w:t>事件，导致项目有毒有害物质经地表径流或雨水管道进入周边水体或通过地表下渗污染地下水水质</w:t>
                  </w:r>
                </w:p>
              </w:tc>
              <w:tc>
                <w:tcPr>
                  <w:tcW w:w="2031" w:type="pct"/>
                  <w:noWrap w:val="0"/>
                  <w:vAlign w:val="center"/>
                </w:tcPr>
                <w:p w14:paraId="37E1927C">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危废间进行重点防渗，安全操作配备一定的环境应急物资</w:t>
                  </w:r>
                </w:p>
              </w:tc>
            </w:tr>
            <w:tr w14:paraId="7DDC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restart"/>
                  <w:noWrap w:val="0"/>
                  <w:vAlign w:val="center"/>
                </w:tcPr>
                <w:p w14:paraId="7CC87884">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环保工程</w:t>
                  </w:r>
                </w:p>
              </w:tc>
              <w:tc>
                <w:tcPr>
                  <w:tcW w:w="550" w:type="pct"/>
                  <w:noWrap w:val="0"/>
                  <w:vAlign w:val="center"/>
                </w:tcPr>
                <w:p w14:paraId="721FE66C">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废气处理措施故障</w:t>
                  </w:r>
                </w:p>
              </w:tc>
              <w:tc>
                <w:tcPr>
                  <w:tcW w:w="2066" w:type="pct"/>
                  <w:noWrap w:val="0"/>
                  <w:vAlign w:val="center"/>
                </w:tcPr>
                <w:p w14:paraId="39C99F63">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废气超标排放，影响区域大气环境</w:t>
                  </w:r>
                </w:p>
              </w:tc>
              <w:tc>
                <w:tcPr>
                  <w:tcW w:w="2031" w:type="pct"/>
                  <w:noWrap w:val="0"/>
                  <w:vAlign w:val="center"/>
                </w:tcPr>
                <w:p w14:paraId="37D9B7F9">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定期进行检修，及时排除故障，废气处理设施故障时及时停产检修</w:t>
                  </w:r>
                </w:p>
              </w:tc>
            </w:tr>
            <w:tr w14:paraId="70C7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continue"/>
                  <w:noWrap w:val="0"/>
                  <w:vAlign w:val="center"/>
                </w:tcPr>
                <w:p w14:paraId="56580420">
                  <w:pPr>
                    <w:pStyle w:val="4"/>
                    <w:keepNext w:val="0"/>
                    <w:keepLines w:val="0"/>
                    <w:suppressLineNumbers w:val="0"/>
                    <w:spacing w:before="0" w:beforeAutospacing="0" w:after="0" w:afterAutospacing="0" w:line="240" w:lineRule="auto"/>
                    <w:ind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550" w:type="pct"/>
                  <w:noWrap w:val="0"/>
                  <w:vAlign w:val="center"/>
                </w:tcPr>
                <w:p w14:paraId="1241B7B0">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废水处理措施故障</w:t>
                  </w:r>
                </w:p>
              </w:tc>
              <w:tc>
                <w:tcPr>
                  <w:tcW w:w="2066" w:type="pct"/>
                  <w:noWrap w:val="0"/>
                  <w:vAlign w:val="center"/>
                </w:tcPr>
                <w:p w14:paraId="25CC4216">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废水超标排放，影响地表水环境；发生</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泄漏</w:t>
                  </w:r>
                  <w:r>
                    <w:rPr>
                      <w:rFonts w:hint="default" w:ascii="Times New Roman" w:hAnsi="Times New Roman" w:cs="Times New Roman"/>
                      <w:b w:val="0"/>
                      <w:bCs w:val="0"/>
                      <w:color w:val="000000" w:themeColor="text1"/>
                      <w:sz w:val="21"/>
                      <w:szCs w:val="21"/>
                      <w:highlight w:val="none"/>
                      <w14:textFill>
                        <w14:solidFill>
                          <w14:schemeClr w14:val="tx1"/>
                        </w14:solidFill>
                      </w14:textFill>
                    </w:rPr>
                    <w:t>事故，导致废水经地表径流或雨水管道进入周边水体或通过地表下渗污染地下水水质</w:t>
                  </w:r>
                </w:p>
              </w:tc>
              <w:tc>
                <w:tcPr>
                  <w:tcW w:w="2031" w:type="pct"/>
                  <w:noWrap w:val="0"/>
                  <w:vAlign w:val="center"/>
                </w:tcPr>
                <w:p w14:paraId="00C6E4AB">
                  <w:pPr>
                    <w:pStyle w:val="4"/>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废水收集管网均采用加厚 PVC材质制成，减少发生破损的情况;污水泵一用一备，确保废水处理系统稳定运行，生产废水排放口设切断控制阀，防止事故生产废水外排</w:t>
                  </w: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14:textFill>
                        <w14:solidFill>
                          <w14:schemeClr w14:val="tx1"/>
                        </w14:solidFill>
                      </w14:textFill>
                    </w:rPr>
                    <w:t>定期进行检修，及时排除故障，废水处理设施故障时及时停产检修。</w:t>
                  </w:r>
                </w:p>
              </w:tc>
            </w:tr>
          </w:tbl>
          <w:p w14:paraId="4D88E455">
            <w:pPr>
              <w:pStyle w:val="39"/>
              <w:spacing w:after="0" w:line="360" w:lineRule="auto"/>
              <w:ind w:firstLine="482"/>
              <w:rPr>
                <w:rFonts w:hint="default" w:ascii="Times New Roman" w:hAnsi="Times New Roman" w:eastAsia="宋体" w:cs="Times New Roman"/>
                <w:color w:val="000000" w:themeColor="text1"/>
                <w:spacing w:val="-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⑤事故应急池：</w:t>
            </w:r>
          </w:p>
          <w:p w14:paraId="1E0F1F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事故应急池容积计算参考《事故状态下水体污染的预防与控制技术要求》（Q/SY 1190-2013）的规定进行核算。</w:t>
            </w:r>
          </w:p>
          <w:p w14:paraId="00CCD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总</w:t>
            </w: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max</w:t>
            </w: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5</w:t>
            </w:r>
          </w:p>
          <w:p w14:paraId="0DE5121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—收集系统范围内发生事故的一个罐组或一套装置的物料量。</w:t>
            </w:r>
          </w:p>
          <w:p w14:paraId="579D1CF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项目所用化学品、原辅材料等不使用时封闭储存于化学品仓或原料仓中，化学品仓和危废间已做好防渗措施，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取各构筑物内最大一个液态物料储存容器的容积，本项目取11.2m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（预脱脂/脱脂池），即</w:t>
            </w:r>
            <w:r>
              <w:rPr>
                <w:rFonts w:hint="default" w:ascii="Times New Roman" w:hAnsi="Times New Roman" w:cs="Times New Roman"/>
                <w:color w:val="000000" w:themeColor="text1"/>
                <w:sz w:val="24"/>
                <w:szCs w:val="24"/>
                <w:highlight w:val="none"/>
                <w:lang w:eastAsia="zh-CN"/>
                <w14:textFill>
                  <w14:solidFill>
                    <w14:schemeClr w14:val="tx1"/>
                  </w14:solidFill>
                </w14:textFill>
              </w:rPr>
              <w:t>V</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11.2</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5D151C69">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—发生事故的储罐或装置的消防水量</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15D78F82">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根据《消防给水及消火栓系统技术规范》（GB50974-2014），“1 工厂、堆场和储罐区等，当占地面积小于等于 100hm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，且附有居住区人数小于等于 1.5 万人时，同一时间内的火灾起数应按 1 起确定”，因此，确定项目同一时间内的火灾起数为 1，按最不利原则，建筑面积最大的生产楼火灾事故计。 </w:t>
            </w:r>
          </w:p>
          <w:p w14:paraId="4C4326F2">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本项目生产楼总高度约为</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m，占地面积为</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6780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，建筑体积为</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81360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。根据《消防给水及消防栓系统技术规范》（GB50974-2014）表 3.6.2，本项目厂房为丁类厂房的火灾延续时间按 </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h 计，根据消防用水量计算值，室外消防栓设计流量为 20L/s，火灾延续时间为 </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小时；室内消防栓设计流量为25L/s，火灾延续时间为 3 小时，V</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（室外）=20/1000*</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*3600=</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216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（室内）25/1000*3600*</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27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即</w:t>
            </w: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cs="Times New Roman"/>
                <w:color w:val="000000" w:themeColor="text1"/>
                <w:sz w:val="24"/>
                <w:szCs w:val="24"/>
                <w:highlight w:val="none"/>
                <w:lang w:val="en-US" w:eastAsia="zh-CN"/>
                <w14:textFill>
                  <w14:solidFill>
                    <w14:schemeClr w14:val="tx1"/>
                  </w14:solidFill>
                </w14:textFill>
              </w:rPr>
              <w:t>216+270=486</w:t>
            </w:r>
            <w:r>
              <w:rPr>
                <w:rFonts w:hint="default" w:ascii="Times New Roman" w:hAnsi="Times New Roman"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eastAsia="zh-CN"/>
                <w14:textFill>
                  <w14:solidFill>
                    <w14:schemeClr w14:val="tx1"/>
                  </w14:solidFill>
                </w14:textFill>
              </w:rPr>
              <w:t>3</w:t>
            </w:r>
            <w:r>
              <w:rPr>
                <w:rFonts w:hint="eastAsia" w:ascii="Times New Roman" w:cs="Times New Roman"/>
                <w:color w:val="000000" w:themeColor="text1"/>
                <w:sz w:val="24"/>
                <w:szCs w:val="24"/>
                <w:highlight w:val="none"/>
                <w:lang w:val="en-US" w:eastAsia="zh-CN"/>
                <w14:textFill>
                  <w14:solidFill>
                    <w14:schemeClr w14:val="tx1"/>
                  </w14:solidFill>
                </w14:textFill>
              </w:rPr>
              <w:t>。</w:t>
            </w:r>
          </w:p>
          <w:p w14:paraId="7B0361D7">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—发生事故时可以转输到其他储存或处理设施的物料量，m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；①本项目生产车间设缓坡的方式对消防废水进行暂存，合计面积约 </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6780</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，取 80%为有效暂存面积（即</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5424</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），缓坡高度为 10cm，则可容纳废水量约为</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542.4</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本项目V</w:t>
            </w:r>
            <w:r>
              <w:rPr>
                <w:rFonts w:hint="default"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w:t>
            </w:r>
            <w:r>
              <w:rPr>
                <w:rFonts w:hint="eastAsia" w:ascii="Times New Roman" w:cs="Times New Roman"/>
                <w:color w:val="000000" w:themeColor="text1"/>
                <w:kern w:val="0"/>
                <w:sz w:val="24"/>
                <w:szCs w:val="24"/>
                <w:highlight w:val="none"/>
                <w:lang w:val="en-US" w:eastAsia="zh-CN"/>
                <w14:textFill>
                  <w14:solidFill>
                    <w14:schemeClr w14:val="tx1"/>
                  </w14:solidFill>
                </w14:textFill>
              </w:rPr>
              <w:t>542.4</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highlight w:val="none"/>
                <w:vertAlign w:val="baseline"/>
                <w:lang w:val="en-US" w:eastAsia="zh-CN"/>
                <w14:textFill>
                  <w14:solidFill>
                    <w14:schemeClr w14:val="tx1"/>
                  </w14:solidFill>
                </w14:textFill>
              </w:rPr>
              <w:t>。</w:t>
            </w:r>
          </w:p>
          <w:p w14:paraId="3C2C31B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—发生事故时仍必须进入该收集系统的生产废水量，m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事故发生时即停止生产，不会持续产生生产废水，</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且本项目</w:t>
            </w:r>
            <w:r>
              <w:rPr>
                <w:rFonts w:hint="eastAsia" w:cs="Times New Roman"/>
                <w:color w:val="000000" w:themeColor="text1"/>
                <w:sz w:val="24"/>
                <w:szCs w:val="24"/>
                <w:highlight w:val="none"/>
                <w:lang w:val="en-US" w:eastAsia="zh-CN"/>
                <w14:textFill>
                  <w14:solidFill>
                    <w14:schemeClr w14:val="tx1"/>
                  </w14:solidFill>
                </w14:textFill>
              </w:rPr>
              <w:t>工件表面预处理</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生产线中各水池均设置有截流阀门，可在发生事故时关闭生产废水排放管道，</w:t>
            </w:r>
            <w:r>
              <w:rPr>
                <w:rFonts w:hint="default" w:ascii="Times New Roman" w:hAnsi="Times New Roman" w:cs="Times New Roman"/>
                <w:color w:val="000000" w:themeColor="text1"/>
                <w:sz w:val="24"/>
                <w:szCs w:val="24"/>
                <w:highlight w:val="none"/>
                <w:lang w:eastAsia="zh-CN"/>
                <w14:textFill>
                  <w14:solidFill>
                    <w14:schemeClr w14:val="tx1"/>
                  </w14:solidFill>
                </w14:textFill>
              </w:rPr>
              <w:t>故</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V</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21DD1C9E">
            <w:pPr>
              <w:keepNext w:val="0"/>
              <w:keepLines w:val="0"/>
              <w:suppressLineNumbers w:val="0"/>
              <w:spacing w:before="0" w:beforeAutospacing="0" w:after="0" w:afterAutospacing="0" w:line="360" w:lineRule="auto"/>
              <w:ind w:left="0" w:right="0" w:firstLine="56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—发生事故时可能进入该收集系统的降雨量，m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759D3C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V</w:t>
            </w:r>
            <w:r>
              <w:rPr>
                <w:rFonts w:hint="default" w:ascii="Times New Roman" w:hAnsi="Times New Roman" w:eastAsia="宋体" w:cs="Times New Roman"/>
                <w:color w:val="000000" w:themeColor="text1"/>
                <w:kern w:val="0"/>
                <w:sz w:val="24"/>
                <w:szCs w:val="24"/>
                <w:highlight w:val="none"/>
                <w:vertAlign w:val="subscript"/>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=10qF</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p>
          <w:p w14:paraId="3380FAA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q——降雨强度，按平均日降雨量</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，mm；</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《水体污染防控紧急措施设计导则》，降雨强度按一年内降雨天数内的平均日降雨强度计</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q=q</w:t>
            </w:r>
            <w:r>
              <w:rPr>
                <w:rFonts w:hint="default" w:ascii="Times New Roman" w:hAnsi="Times New Roman" w:eastAsia="宋体" w:cs="Times New Roman"/>
                <w:color w:val="000000" w:themeColor="text1"/>
                <w:kern w:val="0"/>
                <w:sz w:val="24"/>
                <w:szCs w:val="24"/>
                <w:highlight w:val="none"/>
                <w:vertAlign w:val="subscript"/>
                <w:lang w:val="en-US" w:eastAsia="zh-CN"/>
                <w14:textFill>
                  <w14:solidFill>
                    <w14:schemeClr w14:val="tx1"/>
                  </w14:solidFill>
                </w14:textFill>
              </w:rPr>
              <w:t>a</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/n；</w:t>
            </w:r>
          </w:p>
          <w:p w14:paraId="4526E2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qa</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年平均降雨量，mm；</w:t>
            </w:r>
          </w:p>
          <w:p w14:paraId="211FCE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年平均降雨天数；</w:t>
            </w:r>
          </w:p>
          <w:p w14:paraId="3B52CE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F——必须进入事故废水收集系统的雨水汇水面积，ha；</w:t>
            </w:r>
          </w:p>
          <w:p w14:paraId="51078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径流系数，取0.9。</w:t>
            </w:r>
          </w:p>
          <w:p w14:paraId="24BC76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可查询乐昌市生态环境状况公开数据</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乐昌市全市多年平均降雨量在1300</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1550毫米之间，雨水多集中在4~6月。2023年全市一般年平均降雨量1531.9毫米，降雨天数为145天，本项目以此作为计算依据，</w:t>
            </w:r>
            <w:r>
              <w:rPr>
                <w:rFonts w:hint="eastAsia" w:cs="Times New Roman"/>
                <w:color w:val="000000" w:themeColor="text1"/>
                <w:kern w:val="0"/>
                <w:sz w:val="24"/>
                <w:szCs w:val="24"/>
                <w:highlight w:val="none"/>
                <w:lang w:val="en-US" w:eastAsia="zh-CN"/>
                <w14:textFill>
                  <w14:solidFill>
                    <w14:schemeClr w14:val="tx1"/>
                  </w14:solidFill>
                </w14:textFill>
              </w:rPr>
              <w:t>项目已实施雨污分流，项目所有原辅材料和物料均存放在车间内，厂区外不设置物料暂存堆放区。本项目汇水面积按照厂区外空地面积约 13668.34m</w:t>
            </w:r>
            <w:r>
              <w:rPr>
                <w:rFonts w:hint="eastAsia" w:cs="Times New Roman"/>
                <w:color w:val="000000" w:themeColor="text1"/>
                <w:kern w:val="0"/>
                <w:sz w:val="24"/>
                <w:szCs w:val="24"/>
                <w:highlight w:val="none"/>
                <w:vertAlign w:val="superscript"/>
                <w:lang w:val="en-US" w:eastAsia="zh-CN"/>
                <w14:textFill>
                  <w14:solidFill>
                    <w14:schemeClr w14:val="tx1"/>
                  </w14:solidFill>
                </w14:textFill>
              </w:rPr>
              <w:t>2</w:t>
            </w:r>
            <w:r>
              <w:rPr>
                <w:rFonts w:hint="eastAsia" w:cs="Times New Roman"/>
                <w:color w:val="000000" w:themeColor="text1"/>
                <w:kern w:val="0"/>
                <w:sz w:val="24"/>
                <w:szCs w:val="24"/>
                <w:highlight w:val="none"/>
                <w:lang w:val="en-US" w:eastAsia="zh-CN"/>
                <w14:textFill>
                  <w14:solidFill>
                    <w14:schemeClr w14:val="tx1"/>
                  </w14:solidFill>
                </w14:textFill>
              </w:rPr>
              <w:t>计算（项目有屋面的雨水通过单独的管道进入雨水管网，事故时通过屋面的雨水未被污染，因此本次不计屋面面积），则项目雨水汇水面积为 13668.34m</w:t>
            </w:r>
            <w:r>
              <w:rPr>
                <w:rFonts w:hint="eastAsia" w:cs="Times New Roman"/>
                <w:color w:val="000000" w:themeColor="text1"/>
                <w:kern w:val="0"/>
                <w:sz w:val="24"/>
                <w:szCs w:val="24"/>
                <w:highlight w:val="none"/>
                <w:vertAlign w:val="superscript"/>
                <w:lang w:val="en-US" w:eastAsia="zh-CN"/>
                <w14:textFill>
                  <w14:solidFill>
                    <w14:schemeClr w14:val="tx1"/>
                  </w14:solidFill>
                </w14:textFill>
              </w:rPr>
              <w:t>2</w:t>
            </w:r>
            <w:r>
              <w:rPr>
                <w:rFonts w:hint="eastAsia" w:cs="Times New Roman"/>
                <w:color w:val="000000" w:themeColor="text1"/>
                <w:kern w:val="0"/>
                <w:sz w:val="24"/>
                <w:szCs w:val="24"/>
                <w:highlight w:val="none"/>
                <w:lang w:val="en-US" w:eastAsia="zh-CN"/>
                <w14:textFill>
                  <w14:solidFill>
                    <w14:schemeClr w14:val="tx1"/>
                  </w14:solidFill>
                </w14:textFill>
              </w:rPr>
              <w:t>，V</w:t>
            </w:r>
            <w:r>
              <w:rPr>
                <w:rFonts w:hint="eastAsia" w:cs="Times New Roman"/>
                <w:color w:val="000000" w:themeColor="text1"/>
                <w:kern w:val="0"/>
                <w:sz w:val="24"/>
                <w:szCs w:val="24"/>
                <w:highlight w:val="none"/>
                <w:vertAlign w:val="subscript"/>
                <w:lang w:val="en-US" w:eastAsia="zh-CN"/>
                <w14:textFill>
                  <w14:solidFill>
                    <w14:schemeClr w14:val="tx1"/>
                  </w14:solidFill>
                </w14:textFill>
              </w:rPr>
              <w:t>5</w:t>
            </w:r>
            <w:r>
              <w:rPr>
                <w:rFonts w:hint="eastAsia" w:cs="Times New Roman"/>
                <w:color w:val="000000" w:themeColor="text1"/>
                <w:kern w:val="0"/>
                <w:sz w:val="24"/>
                <w:szCs w:val="24"/>
                <w:highlight w:val="none"/>
                <w:lang w:val="en-US" w:eastAsia="zh-CN"/>
                <w14:textFill>
                  <w14:solidFill>
                    <w14:schemeClr w14:val="tx1"/>
                  </w14:solidFill>
                </w14:textFill>
              </w:rPr>
              <w:t>≈129.6m</w:t>
            </w:r>
            <w:r>
              <w:rPr>
                <w:rFonts w:hint="eastAsia"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kern w:val="0"/>
                <w:sz w:val="24"/>
                <w:szCs w:val="24"/>
                <w:highlight w:val="none"/>
                <w:lang w:val="en-US" w:eastAsia="zh-CN"/>
                <w14:textFill>
                  <w14:solidFill>
                    <w14:schemeClr w14:val="tx1"/>
                  </w14:solidFill>
                </w14:textFill>
              </w:rPr>
              <w:t>（10*1531.9/145*13668.34/10000*0.9=129.6）。</w:t>
            </w:r>
          </w:p>
          <w:p w14:paraId="5774312A">
            <w:pPr>
              <w:keepNext w:val="0"/>
              <w:keepLines w:val="0"/>
              <w:suppressLineNumbers w:val="0"/>
              <w:spacing w:before="0" w:beforeAutospacing="0" w:after="0" w:afterAutospacing="0" w:line="360" w:lineRule="auto"/>
              <w:ind w:left="0" w:right="0" w:firstLine="56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综上，</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11.2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486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542.4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max=0。</w:t>
            </w:r>
            <w:r>
              <w:rPr>
                <w:rFonts w:hint="default" w:ascii="Times New Roman" w:hAnsi="Times New Roman" w:eastAsia="宋体" w:cs="Times New Roman"/>
                <w:color w:val="000000" w:themeColor="text1"/>
                <w:sz w:val="24"/>
                <w:szCs w:val="24"/>
                <w:highlight w:val="none"/>
                <w14:textFill>
                  <w14:solidFill>
                    <w14:schemeClr w14:val="tx1"/>
                  </w14:solidFill>
                </w14:textFill>
              </w:rPr>
              <w:t>为满足消防或其他事故时废水收集需要，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z w:val="24"/>
                <w:szCs w:val="24"/>
                <w:highlight w:val="none"/>
                <w14:textFill>
                  <w14:solidFill>
                    <w14:schemeClr w14:val="tx1"/>
                  </w14:solidFill>
                </w14:textFill>
              </w:rPr>
              <w:t>所需的事故储存设施总有效容积V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总</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eastAsia" w:cs="Times New Roman"/>
                <w:color w:val="000000" w:themeColor="text1"/>
                <w:sz w:val="24"/>
                <w:szCs w:val="24"/>
                <w:highlight w:val="none"/>
                <w:lang w:val="en-US" w:eastAsia="zh-CN"/>
                <w14:textFill>
                  <w14:solidFill>
                    <w14:schemeClr w14:val="tx1"/>
                  </w14:solidFill>
                </w14:textFill>
              </w:rPr>
              <w:t>129.6</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129.6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7C095B7E">
            <w:pPr>
              <w:pStyle w:val="29"/>
              <w:spacing w:line="360" w:lineRule="auto"/>
              <w:ind w:firstLine="480" w:firstLineChars="200"/>
              <w:rPr>
                <w:rFonts w:hint="default" w:ascii="Times New Roman" w:hAnsi="Times New Roman" w:eastAsia="宋体" w:cs="Times New Roman"/>
                <w:color w:val="000000" w:themeColor="text1"/>
                <w:spacing w:val="-2"/>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本项目事故废水依托自建事故应急池，厂区设有1个有效容积为</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15</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b w:val="0"/>
                <w:bCs w:val="0"/>
                <w:color w:val="000000" w:themeColor="text1"/>
                <w:sz w:val="24"/>
                <w:szCs w:val="24"/>
                <w:highlight w:val="none"/>
                <w14:textFill>
                  <w14:solidFill>
                    <w14:schemeClr w14:val="tx1"/>
                  </w14:solidFill>
                </w14:textFill>
              </w:rPr>
              <w:t>m</w:t>
            </w:r>
            <w:r>
              <w:rPr>
                <w:rFonts w:hint="default" w:ascii="Times New Roman" w:hAnsi="Times New Roman" w:cs="Times New Roman"/>
                <w:b w:val="0"/>
                <w:bCs w:val="0"/>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b w:val="0"/>
                <w:bCs w:val="0"/>
                <w:color w:val="000000" w:themeColor="text1"/>
                <w:sz w:val="24"/>
                <w:szCs w:val="24"/>
                <w:highlight w:val="none"/>
                <w14:textFill>
                  <w14:solidFill>
                    <w14:schemeClr w14:val="tx1"/>
                  </w14:solidFill>
                </w14:textFill>
              </w:rPr>
              <w:t>的事故应急池</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且本项目厂房设有围堰及沙包等应急措施及物资。当发生事故时，泄漏物料、消防废水等事故废水均能截留在厂区内。园区定期对事故应急系统进行排查，发现存在问题，马上进行检修，确保事故时能有效运行</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p>
          <w:p w14:paraId="56287403">
            <w:pPr>
              <w:pStyle w:val="39"/>
              <w:spacing w:after="0" w:line="360" w:lineRule="auto"/>
              <w:ind w:firstLine="482"/>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7.4</w:t>
            </w:r>
            <w:r>
              <w:rPr>
                <w:rFonts w:hint="default" w:ascii="Times New Roman" w:hAnsi="Times New Roman" w:eastAsia="宋体" w:cs="Times New Roman"/>
                <w:b/>
                <w:bCs/>
                <w:color w:val="000000" w:themeColor="text1"/>
                <w:sz w:val="24"/>
                <w:highlight w:val="none"/>
                <w14:textFill>
                  <w14:solidFill>
                    <w14:schemeClr w14:val="tx1"/>
                  </w14:solidFill>
                </w14:textFill>
              </w:rPr>
              <w:t>企业环境风险应急体系</w:t>
            </w:r>
          </w:p>
          <w:p w14:paraId="48E9EB1F">
            <w:pPr>
              <w:pStyle w:val="39"/>
              <w:spacing w:after="0" w:line="360" w:lineRule="auto"/>
              <w:ind w:firstLine="482"/>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14:textFill>
                  <w14:solidFill>
                    <w14:schemeClr w14:val="tx1"/>
                  </w14:solidFill>
                </w14:textFill>
              </w:rPr>
              <w:t>项目投入运行后，运营单位应及时组织编制突发环境应急预案，建立</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单元-厂区-园区三级环境</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风险防控体系。建设单位应按照《建设项目环境风险评价技术导则》（HJ169-2018）</w:t>
            </w:r>
            <w:r>
              <w:rPr>
                <w:rFonts w:hint="default" w:ascii="Times New Roman" w:hAnsi="Times New Roman" w:eastAsia="宋体"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《广东省企事业单位突发环境事件应急预案编制指南（试行）》(2020年8月施行）</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编制突发环境事件应急预案，做好监控和预警、应急响应、应急保障、善后处置、预案演练等，减小事故排放对周边</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环境敏感点</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的影响。</w:t>
            </w:r>
          </w:p>
          <w:p w14:paraId="1C891670">
            <w:pPr>
              <w:pStyle w:val="39"/>
              <w:spacing w:after="0" w:line="360" w:lineRule="auto"/>
              <w:ind w:firstLine="482"/>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14:textFill>
                  <w14:solidFill>
                    <w14:schemeClr w14:val="tx1"/>
                  </w14:solidFill>
                </w14:textFill>
              </w:rPr>
              <w:t>综上，建设单位须做好应急措施，采取有针对性的环境风险防范措施及应急预案后，可降低项目未经处理排放的风险概率。本次工程项目从环境风险角度可行。</w:t>
            </w:r>
          </w:p>
          <w:p w14:paraId="6CB3A6CF">
            <w:pPr>
              <w:pStyle w:val="39"/>
              <w:spacing w:after="0" w:line="360" w:lineRule="auto"/>
              <w:ind w:firstLine="482"/>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8、电磁辐射</w:t>
            </w:r>
          </w:p>
          <w:p w14:paraId="012B003B">
            <w:pPr>
              <w:pStyle w:val="76"/>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无。</w:t>
            </w:r>
          </w:p>
          <w:p w14:paraId="1D8740E4">
            <w:pPr>
              <w:pStyle w:val="76"/>
              <w:rPr>
                <w:rFonts w:hint="default" w:ascii="Times New Roman" w:hAnsi="Times New Roman" w:eastAsia="宋体" w:cs="Times New Roman"/>
                <w:color w:val="000000" w:themeColor="text1"/>
                <w:sz w:val="24"/>
                <w:highlight w:val="none"/>
                <w14:textFill>
                  <w14:solidFill>
                    <w14:schemeClr w14:val="tx1"/>
                  </w14:solidFill>
                </w14:textFill>
              </w:rPr>
            </w:pPr>
          </w:p>
          <w:p w14:paraId="10706D82">
            <w:pPr>
              <w:pStyle w:val="39"/>
              <w:spacing w:after="0" w:line="360" w:lineRule="auto"/>
              <w:ind w:firstLine="482"/>
              <w:rPr>
                <w:rFonts w:hint="default" w:ascii="Times New Roman" w:hAnsi="Times New Roman" w:eastAsia="宋体" w:cs="Times New Roman"/>
                <w:b/>
                <w:bCs/>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sz w:val="24"/>
                <w:highlight w:val="none"/>
                <w:lang w:eastAsia="zh-CN"/>
                <w14:textFill>
                  <w14:solidFill>
                    <w14:schemeClr w14:val="tx1"/>
                  </w14:solidFill>
                </w14:textFill>
              </w:rPr>
              <w:t>建设项目竣工环保验收“三同时”一览表</w:t>
            </w:r>
          </w:p>
          <w:p w14:paraId="163DA09A">
            <w:pPr>
              <w:widowControl w:val="0"/>
              <w:kinsoku/>
              <w:autoSpaceDE/>
              <w:autoSpaceDN/>
              <w:adjustRightInd/>
              <w:snapToGrid/>
              <w:spacing w:line="360" w:lineRule="auto"/>
              <w:ind w:firstLine="420" w:firstLineChars="200"/>
              <w:jc w:val="both"/>
              <w:textAlignment w:val="auto"/>
              <w:rPr>
                <w:rFonts w:ascii="Times New Roman" w:hAnsi="Times New Roman" w:eastAsia="宋体" w:cs="Times New Roman"/>
                <w:b w:val="0"/>
                <w:bCs w:val="0"/>
                <w:color w:val="000000" w:themeColor="text1"/>
                <w:highlight w:val="none"/>
                <w14:textFill>
                  <w14:solidFill>
                    <w14:schemeClr w14:val="tx1"/>
                  </w14:solidFill>
                </w14:textFill>
              </w:rPr>
            </w:pPr>
            <w:r>
              <w:rPr>
                <w:rFonts w:ascii="Times New Roman" w:hAnsi="Times New Roman" w:eastAsia="宋体" w:cs="Times New Roman"/>
                <w:b w:val="0"/>
                <w:bCs w:val="0"/>
                <w:color w:val="000000" w:themeColor="text1"/>
                <w:highlight w:val="none"/>
                <w14:textFill>
                  <w14:solidFill>
                    <w14:schemeClr w14:val="tx1"/>
                  </w14:solidFill>
                </w14:textFill>
              </w:rPr>
              <w:t>竣工环境保护验收“三同时”一览表如下所示：</w:t>
            </w:r>
          </w:p>
          <w:p w14:paraId="407D0F00">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 xml:space="preserve">43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项目环保“三同时”竣工验收一览表</w:t>
            </w:r>
          </w:p>
          <w:tbl>
            <w:tblPr>
              <w:tblStyle w:val="4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19"/>
              <w:gridCol w:w="1461"/>
              <w:gridCol w:w="2262"/>
              <w:gridCol w:w="2557"/>
            </w:tblGrid>
            <w:tr w14:paraId="5FC4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noWrap w:val="0"/>
                  <w:vAlign w:val="center"/>
                </w:tcPr>
                <w:p w14:paraId="07BC2C1B">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w:t>
                  </w:r>
                </w:p>
              </w:tc>
              <w:tc>
                <w:tcPr>
                  <w:tcW w:w="914" w:type="pct"/>
                  <w:noWrap w:val="0"/>
                  <w:vAlign w:val="center"/>
                </w:tcPr>
                <w:p w14:paraId="0B9D6C8D">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污染源</w:t>
                  </w:r>
                </w:p>
              </w:tc>
              <w:tc>
                <w:tcPr>
                  <w:tcW w:w="879" w:type="pct"/>
                  <w:noWrap w:val="0"/>
                  <w:vAlign w:val="center"/>
                </w:tcPr>
                <w:p w14:paraId="1AAB2B7A">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污染物</w:t>
                  </w:r>
                </w:p>
              </w:tc>
              <w:tc>
                <w:tcPr>
                  <w:tcW w:w="1361" w:type="pct"/>
                  <w:noWrap w:val="0"/>
                  <w:vAlign w:val="center"/>
                </w:tcPr>
                <w:p w14:paraId="493483BC">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防治措施</w:t>
                  </w:r>
                </w:p>
              </w:tc>
              <w:tc>
                <w:tcPr>
                  <w:tcW w:w="1538" w:type="pct"/>
                  <w:noWrap w:val="0"/>
                  <w:vAlign w:val="center"/>
                </w:tcPr>
                <w:p w14:paraId="230F5A3F">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验收标准</w:t>
                  </w:r>
                </w:p>
              </w:tc>
            </w:tr>
            <w:tr w14:paraId="2E1D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138F29CF">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废水</w:t>
                  </w:r>
                </w:p>
              </w:tc>
              <w:tc>
                <w:tcPr>
                  <w:tcW w:w="914" w:type="pct"/>
                  <w:noWrap w:val="0"/>
                  <w:vAlign w:val="center"/>
                </w:tcPr>
                <w:p w14:paraId="44F531EC">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DW001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生活污水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排放口</w:t>
                  </w:r>
                </w:p>
              </w:tc>
              <w:tc>
                <w:tcPr>
                  <w:tcW w:w="879" w:type="pct"/>
                  <w:noWrap w:val="0"/>
                  <w:vAlign w:val="center"/>
                </w:tcPr>
                <w:p w14:paraId="494D2973">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pH、CODCr、BOD</w:t>
                  </w:r>
                  <w:r>
                    <w:rPr>
                      <w:rFonts w:hint="default" w:ascii="Times New Roman" w:hAnsi="Times New Roman" w:eastAsia="宋体" w:cs="Times New Roman"/>
                      <w:color w:val="000000" w:themeColor="text1"/>
                      <w:kern w:val="2"/>
                      <w:sz w:val="21"/>
                      <w:szCs w:val="21"/>
                      <w:highlight w:val="none"/>
                      <w:vertAlign w:val="subscript"/>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、SS、氨氮、总磷、动植物油</w:t>
                  </w:r>
                </w:p>
              </w:tc>
              <w:tc>
                <w:tcPr>
                  <w:tcW w:w="1361" w:type="pct"/>
                  <w:noWrap w:val="0"/>
                  <w:vAlign w:val="center"/>
                </w:tcPr>
                <w:p w14:paraId="3066EC99">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生活污水经三级化粪池+隔油隔渣池处理</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经园区污水管网排入园区污水处理厂进一步处理后，排入武江</w:t>
                  </w:r>
                </w:p>
              </w:tc>
              <w:tc>
                <w:tcPr>
                  <w:tcW w:w="1538" w:type="pct"/>
                  <w:noWrap w:val="0"/>
                  <w:vAlign w:val="center"/>
                </w:tcPr>
                <w:p w14:paraId="1CCFD1AA">
                  <w:pPr>
                    <w:pStyle w:val="20"/>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广东省《水污染物排放限值》（DB44/26-2001）第二时段三级标准</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及</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园区污水处理厂接管水质要求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两</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者较严值要求</w:t>
                  </w:r>
                </w:p>
              </w:tc>
            </w:tr>
            <w:tr w14:paraId="2DA9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D97399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noWrap w:val="0"/>
                  <w:vAlign w:val="center"/>
                </w:tcPr>
                <w:p w14:paraId="597125E4">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DW00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2生产废水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排放口</w:t>
                  </w:r>
                </w:p>
              </w:tc>
              <w:tc>
                <w:tcPr>
                  <w:tcW w:w="879" w:type="pct"/>
                  <w:noWrap w:val="0"/>
                  <w:vAlign w:val="center"/>
                </w:tcPr>
                <w:p w14:paraId="56D0CB4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pH、COD</w:t>
                  </w:r>
                  <w:r>
                    <w:rPr>
                      <w:rFonts w:hint="default" w:ascii="Times New Roman" w:hAnsi="Times New Roman" w:eastAsia="宋体" w:cs="Times New Roman"/>
                      <w:color w:val="000000" w:themeColor="text1"/>
                      <w:kern w:val="2"/>
                      <w:sz w:val="21"/>
                      <w:szCs w:val="21"/>
                      <w:highlight w:val="none"/>
                      <w:vertAlign w:val="subscript"/>
                      <w:lang w:val="en-US" w:eastAsia="zh-CN" w:bidi="ar-SA"/>
                      <w14:textFill>
                        <w14:solidFill>
                          <w14:schemeClr w14:val="tx1"/>
                        </w14:solidFill>
                      </w14:textFill>
                    </w:rPr>
                    <w:t>Cr</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BOD</w:t>
                  </w:r>
                  <w:r>
                    <w:rPr>
                      <w:rFonts w:hint="eastAsia" w:ascii="Times New Roman" w:hAnsi="Times New Roman" w:eastAsia="宋体" w:cs="Times New Roman"/>
                      <w:color w:val="000000" w:themeColor="text1"/>
                      <w:kern w:val="2"/>
                      <w:sz w:val="21"/>
                      <w:szCs w:val="21"/>
                      <w:highlight w:val="none"/>
                      <w:vertAlign w:val="subscript"/>
                      <w:lang w:val="en-US" w:eastAsia="zh-CN" w:bidi="ar-SA"/>
                      <w14:textFill>
                        <w14:solidFill>
                          <w14:schemeClr w14:val="tx1"/>
                        </w14:solidFill>
                      </w14:textFill>
                    </w:rPr>
                    <w:t>5</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、NH</w:t>
                  </w:r>
                  <w:r>
                    <w:rPr>
                      <w:rFonts w:hint="eastAsia" w:ascii="Times New Roman" w:hAnsi="Times New Roman" w:eastAsia="宋体" w:cs="Times New Roman"/>
                      <w:color w:val="000000" w:themeColor="text1"/>
                      <w:kern w:val="2"/>
                      <w:sz w:val="21"/>
                      <w:szCs w:val="21"/>
                      <w:highlight w:val="none"/>
                      <w:vertAlign w:val="sub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-N、</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SS、石油类、阴离子表面活性剂、氟化物</w:t>
                  </w:r>
                  <w:r>
                    <w:rPr>
                      <w:rFonts w:hint="eastAsia" w:cs="Times New Roman"/>
                      <w:color w:val="000000" w:themeColor="text1"/>
                      <w:kern w:val="2"/>
                      <w:sz w:val="21"/>
                      <w:szCs w:val="21"/>
                      <w:highlight w:val="none"/>
                      <w:lang w:val="en-US" w:eastAsia="zh-CN" w:bidi="ar-SA"/>
                      <w14:textFill>
                        <w14:solidFill>
                          <w14:schemeClr w14:val="tx1"/>
                        </w14:solidFill>
                      </w14:textFill>
                    </w:rPr>
                    <w:t>、TP、TN、总铝</w:t>
                  </w:r>
                </w:p>
              </w:tc>
              <w:tc>
                <w:tcPr>
                  <w:tcW w:w="1361" w:type="pct"/>
                  <w:noWrap w:val="0"/>
                  <w:vAlign w:val="center"/>
                </w:tcPr>
                <w:p w14:paraId="5327F48F">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前处理</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废水经企业自建污水处理站（工艺为“</w:t>
                  </w:r>
                  <w:r>
                    <w:rPr>
                      <w:rFonts w:hint="eastAsia" w:cs="Times New Roman"/>
                      <w:color w:val="000000" w:themeColor="text1"/>
                      <w:kern w:val="2"/>
                      <w:sz w:val="21"/>
                      <w:szCs w:val="21"/>
                      <w:highlight w:val="none"/>
                      <w:lang w:val="en-US" w:eastAsia="zh-CN" w:bidi="ar-SA"/>
                      <w14:textFill>
                        <w14:solidFill>
                          <w14:schemeClr w14:val="tx1"/>
                        </w14:solidFill>
                      </w14:textFill>
                    </w:rPr>
                    <w:t>中和调节+混凝沉淀+气浮+化学除氟</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”）处理后，经园区污水管网排入园区污水处理厂进一步处理后，排入武江</w:t>
                  </w:r>
                </w:p>
              </w:tc>
              <w:tc>
                <w:tcPr>
                  <w:tcW w:w="1538" w:type="pct"/>
                  <w:noWrap w:val="0"/>
                  <w:vAlign w:val="center"/>
                </w:tcPr>
                <w:p w14:paraId="69F915FD">
                  <w:pPr>
                    <w:pStyle w:val="20"/>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园区污水处理厂接管水质要求、广东省《水污染物排放限值》（</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DB44/26-2001</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）第二时段三级标准以及《电镀水污染物排放标准》（</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DB44/1597-2015</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表1现有项目水污染物非珠三角排放限值200%（其中总铝按表2新建项目水污染物排放限值-非珠三角地区执行）</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三者较严值要求</w:t>
                  </w:r>
                </w:p>
              </w:tc>
            </w:tr>
            <w:tr w14:paraId="25A7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452767CE">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废气</w:t>
                  </w:r>
                </w:p>
              </w:tc>
              <w:tc>
                <w:tcPr>
                  <w:tcW w:w="914" w:type="pct"/>
                  <w:vMerge w:val="restart"/>
                  <w:shd w:val="clear" w:color="auto" w:fill="auto"/>
                  <w:noWrap w:val="0"/>
                  <w:vAlign w:val="center"/>
                </w:tcPr>
                <w:p w14:paraId="32FF590A">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喷漆废气（</w:t>
                  </w:r>
                  <w:r>
                    <w:rPr>
                      <w:rFonts w:hint="eastAsia" w:cs="Times New Roman"/>
                      <w:color w:val="000000" w:themeColor="text1"/>
                      <w:sz w:val="21"/>
                      <w:szCs w:val="21"/>
                      <w:highlight w:val="none"/>
                      <w:lang w:val="en-US" w:eastAsia="zh-CN"/>
                      <w14:textFill>
                        <w14:solidFill>
                          <w14:schemeClr w14:val="tx1"/>
                        </w14:solidFill>
                      </w14:textFill>
                    </w:rPr>
                    <w:t>DA001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879" w:type="pct"/>
                  <w:shd w:val="clear" w:color="auto" w:fill="auto"/>
                  <w:noWrap w:val="0"/>
                  <w:vAlign w:val="center"/>
                </w:tcPr>
                <w:p w14:paraId="4E346C84">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1361" w:type="pct"/>
                  <w:vMerge w:val="restart"/>
                  <w:shd w:val="clear" w:color="auto" w:fill="auto"/>
                  <w:noWrap w:val="0"/>
                  <w:vAlign w:val="center"/>
                </w:tcPr>
                <w:p w14:paraId="17F36994">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s="Times New Roman"/>
                      <w:color w:val="000000" w:themeColor="text1"/>
                      <w:sz w:val="21"/>
                      <w:szCs w:val="21"/>
                      <w:highlight w:val="none"/>
                      <w:lang w:eastAsia="zh-CN"/>
                      <w14:textFill>
                        <w14:solidFill>
                          <w14:schemeClr w14:val="tx1"/>
                        </w14:solidFill>
                      </w14:textFill>
                    </w:rPr>
                    <w:t>活性炭吸脱附+催化燃烧+活性炭吸附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处理后，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引至15</w:t>
                  </w:r>
                  <w:r>
                    <w:rPr>
                      <w:rFonts w:hint="default" w:ascii="Times New Roman" w:hAnsi="Times New Roman" w:eastAsia="宋体" w:cs="Times New Roman"/>
                      <w:color w:val="000000" w:themeColor="text1"/>
                      <w:sz w:val="21"/>
                      <w:szCs w:val="21"/>
                      <w:highlight w:val="none"/>
                      <w14:textFill>
                        <w14:solidFill>
                          <w14:schemeClr w14:val="tx1"/>
                        </w14:solidFill>
                      </w14:textFill>
                    </w:rPr>
                    <w:t>m高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14:textFill>
                        <w14:solidFill>
                          <w14:schemeClr w14:val="tx1"/>
                        </w14:solidFill>
                      </w14:textFill>
                    </w:rPr>
                    <w:t>排气筒（</w:t>
                  </w:r>
                  <w:r>
                    <w:rPr>
                      <w:rFonts w:hint="eastAsia" w:cs="Times New Roman"/>
                      <w:color w:val="000000" w:themeColor="text1"/>
                      <w:sz w:val="21"/>
                      <w:szCs w:val="21"/>
                      <w:highlight w:val="none"/>
                      <w:lang w:eastAsia="zh-CN"/>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）排放</w:t>
                  </w:r>
                </w:p>
              </w:tc>
              <w:tc>
                <w:tcPr>
                  <w:tcW w:w="1538" w:type="pct"/>
                  <w:shd w:val="clear" w:color="auto" w:fill="auto"/>
                  <w:noWrap w:val="0"/>
                  <w:vAlign w:val="center"/>
                </w:tcPr>
                <w:p w14:paraId="05660124">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广东省《大气污染物排放限值》（DB44/27-2001）第二时段</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排放限值</w:t>
                  </w:r>
                </w:p>
              </w:tc>
            </w:tr>
            <w:tr w14:paraId="58D3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897353A">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6FE6E1E8">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79" w:type="pct"/>
                  <w:shd w:val="clear" w:color="auto" w:fill="auto"/>
                  <w:noWrap w:val="0"/>
                  <w:vAlign w:val="center"/>
                </w:tcPr>
                <w:p w14:paraId="6AA0507E">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1361" w:type="pct"/>
                  <w:vMerge w:val="continue"/>
                  <w:noWrap w:val="0"/>
                  <w:vAlign w:val="center"/>
                </w:tcPr>
                <w:p w14:paraId="5E5497DD">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38" w:type="pct"/>
                  <w:shd w:val="clear" w:color="auto" w:fill="auto"/>
                  <w:noWrap w:val="0"/>
                  <w:vAlign w:val="center"/>
                </w:tcPr>
                <w:p w14:paraId="25CDD751">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广东省《固定污染源挥发性有机物综合排放标准》（DB44/2367-2022）表1挥发性有机物排放限值</w:t>
                  </w:r>
                </w:p>
              </w:tc>
            </w:tr>
            <w:tr w14:paraId="0923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DBDCA8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7B003A9D">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79" w:type="pct"/>
                  <w:shd w:val="clear" w:color="auto" w:fill="auto"/>
                  <w:noWrap w:val="0"/>
                  <w:vAlign w:val="center"/>
                </w:tcPr>
                <w:p w14:paraId="649F448E">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苯系物</w:t>
                  </w:r>
                </w:p>
              </w:tc>
              <w:tc>
                <w:tcPr>
                  <w:tcW w:w="1361" w:type="pct"/>
                  <w:vMerge w:val="continue"/>
                  <w:noWrap w:val="0"/>
                  <w:vAlign w:val="center"/>
                </w:tcPr>
                <w:p w14:paraId="58DBE636">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38" w:type="pct"/>
                  <w:vMerge w:val="restart"/>
                  <w:noWrap w:val="0"/>
                  <w:vAlign w:val="center"/>
                </w:tcPr>
                <w:p w14:paraId="5B008B69">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《恶臭污染物排放标准》（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GB 14554-1993</w:t>
                  </w:r>
                  <w:r>
                    <w:rPr>
                      <w:rFonts w:hint="default" w:ascii="Times New Roman" w:hAnsi="Times New Roman" w:eastAsia="宋体" w:cs="Times New Roman"/>
                      <w:color w:val="000000" w:themeColor="text1"/>
                      <w:sz w:val="21"/>
                      <w:szCs w:val="21"/>
                      <w:highlight w:val="none"/>
                      <w14:textFill>
                        <w14:solidFill>
                          <w14:schemeClr w14:val="tx1"/>
                        </w14:solidFill>
                      </w14:textFill>
                    </w:rPr>
                    <w:t>）表2恶臭污染物排放标准及表1新扩改建二级厂界标准值</w:t>
                  </w:r>
                </w:p>
              </w:tc>
            </w:tr>
            <w:tr w14:paraId="7F28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0734745">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7C91BBB6">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79" w:type="pct"/>
                  <w:shd w:val="clear" w:color="auto" w:fill="auto"/>
                  <w:noWrap w:val="0"/>
                  <w:vAlign w:val="center"/>
                </w:tcPr>
                <w:p w14:paraId="5438DEC3">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1361" w:type="pct"/>
                  <w:vMerge w:val="continue"/>
                  <w:noWrap w:val="0"/>
                  <w:vAlign w:val="center"/>
                </w:tcPr>
                <w:p w14:paraId="6E729FC3">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38" w:type="pct"/>
                  <w:vMerge w:val="continue"/>
                  <w:shd w:val="clear" w:color="auto" w:fill="auto"/>
                  <w:noWrap w:val="0"/>
                  <w:vAlign w:val="center"/>
                </w:tcPr>
                <w:p w14:paraId="5D819CFD">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5ED9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5E0E1E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restart"/>
                  <w:noWrap w:val="0"/>
                  <w:vAlign w:val="center"/>
                </w:tcPr>
                <w:p w14:paraId="25AAEF96">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固化废气（</w:t>
                  </w:r>
                  <w:r>
                    <w:rPr>
                      <w:rFonts w:hint="eastAsia" w:cs="Times New Roman"/>
                      <w:color w:val="000000" w:themeColor="text1"/>
                      <w:sz w:val="21"/>
                      <w:szCs w:val="21"/>
                      <w:highlight w:val="none"/>
                      <w:lang w:val="en-US" w:eastAsia="zh-CN"/>
                      <w14:textFill>
                        <w14:solidFill>
                          <w14:schemeClr w14:val="tx1"/>
                        </w14:solidFill>
                      </w14:textFill>
                    </w:rPr>
                    <w:t>DA002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879" w:type="pct"/>
                  <w:noWrap w:val="0"/>
                  <w:vAlign w:val="center"/>
                </w:tcPr>
                <w:p w14:paraId="15A8CB84">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1361" w:type="pct"/>
                  <w:vMerge w:val="restart"/>
                  <w:noWrap w:val="0"/>
                  <w:vAlign w:val="center"/>
                </w:tcPr>
                <w:p w14:paraId="0B893AF7">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olor w:val="000000" w:themeColor="text1"/>
                      <w:lang w:val="en-US" w:eastAsia="zh-CN"/>
                      <w14:textFill>
                        <w14:solidFill>
                          <w14:schemeClr w14:val="tx1"/>
                        </w14:solidFill>
                      </w14:textFill>
                    </w:rPr>
                    <w:t>二级活性炭吸附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处理后，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引至15</w:t>
                  </w:r>
                  <w:r>
                    <w:rPr>
                      <w:rFonts w:hint="default" w:ascii="Times New Roman" w:hAnsi="Times New Roman" w:eastAsia="宋体" w:cs="Times New Roman"/>
                      <w:color w:val="000000" w:themeColor="text1"/>
                      <w:sz w:val="21"/>
                      <w:szCs w:val="21"/>
                      <w:highlight w:val="none"/>
                      <w14:textFill>
                        <w14:solidFill>
                          <w14:schemeClr w14:val="tx1"/>
                        </w14:solidFill>
                      </w14:textFill>
                    </w:rPr>
                    <w:t>m高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14:textFill>
                        <w14:solidFill>
                          <w14:schemeClr w14:val="tx1"/>
                        </w14:solidFill>
                      </w14:textFill>
                    </w:rPr>
                    <w:t>排气筒（</w:t>
                  </w:r>
                  <w:r>
                    <w:rPr>
                      <w:rFonts w:hint="eastAsia" w:cs="Times New Roman"/>
                      <w:color w:val="000000" w:themeColor="text1"/>
                      <w:sz w:val="21"/>
                      <w:szCs w:val="21"/>
                      <w:highlight w:val="none"/>
                      <w:lang w:eastAsia="zh-CN"/>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）排放</w:t>
                  </w:r>
                </w:p>
              </w:tc>
              <w:tc>
                <w:tcPr>
                  <w:tcW w:w="1538" w:type="pct"/>
                  <w:noWrap w:val="0"/>
                  <w:vAlign w:val="center"/>
                </w:tcPr>
                <w:p w14:paraId="7D2A2E4B">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广东省《固定污染源挥发性有机物综合排放标准》（DB44/2367-2022）表1挥发性有机物排放限值</w:t>
                  </w:r>
                </w:p>
              </w:tc>
            </w:tr>
            <w:tr w14:paraId="2653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82B12A0">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5B1C5896">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79" w:type="pct"/>
                  <w:noWrap w:val="0"/>
                  <w:vAlign w:val="center"/>
                </w:tcPr>
                <w:p w14:paraId="7A67B5C0">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1361" w:type="pct"/>
                  <w:vMerge w:val="continue"/>
                  <w:noWrap w:val="0"/>
                  <w:vAlign w:val="center"/>
                </w:tcPr>
                <w:p w14:paraId="074007D9">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38" w:type="pct"/>
                  <w:noWrap w:val="0"/>
                  <w:vAlign w:val="center"/>
                </w:tcPr>
                <w:p w14:paraId="2E1D3089">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《恶臭污染物排放标准》（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GB 14554-1993</w:t>
                  </w:r>
                  <w:r>
                    <w:rPr>
                      <w:rFonts w:hint="default" w:ascii="Times New Roman" w:hAnsi="Times New Roman" w:eastAsia="宋体" w:cs="Times New Roman"/>
                      <w:color w:val="000000" w:themeColor="text1"/>
                      <w:sz w:val="21"/>
                      <w:szCs w:val="21"/>
                      <w:highlight w:val="none"/>
                      <w14:textFill>
                        <w14:solidFill>
                          <w14:schemeClr w14:val="tx1"/>
                        </w14:solidFill>
                      </w14:textFill>
                    </w:rPr>
                    <w:t>）表2恶臭污染物排放标准及表1新扩改建二级厂界标准值</w:t>
                  </w:r>
                </w:p>
              </w:tc>
            </w:tr>
            <w:tr w14:paraId="006E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26B9B9E">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04DEFD47">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79" w:type="pct"/>
                  <w:noWrap w:val="0"/>
                  <w:vAlign w:val="center"/>
                </w:tcPr>
                <w:p w14:paraId="2EA8D972">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color w:val="000000" w:themeColor="text1"/>
                      <w:sz w:val="21"/>
                      <w:szCs w:val="21"/>
                      <w:highlight w:val="none"/>
                      <w14:textFill>
                        <w14:solidFill>
                          <w14:schemeClr w14:val="tx1"/>
                        </w14:solidFill>
                      </w14:textFill>
                    </w:rPr>
                    <w:t>氮氧化物、二氧化硫</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烟气黑度</w:t>
                  </w:r>
                </w:p>
              </w:tc>
              <w:tc>
                <w:tcPr>
                  <w:tcW w:w="1361" w:type="pct"/>
                  <w:vMerge w:val="continue"/>
                  <w:noWrap w:val="0"/>
                  <w:vAlign w:val="center"/>
                </w:tcPr>
                <w:p w14:paraId="347C7D6B">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38" w:type="pct"/>
                  <w:noWrap w:val="0"/>
                  <w:vAlign w:val="center"/>
                </w:tcPr>
                <w:p w14:paraId="417AC024">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根据《关于印发</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工业炉窑大气污染综合治理方案</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〉的通知》</w:t>
                  </w:r>
                  <w:r>
                    <w:rPr>
                      <w:rFonts w:hint="default" w:ascii="Times New Roman" w:hAnsi="Times New Roman" w:eastAsia="宋体" w:cs="Times New Roman"/>
                      <w:color w:val="000000" w:themeColor="text1"/>
                      <w:sz w:val="21"/>
                      <w:szCs w:val="21"/>
                      <w:highlight w:val="none"/>
                      <w14:textFill>
                        <w14:solidFill>
                          <w14:schemeClr w14:val="tx1"/>
                        </w14:solidFill>
                      </w14:textFill>
                    </w:rPr>
                    <w:t>（环大气〔2019〕56号）和《关于贯彻落实</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工业炉窑大气污染物综合治理方案</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的实施意见》（粤环函〔2019〕1112号），废气按照颗粒物、二氧化硫、氮氧化物排放限值分别不高于30、200、300毫克/立方米控制</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烟气黑度执行《工业炉窑大气污染物排放标准》（GB 9078-1996）</w:t>
                  </w:r>
                </w:p>
              </w:tc>
            </w:tr>
            <w:tr w14:paraId="3D32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45D8FF6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noWrap w:val="0"/>
                  <w:vAlign w:val="center"/>
                </w:tcPr>
                <w:p w14:paraId="538C3F78">
                  <w:pPr>
                    <w:adjustRightInd w:val="0"/>
                    <w:snapToGrid w:val="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职工生活</w:t>
                  </w:r>
                </w:p>
              </w:tc>
              <w:tc>
                <w:tcPr>
                  <w:tcW w:w="879" w:type="pct"/>
                  <w:noWrap w:val="0"/>
                  <w:vAlign w:val="center"/>
                </w:tcPr>
                <w:p w14:paraId="65607A85">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食堂油烟</w:t>
                  </w:r>
                </w:p>
              </w:tc>
              <w:tc>
                <w:tcPr>
                  <w:tcW w:w="1361" w:type="pct"/>
                  <w:noWrap w:val="0"/>
                  <w:vAlign w:val="center"/>
                </w:tcPr>
                <w:p w14:paraId="7A414EEF">
                  <w:pPr>
                    <w:adjustRightInd w:val="0"/>
                    <w:snapToGrid w:val="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经收集后引至高效静电油烟净化器处理，处理达标后尾气引至</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宿舍楼一层楼顶</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排放（</w:t>
                  </w:r>
                  <w:r>
                    <w:rPr>
                      <w:rFonts w:hint="eastAsia" w:cs="Times New Roman"/>
                      <w:color w:val="000000" w:themeColor="text1"/>
                      <w:sz w:val="21"/>
                      <w:szCs w:val="21"/>
                      <w:highlight w:val="none"/>
                      <w:lang w:eastAsia="zh-CN"/>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1538" w:type="pct"/>
                  <w:noWrap w:val="0"/>
                  <w:vAlign w:val="center"/>
                </w:tcPr>
                <w:p w14:paraId="538EE394">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达到《饮食业油烟排放标准</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（试行）》</w:t>
                  </w:r>
                  <w:r>
                    <w:rPr>
                      <w:rFonts w:hint="default" w:ascii="Times New Roman" w:hAnsi="Times New Roman" w:eastAsia="宋体" w:cs="Times New Roman"/>
                      <w:color w:val="000000" w:themeColor="text1"/>
                      <w:sz w:val="21"/>
                      <w:szCs w:val="21"/>
                      <w:highlight w:val="none"/>
                      <w14:textFill>
                        <w14:solidFill>
                          <w14:schemeClr w14:val="tx1"/>
                        </w14:solidFill>
                      </w14:textFill>
                    </w:rPr>
                    <w:t>（GB18483-2001）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中型</w:t>
                  </w:r>
                  <w:r>
                    <w:rPr>
                      <w:rFonts w:hint="default" w:ascii="Times New Roman" w:hAnsi="Times New Roman" w:eastAsia="宋体" w:cs="Times New Roman"/>
                      <w:color w:val="000000" w:themeColor="text1"/>
                      <w:sz w:val="21"/>
                      <w:szCs w:val="21"/>
                      <w:highlight w:val="none"/>
                      <w14:textFill>
                        <w14:solidFill>
                          <w14:schemeClr w14:val="tx1"/>
                        </w14:solidFill>
                      </w14:textFill>
                    </w:rPr>
                    <w:t>规模标准</w:t>
                  </w:r>
                </w:p>
              </w:tc>
            </w:tr>
            <w:tr w14:paraId="7E99A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4ACC1FC">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restart"/>
                  <w:noWrap w:val="0"/>
                  <w:vAlign w:val="center"/>
                </w:tcPr>
                <w:p w14:paraId="6494AC1A">
                  <w:pPr>
                    <w:adjustRightInd w:val="0"/>
                    <w:snapToGrid w:val="0"/>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无组织</w:t>
                  </w:r>
                </w:p>
              </w:tc>
              <w:tc>
                <w:tcPr>
                  <w:tcW w:w="879" w:type="pct"/>
                  <w:noWrap w:val="0"/>
                  <w:vAlign w:val="center"/>
                </w:tcPr>
                <w:p w14:paraId="4F73D20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颗粒物</w:t>
                  </w:r>
                </w:p>
              </w:tc>
              <w:tc>
                <w:tcPr>
                  <w:tcW w:w="1361" w:type="pct"/>
                  <w:noWrap w:val="0"/>
                  <w:vAlign w:val="center"/>
                </w:tcPr>
                <w:p w14:paraId="1959E00E">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未被收集的切割粉尘、焊接烟尘、抛光打磨粉尘于车间内无组织排放，并加强厂内通风</w:t>
                  </w:r>
                </w:p>
              </w:tc>
              <w:tc>
                <w:tcPr>
                  <w:tcW w:w="1538" w:type="pct"/>
                  <w:noWrap w:val="0"/>
                  <w:vAlign w:val="center"/>
                </w:tcPr>
                <w:p w14:paraId="3300F580">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广东省《大气污染物排放限值》（DB44/27-2001）第二时段无组织排放监控浓度限值</w:t>
                  </w:r>
                </w:p>
              </w:tc>
            </w:tr>
            <w:tr w14:paraId="2B91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D09DEC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3233C44C">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79" w:type="pct"/>
                  <w:noWrap w:val="0"/>
                  <w:vAlign w:val="center"/>
                </w:tcPr>
                <w:p w14:paraId="3993637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非甲烷总烃</w:t>
                  </w:r>
                </w:p>
              </w:tc>
              <w:tc>
                <w:tcPr>
                  <w:tcW w:w="1361" w:type="pct"/>
                  <w:noWrap w:val="0"/>
                  <w:vAlign w:val="center"/>
                </w:tcPr>
                <w:p w14:paraId="272F3E19">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加强收集</w:t>
                  </w:r>
                  <w:r>
                    <w:rPr>
                      <w:rFonts w:hint="eastAsia" w:cs="Times New Roman"/>
                      <w:color w:val="000000" w:themeColor="text1"/>
                      <w:kern w:val="2"/>
                      <w:sz w:val="21"/>
                      <w:szCs w:val="21"/>
                      <w:highlight w:val="none"/>
                      <w:lang w:val="en-US" w:eastAsia="zh-CN" w:bidi="ar-SA"/>
                      <w14:textFill>
                        <w14:solidFill>
                          <w14:schemeClr w14:val="tx1"/>
                        </w14:solidFill>
                      </w14:textFill>
                    </w:rPr>
                    <w:t>，或</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加强厂内通风</w:t>
                  </w:r>
                </w:p>
              </w:tc>
              <w:tc>
                <w:tcPr>
                  <w:tcW w:w="1538" w:type="pct"/>
                  <w:noWrap w:val="0"/>
                  <w:vAlign w:val="center"/>
                </w:tcPr>
                <w:p w14:paraId="70C63B94">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 w:val="21"/>
                      <w:szCs w:val="21"/>
                      <w14:textFill>
                        <w14:solidFill>
                          <w14:schemeClr w14:val="tx1"/>
                        </w14:solidFill>
                      </w14:textFill>
                    </w:rPr>
                    <w:t>广东省《固定污染源挥发性有机物综合排放标准》（DB44/2367-2022）中表3VOCs无组织排放限值</w:t>
                  </w:r>
                </w:p>
              </w:tc>
            </w:tr>
            <w:tr w14:paraId="6409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D817773">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28A892B7">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79" w:type="pct"/>
                  <w:noWrap w:val="0"/>
                  <w:vAlign w:val="center"/>
                </w:tcPr>
                <w:p w14:paraId="061F6C62">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苯系物</w:t>
                  </w:r>
                  <w:r>
                    <w:rPr>
                      <w:rFonts w:hint="eastAsia" w:cs="Times New Roman"/>
                      <w:color w:val="000000" w:themeColor="text1"/>
                      <w:kern w:val="2"/>
                      <w:sz w:val="21"/>
                      <w:szCs w:val="21"/>
                      <w:highlight w:val="none"/>
                      <w:lang w:val="en-US" w:eastAsia="zh-CN" w:bidi="ar-SA"/>
                      <w14:textFill>
                        <w14:solidFill>
                          <w14:schemeClr w14:val="tx1"/>
                        </w14:solidFill>
                      </w14:textFill>
                    </w:rPr>
                    <w:t>、氟化物</w:t>
                  </w:r>
                </w:p>
              </w:tc>
              <w:tc>
                <w:tcPr>
                  <w:tcW w:w="1361" w:type="pct"/>
                  <w:noWrap w:val="0"/>
                  <w:vAlign w:val="center"/>
                </w:tcPr>
                <w:p w14:paraId="7B6BAE67">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加强收集</w:t>
                  </w:r>
                  <w:r>
                    <w:rPr>
                      <w:rFonts w:hint="eastAsia" w:cs="Times New Roman"/>
                      <w:color w:val="000000" w:themeColor="text1"/>
                      <w:kern w:val="2"/>
                      <w:sz w:val="21"/>
                      <w:szCs w:val="21"/>
                      <w:highlight w:val="none"/>
                      <w:lang w:val="en-US" w:eastAsia="zh-CN" w:bidi="ar-SA"/>
                      <w14:textFill>
                        <w14:solidFill>
                          <w14:schemeClr w14:val="tx1"/>
                        </w14:solidFill>
                      </w14:textFill>
                    </w:rPr>
                    <w:t>，或</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加强厂内通风</w:t>
                  </w:r>
                </w:p>
              </w:tc>
              <w:tc>
                <w:tcPr>
                  <w:tcW w:w="1538" w:type="pct"/>
                  <w:noWrap w:val="0"/>
                  <w:vAlign w:val="center"/>
                </w:tcPr>
                <w:p w14:paraId="408D9242">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广东省《大气污染物排放限值》（DB44/27-2001）第二时段无组织排放监控浓度限值</w:t>
                  </w:r>
                </w:p>
              </w:tc>
            </w:tr>
            <w:tr w14:paraId="67CF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9C16873">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5FD4E6B7">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2CA8729C">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臭气浓度、硫化氢、氨气</w:t>
                  </w:r>
                </w:p>
              </w:tc>
              <w:tc>
                <w:tcPr>
                  <w:tcW w:w="1361" w:type="pct"/>
                  <w:noWrap w:val="0"/>
                  <w:vAlign w:val="center"/>
                </w:tcPr>
                <w:p w14:paraId="783E5031">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采取加盖密闭、加强通风</w:t>
                  </w:r>
                </w:p>
              </w:tc>
              <w:tc>
                <w:tcPr>
                  <w:tcW w:w="1538" w:type="pct"/>
                  <w:noWrap w:val="0"/>
                  <w:vAlign w:val="center"/>
                </w:tcPr>
                <w:p w14:paraId="0E0BFC53">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《恶臭污染物排放标准》(GB14554-93)表1二级标准中“新改扩建”限值要求</w:t>
                  </w:r>
                </w:p>
              </w:tc>
            </w:tr>
            <w:tr w14:paraId="1509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557B101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固废</w:t>
                  </w:r>
                </w:p>
              </w:tc>
              <w:tc>
                <w:tcPr>
                  <w:tcW w:w="914" w:type="pct"/>
                  <w:vMerge w:val="restart"/>
                  <w:noWrap w:val="0"/>
                  <w:vAlign w:val="center"/>
                </w:tcPr>
                <w:p w14:paraId="7603C4A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员工生活办公</w:t>
                  </w:r>
                </w:p>
              </w:tc>
              <w:tc>
                <w:tcPr>
                  <w:tcW w:w="879" w:type="pct"/>
                  <w:tcBorders>
                    <w:bottom w:val="single" w:color="000000" w:sz="4" w:space="0"/>
                  </w:tcBorders>
                  <w:noWrap w:val="0"/>
                  <w:vAlign w:val="center"/>
                </w:tcPr>
                <w:p w14:paraId="0953914E">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生活垃圾</w:t>
                  </w:r>
                </w:p>
              </w:tc>
              <w:tc>
                <w:tcPr>
                  <w:tcW w:w="1361" w:type="pct"/>
                  <w:tcBorders>
                    <w:bottom w:val="single" w:color="000000" w:sz="4" w:space="0"/>
                  </w:tcBorders>
                  <w:noWrap w:val="0"/>
                  <w:vAlign w:val="center"/>
                </w:tcPr>
                <w:p w14:paraId="606AE9BC">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环卫部门清运</w:t>
                  </w:r>
                </w:p>
              </w:tc>
              <w:tc>
                <w:tcPr>
                  <w:tcW w:w="1538" w:type="pct"/>
                  <w:vMerge w:val="restart"/>
                  <w:noWrap w:val="0"/>
                  <w:vAlign w:val="center"/>
                </w:tcPr>
                <w:p w14:paraId="23BB2BF8">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一般工业固体废物在厂内采用库房或包装工具贮存，贮存过程应满足相应防渗漏、防雨淋、防扬尘等环境保护要求；危险废物污染控制标准执行《危险废物贮存污染控制标准》（GB18597-2023）</w:t>
                  </w:r>
                </w:p>
              </w:tc>
            </w:tr>
            <w:tr w14:paraId="2142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D468F11">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14A5CB58">
                  <w:pPr>
                    <w:widowControl/>
                    <w:spacing w:line="240" w:lineRule="auto"/>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c>
                <w:tcPr>
                  <w:tcW w:w="879" w:type="pct"/>
                  <w:tcBorders>
                    <w:bottom w:val="single" w:color="000000" w:sz="4" w:space="0"/>
                  </w:tcBorders>
                  <w:noWrap w:val="0"/>
                  <w:vAlign w:val="center"/>
                </w:tcPr>
                <w:p w14:paraId="7F455540">
                  <w:pPr>
                    <w:widowControl/>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废油脂</w:t>
                  </w:r>
                </w:p>
              </w:tc>
              <w:tc>
                <w:tcPr>
                  <w:tcW w:w="1361" w:type="pct"/>
                  <w:tcBorders>
                    <w:bottom w:val="single" w:color="000000" w:sz="4" w:space="0"/>
                  </w:tcBorders>
                  <w:noWrap w:val="0"/>
                  <w:vAlign w:val="center"/>
                </w:tcPr>
                <w:p w14:paraId="31F5B563">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专业单位进行回收处置</w:t>
                  </w:r>
                </w:p>
              </w:tc>
              <w:tc>
                <w:tcPr>
                  <w:tcW w:w="1538" w:type="pct"/>
                  <w:vMerge w:val="continue"/>
                  <w:noWrap w:val="0"/>
                  <w:vAlign w:val="center"/>
                </w:tcPr>
                <w:p w14:paraId="32468338">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058C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0287C4E">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noWrap w:val="0"/>
                  <w:vAlign w:val="center"/>
                </w:tcPr>
                <w:p w14:paraId="7DE4FFF0">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钣金加工</w:t>
                  </w:r>
                </w:p>
              </w:tc>
              <w:tc>
                <w:tcPr>
                  <w:tcW w:w="879" w:type="pct"/>
                  <w:noWrap w:val="0"/>
                  <w:vAlign w:val="center"/>
                </w:tcPr>
                <w:p w14:paraId="0A48CF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边角料</w:t>
                  </w:r>
                </w:p>
              </w:tc>
              <w:tc>
                <w:tcPr>
                  <w:tcW w:w="1361" w:type="pct"/>
                  <w:vMerge w:val="restart"/>
                  <w:noWrap w:val="0"/>
                  <w:vAlign w:val="center"/>
                </w:tcPr>
                <w:p w14:paraId="5C91CE78">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交由资源回收利用单位</w:t>
                  </w:r>
                </w:p>
              </w:tc>
              <w:tc>
                <w:tcPr>
                  <w:tcW w:w="1538" w:type="pct"/>
                  <w:vMerge w:val="continue"/>
                  <w:noWrap w:val="0"/>
                  <w:vAlign w:val="center"/>
                </w:tcPr>
                <w:p w14:paraId="1E6116DA">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3DC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78CD056">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noWrap w:val="0"/>
                  <w:vAlign w:val="center"/>
                </w:tcPr>
                <w:p w14:paraId="53A918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辅料拆包/成品包装</w:t>
                  </w:r>
                </w:p>
              </w:tc>
              <w:tc>
                <w:tcPr>
                  <w:tcW w:w="879" w:type="pct"/>
                  <w:noWrap w:val="0"/>
                  <w:vAlign w:val="center"/>
                </w:tcPr>
                <w:p w14:paraId="7961FE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包装废料</w:t>
                  </w:r>
                </w:p>
              </w:tc>
              <w:tc>
                <w:tcPr>
                  <w:tcW w:w="1361" w:type="pct"/>
                  <w:vMerge w:val="continue"/>
                  <w:noWrap w:val="0"/>
                  <w:vAlign w:val="center"/>
                </w:tcPr>
                <w:p w14:paraId="5C514003">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164A5E13">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A68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11C40AC">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restart"/>
                  <w:noWrap w:val="0"/>
                  <w:vAlign w:val="center"/>
                </w:tcPr>
                <w:p w14:paraId="410A6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废气处理</w:t>
                  </w:r>
                </w:p>
              </w:tc>
              <w:tc>
                <w:tcPr>
                  <w:tcW w:w="879" w:type="pct"/>
                  <w:noWrap w:val="0"/>
                  <w:vAlign w:val="center"/>
                </w:tcPr>
                <w:p w14:paraId="4966F9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废滤芯、废催化剂</w:t>
                  </w:r>
                </w:p>
              </w:tc>
              <w:tc>
                <w:tcPr>
                  <w:tcW w:w="1361" w:type="pct"/>
                  <w:vMerge w:val="continue"/>
                  <w:noWrap w:val="0"/>
                  <w:vAlign w:val="center"/>
                </w:tcPr>
                <w:p w14:paraId="3A5243C5">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4C7492B6">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031E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7217387">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0BD50B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402C3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沉降金属粉尘</w:t>
                  </w:r>
                </w:p>
              </w:tc>
              <w:tc>
                <w:tcPr>
                  <w:tcW w:w="1361" w:type="pct"/>
                  <w:vMerge w:val="continue"/>
                  <w:noWrap w:val="0"/>
                  <w:vAlign w:val="center"/>
                </w:tcPr>
                <w:p w14:paraId="78CD491F">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116F7601">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D94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F0B7150">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restart"/>
                  <w:noWrap w:val="0"/>
                  <w:vAlign w:val="center"/>
                </w:tcPr>
                <w:p w14:paraId="594264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脱脂、水洗、无铬钝化</w:t>
                  </w:r>
                </w:p>
              </w:tc>
              <w:tc>
                <w:tcPr>
                  <w:tcW w:w="879" w:type="pct"/>
                  <w:noWrap w:val="0"/>
                  <w:vAlign w:val="center"/>
                </w:tcPr>
                <w:p w14:paraId="442E7B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废表面处理剂包装桶</w:t>
                  </w:r>
                </w:p>
              </w:tc>
              <w:tc>
                <w:tcPr>
                  <w:tcW w:w="1361" w:type="pct"/>
                  <w:vMerge w:val="restart"/>
                  <w:noWrap w:val="0"/>
                  <w:vAlign w:val="center"/>
                </w:tcPr>
                <w:p w14:paraId="4A3B11DB">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委托有资质的单位进行回收处理</w:t>
                  </w:r>
                </w:p>
              </w:tc>
              <w:tc>
                <w:tcPr>
                  <w:tcW w:w="1538" w:type="pct"/>
                  <w:vMerge w:val="continue"/>
                  <w:noWrap w:val="0"/>
                  <w:vAlign w:val="center"/>
                </w:tcPr>
                <w:p w14:paraId="5AD022F6">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3FA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2C45131">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331F5A34">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3650FD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预处理池泥渣及管道循环装置废物</w:t>
                  </w:r>
                </w:p>
              </w:tc>
              <w:tc>
                <w:tcPr>
                  <w:tcW w:w="1361" w:type="pct"/>
                  <w:vMerge w:val="continue"/>
                  <w:noWrap w:val="0"/>
                  <w:vAlign w:val="center"/>
                </w:tcPr>
                <w:p w14:paraId="70071919">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3FF2FBD1">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A64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D6BF05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52544A18">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01BBD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无铬钝化池废槽液</w:t>
                  </w:r>
                </w:p>
              </w:tc>
              <w:tc>
                <w:tcPr>
                  <w:tcW w:w="1361" w:type="pct"/>
                  <w:vMerge w:val="continue"/>
                  <w:noWrap w:val="0"/>
                  <w:vAlign w:val="center"/>
                </w:tcPr>
                <w:p w14:paraId="7E4A2E23">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08BC4D45">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D99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40DA70EA">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restart"/>
                  <w:noWrap w:val="0"/>
                  <w:vAlign w:val="center"/>
                </w:tcPr>
                <w:p w14:paraId="11380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废水处理设施</w:t>
                  </w:r>
                </w:p>
              </w:tc>
              <w:tc>
                <w:tcPr>
                  <w:tcW w:w="879" w:type="pct"/>
                  <w:noWrap w:val="0"/>
                  <w:vAlign w:val="center"/>
                </w:tcPr>
                <w:p w14:paraId="3D736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废水处理站污泥</w:t>
                  </w:r>
                </w:p>
              </w:tc>
              <w:tc>
                <w:tcPr>
                  <w:tcW w:w="1361" w:type="pct"/>
                  <w:vMerge w:val="continue"/>
                  <w:noWrap w:val="0"/>
                  <w:vAlign w:val="center"/>
                </w:tcPr>
                <w:p w14:paraId="2F7B7641">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3E43C2C3">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CEC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14DA66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2CD830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24CB2B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废pH调整剂包装桶</w:t>
                  </w:r>
                </w:p>
              </w:tc>
              <w:tc>
                <w:tcPr>
                  <w:tcW w:w="1361" w:type="pct"/>
                  <w:vMerge w:val="continue"/>
                  <w:noWrap w:val="0"/>
                  <w:vAlign w:val="center"/>
                </w:tcPr>
                <w:p w14:paraId="69867AF3">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7B508187">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ADD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30F03D2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noWrap w:val="0"/>
                  <w:vAlign w:val="center"/>
                </w:tcPr>
                <w:p w14:paraId="72FD1B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废气治理设施</w:t>
                  </w:r>
                </w:p>
              </w:tc>
              <w:tc>
                <w:tcPr>
                  <w:tcW w:w="879" w:type="pct"/>
                  <w:noWrap w:val="0"/>
                  <w:vAlign w:val="center"/>
                </w:tcPr>
                <w:p w14:paraId="5B4AD1C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废活性炭、废粉末涂料、废过滤棉、喷淋废液及沉渣、</w:t>
                  </w:r>
                  <w:r>
                    <w:rPr>
                      <w:rFonts w:hint="eastAsia" w:ascii="Times New Roman" w:hAnsi="Times New Roman" w:cs="Times New Roman"/>
                      <w:color w:val="000000" w:themeColor="text1"/>
                      <w:szCs w:val="21"/>
                      <w:lang w:val="en-US" w:eastAsia="zh-CN"/>
                      <w14:textFill>
                        <w14:solidFill>
                          <w14:schemeClr w14:val="tx1"/>
                        </w14:solidFill>
                      </w14:textFill>
                    </w:rPr>
                    <w:t>废静电喷粉滤芯</w:t>
                  </w:r>
                </w:p>
              </w:tc>
              <w:tc>
                <w:tcPr>
                  <w:tcW w:w="1361" w:type="pct"/>
                  <w:vMerge w:val="continue"/>
                  <w:noWrap w:val="0"/>
                  <w:vAlign w:val="center"/>
                </w:tcPr>
                <w:p w14:paraId="3BD472D8">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69D3C2A4">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66E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F243893">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restart"/>
                  <w:noWrap w:val="0"/>
                  <w:vAlign w:val="center"/>
                </w:tcPr>
                <w:p w14:paraId="4159D7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设备维护保养</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设备保养</w:t>
                  </w:r>
                </w:p>
              </w:tc>
              <w:tc>
                <w:tcPr>
                  <w:tcW w:w="879" w:type="pct"/>
                  <w:noWrap w:val="0"/>
                  <w:vAlign w:val="center"/>
                </w:tcPr>
                <w:p w14:paraId="44C84A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废机油桶</w:t>
                  </w:r>
                </w:p>
              </w:tc>
              <w:tc>
                <w:tcPr>
                  <w:tcW w:w="1361" w:type="pct"/>
                  <w:vMerge w:val="continue"/>
                  <w:noWrap w:val="0"/>
                  <w:vAlign w:val="center"/>
                </w:tcPr>
                <w:p w14:paraId="5A182CB2">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3D339DEA">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A0B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5316D5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59476DF8">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5E16D5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w:t>
                  </w:r>
                </w:p>
              </w:tc>
              <w:tc>
                <w:tcPr>
                  <w:tcW w:w="1361" w:type="pct"/>
                  <w:vMerge w:val="continue"/>
                  <w:noWrap w:val="0"/>
                  <w:vAlign w:val="center"/>
                </w:tcPr>
                <w:p w14:paraId="0A223845">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49DA73C9">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69D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A755D6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534B0B9D">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307501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喷枪清洗废液</w:t>
                  </w:r>
                </w:p>
              </w:tc>
              <w:tc>
                <w:tcPr>
                  <w:tcW w:w="1361" w:type="pct"/>
                  <w:vMerge w:val="continue"/>
                  <w:noWrap w:val="0"/>
                  <w:vAlign w:val="center"/>
                </w:tcPr>
                <w:p w14:paraId="30E49DF2">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51B95049">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2E5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AB037E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600827CB">
                  <w:pPr>
                    <w:widowControl/>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29AD3D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废含油抹布手套</w:t>
                  </w:r>
                </w:p>
              </w:tc>
              <w:tc>
                <w:tcPr>
                  <w:tcW w:w="1361" w:type="pct"/>
                  <w:vMerge w:val="continue"/>
                  <w:noWrap w:val="0"/>
                  <w:vAlign w:val="center"/>
                </w:tcPr>
                <w:p w14:paraId="3927D464">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11DD2EB1">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029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A7823E1">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restart"/>
                  <w:noWrap w:val="0"/>
                  <w:vAlign w:val="center"/>
                </w:tcPr>
                <w:p w14:paraId="35BD64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钣金成型</w:t>
                  </w:r>
                </w:p>
              </w:tc>
              <w:tc>
                <w:tcPr>
                  <w:tcW w:w="879" w:type="pct"/>
                  <w:noWrap w:val="0"/>
                  <w:vAlign w:val="center"/>
                </w:tcPr>
                <w:p w14:paraId="615FBC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废液压油桶</w:t>
                  </w:r>
                </w:p>
              </w:tc>
              <w:tc>
                <w:tcPr>
                  <w:tcW w:w="1361" w:type="pct"/>
                  <w:vMerge w:val="continue"/>
                  <w:noWrap w:val="0"/>
                  <w:vAlign w:val="center"/>
                </w:tcPr>
                <w:p w14:paraId="00124581">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153B209E">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E25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4EE82EB">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14" w:type="pct"/>
                  <w:vMerge w:val="continue"/>
                  <w:noWrap w:val="0"/>
                  <w:vAlign w:val="center"/>
                </w:tcPr>
                <w:p w14:paraId="027411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79" w:type="pct"/>
                  <w:noWrap w:val="0"/>
                  <w:vAlign w:val="center"/>
                </w:tcPr>
                <w:p w14:paraId="709A75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w:t>
                  </w:r>
                </w:p>
              </w:tc>
              <w:tc>
                <w:tcPr>
                  <w:tcW w:w="1361" w:type="pct"/>
                  <w:vMerge w:val="continue"/>
                  <w:noWrap w:val="0"/>
                  <w:vAlign w:val="center"/>
                </w:tcPr>
                <w:p w14:paraId="36B256EF">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38" w:type="pct"/>
                  <w:vMerge w:val="continue"/>
                  <w:noWrap w:val="0"/>
                  <w:vAlign w:val="center"/>
                </w:tcPr>
                <w:p w14:paraId="1D526530">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EDB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noWrap w:val="0"/>
                  <w:vAlign w:val="center"/>
                </w:tcPr>
                <w:p w14:paraId="15A4AB85">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噪声</w:t>
                  </w:r>
                </w:p>
              </w:tc>
              <w:tc>
                <w:tcPr>
                  <w:tcW w:w="1793" w:type="pct"/>
                  <w:gridSpan w:val="2"/>
                  <w:noWrap w:val="0"/>
                  <w:vAlign w:val="center"/>
                </w:tcPr>
                <w:p w14:paraId="68D0BA58">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设备运行噪声</w:t>
                  </w:r>
                </w:p>
              </w:tc>
              <w:tc>
                <w:tcPr>
                  <w:tcW w:w="1361" w:type="pct"/>
                  <w:noWrap w:val="0"/>
                  <w:vAlign w:val="center"/>
                </w:tcPr>
                <w:p w14:paraId="10F90326">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对必要设备采取减振、隔声等</w:t>
                  </w:r>
                </w:p>
              </w:tc>
              <w:tc>
                <w:tcPr>
                  <w:tcW w:w="1538" w:type="pct"/>
                  <w:noWrap w:val="0"/>
                  <w:vAlign w:val="center"/>
                </w:tcPr>
                <w:p w14:paraId="79276547">
                  <w:pPr>
                    <w:widowControl/>
                    <w:kinsoku/>
                    <w:autoSpaceDE/>
                    <w:autoSpaceDN/>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西、北厂界</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执行《工业企业厂界环境噪声排放标准》（GB12348-2008）3类</w:t>
                  </w:r>
                  <w:r>
                    <w:rPr>
                      <w:rFonts w:hint="eastAsia" w:cs="Times New Roman"/>
                      <w:color w:val="000000" w:themeColor="text1"/>
                      <w:sz w:val="21"/>
                      <w:szCs w:val="21"/>
                      <w:highlight w:val="none"/>
                      <w:lang w:val="en-US" w:eastAsia="zh-CN"/>
                      <w14:textFill>
                        <w14:solidFill>
                          <w14:schemeClr w14:val="tx1"/>
                        </w14:solidFill>
                      </w14:textFill>
                    </w:rPr>
                    <w:t>，东、南厂界执行</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eastAsia" w:cs="Times New Roman"/>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类标准</w:t>
                  </w:r>
                </w:p>
              </w:tc>
            </w:tr>
          </w:tbl>
          <w:p w14:paraId="643D2D72">
            <w:pPr>
              <w:pStyle w:val="76"/>
              <w:rPr>
                <w:rFonts w:hint="default" w:ascii="Times New Roman" w:hAnsi="Times New Roman" w:eastAsia="宋体" w:cs="Times New Roman"/>
                <w:color w:val="000000" w:themeColor="text1"/>
                <w:sz w:val="24"/>
                <w:highlight w:val="none"/>
                <w14:textFill>
                  <w14:solidFill>
                    <w14:schemeClr w14:val="tx1"/>
                  </w14:solidFill>
                </w14:textFill>
              </w:rPr>
            </w:pPr>
          </w:p>
        </w:tc>
      </w:tr>
    </w:tbl>
    <w:p w14:paraId="2C591158">
      <w:pPr>
        <w:pStyle w:val="76"/>
        <w:rPr>
          <w:rFonts w:hint="eastAsia"/>
          <w:color w:val="000000" w:themeColor="text1"/>
          <w:highlight w:val="none"/>
          <w14:textFill>
            <w14:solidFill>
              <w14:schemeClr w14:val="tx1"/>
            </w14:solidFill>
          </w14:textFill>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365DF2B">
      <w:pPr>
        <w:pStyle w:val="41"/>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36" w:name="_Toc30264"/>
      <w:bookmarkStart w:id="37" w:name="_Toc7803"/>
      <w:bookmarkStart w:id="38" w:name="_Toc5281"/>
      <w:bookmarkStart w:id="39" w:name="_Toc24765"/>
      <w:r>
        <w:rPr>
          <w:rFonts w:hint="eastAsia" w:ascii="黑体" w:hAnsi="黑体" w:eastAsia="黑体"/>
          <w:snapToGrid w:val="0"/>
          <w:color w:val="000000" w:themeColor="text1"/>
          <w:sz w:val="30"/>
          <w:szCs w:val="30"/>
          <w:highlight w:val="none"/>
          <w14:textFill>
            <w14:solidFill>
              <w14:schemeClr w14:val="tx1"/>
            </w14:solidFill>
          </w14:textFill>
        </w:rPr>
        <w:t>五、</w:t>
      </w:r>
      <w:bookmarkStart w:id="40" w:name="_Hlk54167917"/>
      <w:r>
        <w:rPr>
          <w:rFonts w:hint="eastAsia" w:ascii="黑体" w:hAnsi="黑体" w:eastAsia="黑体"/>
          <w:snapToGrid w:val="0"/>
          <w:color w:val="000000" w:themeColor="text1"/>
          <w:sz w:val="30"/>
          <w:szCs w:val="30"/>
          <w:highlight w:val="none"/>
          <w14:textFill>
            <w14:solidFill>
              <w14:schemeClr w14:val="tx1"/>
            </w14:solidFill>
          </w14:textFill>
        </w:rPr>
        <w:t>环境保护措施监督检查清单</w:t>
      </w:r>
      <w:bookmarkEnd w:id="36"/>
      <w:bookmarkEnd w:id="37"/>
      <w:bookmarkEnd w:id="38"/>
      <w:bookmarkEnd w:id="39"/>
      <w:bookmarkEnd w:id="40"/>
    </w:p>
    <w:tbl>
      <w:tblPr>
        <w:tblStyle w:val="4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487"/>
        <w:gridCol w:w="970"/>
        <w:gridCol w:w="1560"/>
        <w:gridCol w:w="2085"/>
        <w:gridCol w:w="2175"/>
      </w:tblGrid>
      <w:tr w14:paraId="60A4E5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tcBorders>
              <w:tl2br w:val="single" w:color="auto" w:sz="4" w:space="0"/>
            </w:tcBorders>
            <w:noWrap w:val="0"/>
            <w:vAlign w:val="top"/>
          </w:tcPr>
          <w:p w14:paraId="19772E38">
            <w:pPr>
              <w:adjustRightInd w:val="0"/>
              <w:snapToGrid w:val="0"/>
              <w:jc w:val="right"/>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内容</w:t>
            </w:r>
          </w:p>
          <w:p w14:paraId="529E41BC">
            <w:pPr>
              <w:adjustRightInd w:val="0"/>
              <w:snapToGrid w:val="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要素</w:t>
            </w:r>
          </w:p>
        </w:tc>
        <w:tc>
          <w:tcPr>
            <w:tcW w:w="1457" w:type="dxa"/>
            <w:gridSpan w:val="2"/>
            <w:noWrap w:val="0"/>
            <w:vAlign w:val="center"/>
          </w:tcPr>
          <w:p w14:paraId="6A2C3AC3">
            <w:pPr>
              <w:adjustRightInd w:val="0"/>
              <w:snapToGrid w:val="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排放口(编号、名称)/污染源</w:t>
            </w:r>
          </w:p>
        </w:tc>
        <w:tc>
          <w:tcPr>
            <w:tcW w:w="1560" w:type="dxa"/>
            <w:noWrap w:val="0"/>
            <w:vAlign w:val="center"/>
          </w:tcPr>
          <w:p w14:paraId="202639B6">
            <w:pPr>
              <w:adjustRightInd w:val="0"/>
              <w:snapToGrid w:val="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污染物项目</w:t>
            </w:r>
          </w:p>
        </w:tc>
        <w:tc>
          <w:tcPr>
            <w:tcW w:w="2085" w:type="dxa"/>
            <w:noWrap w:val="0"/>
            <w:vAlign w:val="center"/>
          </w:tcPr>
          <w:p w14:paraId="36078948">
            <w:pPr>
              <w:adjustRightInd w:val="0"/>
              <w:snapToGrid w:val="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环境保护措施</w:t>
            </w:r>
          </w:p>
        </w:tc>
        <w:tc>
          <w:tcPr>
            <w:tcW w:w="2175" w:type="dxa"/>
            <w:noWrap w:val="0"/>
            <w:vAlign w:val="center"/>
          </w:tcPr>
          <w:p w14:paraId="6FD8ED99">
            <w:pPr>
              <w:adjustRightInd w:val="0"/>
              <w:snapToGrid w:val="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执行标准</w:t>
            </w:r>
          </w:p>
        </w:tc>
      </w:tr>
      <w:tr w14:paraId="08E27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restart"/>
            <w:noWrap w:val="0"/>
            <w:vAlign w:val="center"/>
          </w:tcPr>
          <w:p w14:paraId="775485B6">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大气环境</w:t>
            </w:r>
          </w:p>
        </w:tc>
        <w:tc>
          <w:tcPr>
            <w:tcW w:w="1457" w:type="dxa"/>
            <w:gridSpan w:val="2"/>
            <w:vMerge w:val="restart"/>
            <w:shd w:val="clear" w:color="auto" w:fill="auto"/>
            <w:noWrap w:val="0"/>
            <w:vAlign w:val="center"/>
          </w:tcPr>
          <w:p w14:paraId="3BD5C675">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喷漆废气（</w:t>
            </w:r>
            <w:r>
              <w:rPr>
                <w:rFonts w:hint="eastAsia" w:cs="Times New Roman"/>
                <w:color w:val="000000" w:themeColor="text1"/>
                <w:sz w:val="21"/>
                <w:szCs w:val="21"/>
                <w:highlight w:val="none"/>
                <w:lang w:val="en-US" w:eastAsia="zh-CN"/>
                <w14:textFill>
                  <w14:solidFill>
                    <w14:schemeClr w14:val="tx1"/>
                  </w14:solidFill>
                </w14:textFill>
              </w:rPr>
              <w:t>DA001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560" w:type="dxa"/>
            <w:shd w:val="clear" w:color="auto" w:fill="auto"/>
            <w:noWrap w:val="0"/>
            <w:vAlign w:val="center"/>
          </w:tcPr>
          <w:p w14:paraId="0134FF30">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085" w:type="dxa"/>
            <w:vMerge w:val="restart"/>
            <w:shd w:val="clear" w:color="auto" w:fill="auto"/>
            <w:noWrap w:val="0"/>
            <w:vAlign w:val="center"/>
          </w:tcPr>
          <w:p w14:paraId="13C20419">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s="Times New Roman"/>
                <w:color w:val="000000" w:themeColor="text1"/>
                <w:sz w:val="21"/>
                <w:szCs w:val="21"/>
                <w:highlight w:val="none"/>
                <w:lang w:eastAsia="zh-CN"/>
                <w14:textFill>
                  <w14:solidFill>
                    <w14:schemeClr w14:val="tx1"/>
                  </w14:solidFill>
                </w14:textFill>
              </w:rPr>
              <w:t>活性炭吸脱附+催化燃烧+活性炭吸附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处理后，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引至15</w:t>
            </w:r>
            <w:r>
              <w:rPr>
                <w:rFonts w:hint="default" w:ascii="Times New Roman" w:hAnsi="Times New Roman" w:eastAsia="宋体" w:cs="Times New Roman"/>
                <w:color w:val="000000" w:themeColor="text1"/>
                <w:sz w:val="21"/>
                <w:szCs w:val="21"/>
                <w:highlight w:val="none"/>
                <w14:textFill>
                  <w14:solidFill>
                    <w14:schemeClr w14:val="tx1"/>
                  </w14:solidFill>
                </w14:textFill>
              </w:rPr>
              <w:t>m高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14:textFill>
                  <w14:solidFill>
                    <w14:schemeClr w14:val="tx1"/>
                  </w14:solidFill>
                </w14:textFill>
              </w:rPr>
              <w:t>排气筒（</w:t>
            </w:r>
            <w:r>
              <w:rPr>
                <w:rFonts w:hint="eastAsia" w:cs="Times New Roman"/>
                <w:color w:val="000000" w:themeColor="text1"/>
                <w:sz w:val="21"/>
                <w:szCs w:val="21"/>
                <w:highlight w:val="none"/>
                <w:lang w:eastAsia="zh-CN"/>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）排放</w:t>
            </w:r>
          </w:p>
        </w:tc>
        <w:tc>
          <w:tcPr>
            <w:tcW w:w="2175" w:type="dxa"/>
            <w:shd w:val="clear" w:color="auto" w:fill="auto"/>
            <w:noWrap w:val="0"/>
            <w:vAlign w:val="center"/>
          </w:tcPr>
          <w:p w14:paraId="68D61510">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广东省《大气污染物排放限值》（DB44/27-2001）第二时段</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排放限值</w:t>
            </w:r>
          </w:p>
        </w:tc>
      </w:tr>
      <w:tr w14:paraId="23E84E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523" w:type="dxa"/>
            <w:vMerge w:val="continue"/>
            <w:noWrap w:val="0"/>
            <w:vAlign w:val="center"/>
          </w:tcPr>
          <w:p w14:paraId="5913E1E6">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continue"/>
            <w:noWrap w:val="0"/>
            <w:vAlign w:val="center"/>
          </w:tcPr>
          <w:p w14:paraId="0AAD904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60" w:type="dxa"/>
            <w:shd w:val="clear" w:color="auto" w:fill="auto"/>
            <w:noWrap w:val="0"/>
            <w:vAlign w:val="center"/>
          </w:tcPr>
          <w:p w14:paraId="105E4721">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2085" w:type="dxa"/>
            <w:vMerge w:val="continue"/>
            <w:noWrap w:val="0"/>
            <w:vAlign w:val="center"/>
          </w:tcPr>
          <w:p w14:paraId="4D7DB3B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175" w:type="dxa"/>
            <w:vMerge w:val="restart"/>
            <w:shd w:val="clear" w:color="auto" w:fill="auto"/>
            <w:noWrap w:val="0"/>
            <w:vAlign w:val="center"/>
          </w:tcPr>
          <w:p w14:paraId="3969FB10">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广东省《固定污染源挥发性有机物综合排放标准》（DB44/2367-2022）表1挥发性有机物排放限值</w:t>
            </w:r>
          </w:p>
        </w:tc>
      </w:tr>
      <w:tr w14:paraId="66036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34DFD897">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continue"/>
            <w:noWrap w:val="0"/>
            <w:vAlign w:val="center"/>
          </w:tcPr>
          <w:p w14:paraId="6F6D18C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60" w:type="dxa"/>
            <w:shd w:val="clear" w:color="auto" w:fill="auto"/>
            <w:noWrap w:val="0"/>
            <w:vAlign w:val="center"/>
          </w:tcPr>
          <w:p w14:paraId="23C1DCE2">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苯系物</w:t>
            </w:r>
          </w:p>
        </w:tc>
        <w:tc>
          <w:tcPr>
            <w:tcW w:w="2085" w:type="dxa"/>
            <w:vMerge w:val="continue"/>
            <w:noWrap w:val="0"/>
            <w:vAlign w:val="center"/>
          </w:tcPr>
          <w:p w14:paraId="3123C2C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175" w:type="dxa"/>
            <w:vMerge w:val="continue"/>
            <w:noWrap w:val="0"/>
            <w:vAlign w:val="center"/>
          </w:tcPr>
          <w:p w14:paraId="73AF666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EC540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50B402D">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continue"/>
            <w:noWrap w:val="0"/>
            <w:vAlign w:val="center"/>
          </w:tcPr>
          <w:p w14:paraId="7698D20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60" w:type="dxa"/>
            <w:shd w:val="clear" w:color="auto" w:fill="auto"/>
            <w:noWrap w:val="0"/>
            <w:vAlign w:val="center"/>
          </w:tcPr>
          <w:p w14:paraId="77D0019F">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85" w:type="dxa"/>
            <w:vMerge w:val="continue"/>
            <w:noWrap w:val="0"/>
            <w:vAlign w:val="center"/>
          </w:tcPr>
          <w:p w14:paraId="1FAFBBC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175" w:type="dxa"/>
            <w:shd w:val="clear" w:color="auto" w:fill="auto"/>
            <w:noWrap w:val="0"/>
            <w:vAlign w:val="center"/>
          </w:tcPr>
          <w:p w14:paraId="322B1307">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《恶臭污染物排放标准》（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GB 14554-1993</w:t>
            </w:r>
            <w:r>
              <w:rPr>
                <w:rFonts w:hint="default" w:ascii="Times New Roman" w:hAnsi="Times New Roman" w:eastAsia="宋体" w:cs="Times New Roman"/>
                <w:color w:val="000000" w:themeColor="text1"/>
                <w:sz w:val="21"/>
                <w:szCs w:val="21"/>
                <w:highlight w:val="none"/>
                <w14:textFill>
                  <w14:solidFill>
                    <w14:schemeClr w14:val="tx1"/>
                  </w14:solidFill>
                </w14:textFill>
              </w:rPr>
              <w:t>）表2恶臭污染物排放标准及表1新扩改建二级厂界标准值</w:t>
            </w:r>
          </w:p>
        </w:tc>
      </w:tr>
      <w:tr w14:paraId="5BDC3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7F564F90">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restart"/>
            <w:noWrap w:val="0"/>
            <w:vAlign w:val="center"/>
          </w:tcPr>
          <w:p w14:paraId="5D73C43E">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固化废气（</w:t>
            </w:r>
            <w:r>
              <w:rPr>
                <w:rFonts w:hint="eastAsia" w:cs="Times New Roman"/>
                <w:color w:val="000000" w:themeColor="text1"/>
                <w:sz w:val="21"/>
                <w:szCs w:val="21"/>
                <w:highlight w:val="none"/>
                <w:lang w:val="en-US" w:eastAsia="zh-CN"/>
                <w14:textFill>
                  <w14:solidFill>
                    <w14:schemeClr w14:val="tx1"/>
                  </w14:solidFill>
                </w14:textFill>
              </w:rPr>
              <w:t>DA002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560" w:type="dxa"/>
            <w:noWrap w:val="0"/>
            <w:vAlign w:val="center"/>
          </w:tcPr>
          <w:p w14:paraId="2B503D7C">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r>
              <w:rPr>
                <w:rFonts w:hint="eastAsia" w:cs="Times New Roman"/>
                <w:color w:val="000000" w:themeColor="text1"/>
                <w:sz w:val="21"/>
                <w:szCs w:val="21"/>
                <w:highlight w:val="none"/>
                <w:lang w:val="en-US" w:eastAsia="zh-CN"/>
                <w14:textFill>
                  <w14:solidFill>
                    <w14:schemeClr w14:val="tx1"/>
                  </w14:solidFill>
                </w14:textFill>
              </w:rPr>
              <w:t>、苯系物</w:t>
            </w:r>
          </w:p>
        </w:tc>
        <w:tc>
          <w:tcPr>
            <w:tcW w:w="2085" w:type="dxa"/>
            <w:vMerge w:val="restart"/>
            <w:noWrap w:val="0"/>
            <w:vAlign w:val="center"/>
          </w:tcPr>
          <w:p w14:paraId="6BB013DF">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喷淋</w:t>
            </w:r>
            <w:r>
              <w:rPr>
                <w:rFonts w:hint="default" w:ascii="Times New Roman" w:hAnsi="Times New Roman" w:eastAsia="宋体" w:cs="Times New Roman"/>
                <w:color w:val="000000" w:themeColor="text1"/>
                <w:sz w:val="21"/>
                <w:szCs w:val="21"/>
                <w:highlight w:val="none"/>
                <w14:textFill>
                  <w14:solidFill>
                    <w14:schemeClr w14:val="tx1"/>
                  </w14:solidFill>
                </w14:textFill>
              </w:rPr>
              <w:t>+干式过滤器+</w:t>
            </w:r>
            <w:r>
              <w:rPr>
                <w:rFonts w:hint="eastAsia"/>
                <w:color w:val="000000" w:themeColor="text1"/>
                <w:lang w:val="en-US" w:eastAsia="zh-CN"/>
                <w14:textFill>
                  <w14:solidFill>
                    <w14:schemeClr w14:val="tx1"/>
                  </w14:solidFill>
                </w14:textFill>
              </w:rPr>
              <w:t>二级活性炭吸附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处理后，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引至15</w:t>
            </w:r>
            <w:r>
              <w:rPr>
                <w:rFonts w:hint="default" w:ascii="Times New Roman" w:hAnsi="Times New Roman" w:eastAsia="宋体" w:cs="Times New Roman"/>
                <w:color w:val="000000" w:themeColor="text1"/>
                <w:sz w:val="21"/>
                <w:szCs w:val="21"/>
                <w:highlight w:val="none"/>
                <w14:textFill>
                  <w14:solidFill>
                    <w14:schemeClr w14:val="tx1"/>
                  </w14:solidFill>
                </w14:textFill>
              </w:rPr>
              <w:t>m高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14:textFill>
                  <w14:solidFill>
                    <w14:schemeClr w14:val="tx1"/>
                  </w14:solidFill>
                </w14:textFill>
              </w:rPr>
              <w:t>排气筒（</w:t>
            </w:r>
            <w:r>
              <w:rPr>
                <w:rFonts w:hint="eastAsia" w:cs="Times New Roman"/>
                <w:color w:val="000000" w:themeColor="text1"/>
                <w:sz w:val="21"/>
                <w:szCs w:val="21"/>
                <w:highlight w:val="none"/>
                <w:lang w:eastAsia="zh-CN"/>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）排放</w:t>
            </w:r>
          </w:p>
        </w:tc>
        <w:tc>
          <w:tcPr>
            <w:tcW w:w="2175" w:type="dxa"/>
            <w:shd w:val="clear" w:color="auto" w:fill="auto"/>
            <w:noWrap w:val="0"/>
            <w:vAlign w:val="center"/>
          </w:tcPr>
          <w:p w14:paraId="0D7DBBB3">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广东省《固定污染源挥发性有机物综合排放标准》（DB44/2367-2022）表1挥发性有机物排放限值</w:t>
            </w:r>
          </w:p>
        </w:tc>
      </w:tr>
      <w:tr w14:paraId="19822D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051048F">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continue"/>
            <w:noWrap w:val="0"/>
            <w:vAlign w:val="center"/>
          </w:tcPr>
          <w:p w14:paraId="6C9C3254">
            <w:pPr>
              <w:adjustRightInd w:val="0"/>
              <w:snapToGrid w:val="0"/>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60" w:type="dxa"/>
            <w:noWrap w:val="0"/>
            <w:vAlign w:val="center"/>
          </w:tcPr>
          <w:p w14:paraId="60C6BFBD">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85" w:type="dxa"/>
            <w:vMerge w:val="continue"/>
            <w:noWrap w:val="0"/>
            <w:vAlign w:val="center"/>
          </w:tcPr>
          <w:p w14:paraId="6DAC66FD">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175" w:type="dxa"/>
            <w:shd w:val="clear" w:color="auto" w:fill="auto"/>
            <w:noWrap w:val="0"/>
            <w:vAlign w:val="center"/>
          </w:tcPr>
          <w:p w14:paraId="490BBF73">
            <w:pPr>
              <w:adjustRightInd w:val="0"/>
              <w:snapToGrid w:val="0"/>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《恶臭污染物排放标准》（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GB 14554-1993</w:t>
            </w:r>
            <w:r>
              <w:rPr>
                <w:rFonts w:hint="default" w:ascii="Times New Roman" w:hAnsi="Times New Roman" w:eastAsia="宋体" w:cs="Times New Roman"/>
                <w:color w:val="000000" w:themeColor="text1"/>
                <w:sz w:val="21"/>
                <w:szCs w:val="21"/>
                <w:highlight w:val="none"/>
                <w14:textFill>
                  <w14:solidFill>
                    <w14:schemeClr w14:val="tx1"/>
                  </w14:solidFill>
                </w14:textFill>
              </w:rPr>
              <w:t>）表2恶臭污染物排放标准</w:t>
            </w:r>
          </w:p>
        </w:tc>
      </w:tr>
      <w:tr w14:paraId="59C32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1DD907C2">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continue"/>
            <w:noWrap w:val="0"/>
            <w:vAlign w:val="center"/>
          </w:tcPr>
          <w:p w14:paraId="3549FFE6">
            <w:pPr>
              <w:adjustRightInd w:val="0"/>
              <w:snapToGrid w:val="0"/>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60" w:type="dxa"/>
            <w:noWrap w:val="0"/>
            <w:vAlign w:val="center"/>
          </w:tcPr>
          <w:p w14:paraId="153CC427">
            <w:pPr>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颗粒物</w:t>
            </w:r>
          </w:p>
        </w:tc>
        <w:tc>
          <w:tcPr>
            <w:tcW w:w="2085" w:type="dxa"/>
            <w:vMerge w:val="continue"/>
            <w:noWrap w:val="0"/>
            <w:vAlign w:val="center"/>
          </w:tcPr>
          <w:p w14:paraId="31C0C3BA">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175" w:type="dxa"/>
            <w:vMerge w:val="restart"/>
            <w:shd w:val="clear" w:color="auto" w:fill="auto"/>
            <w:noWrap w:val="0"/>
            <w:vAlign w:val="center"/>
          </w:tcPr>
          <w:p w14:paraId="03D93AE2">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广东省《大气污染物排放限值》（DB44/27-2001）第二时段二级标准与《关于印发&lt;工业炉窑大气污染综合治理方案&gt;的通知》（环大气〔2019〕56号）和《关于贯彻落实&lt;工业炉窑大气污染物综合治理方案&gt;的实施意见》（粤环函〔2019〕1112号）中颗粒物、二氧化硫、氮氧化物排放限值较严值</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烟气黑度执行《工业炉窑大气污染物排放标准》（GB 9078-1996）</w:t>
            </w:r>
          </w:p>
        </w:tc>
      </w:tr>
      <w:tr w14:paraId="4AB8D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0D0E476">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continue"/>
            <w:noWrap w:val="0"/>
            <w:vAlign w:val="center"/>
          </w:tcPr>
          <w:p w14:paraId="437BCD13">
            <w:pPr>
              <w:adjustRightInd w:val="0"/>
              <w:snapToGrid w:val="0"/>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560" w:type="dxa"/>
            <w:noWrap w:val="0"/>
            <w:vAlign w:val="center"/>
          </w:tcPr>
          <w:p w14:paraId="5FF1409F">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氮氧化物、二氧化硫</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烟气黑度</w:t>
            </w:r>
          </w:p>
        </w:tc>
        <w:tc>
          <w:tcPr>
            <w:tcW w:w="2085" w:type="dxa"/>
            <w:vMerge w:val="continue"/>
            <w:noWrap w:val="0"/>
            <w:vAlign w:val="center"/>
          </w:tcPr>
          <w:p w14:paraId="63275458">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175" w:type="dxa"/>
            <w:vMerge w:val="continue"/>
            <w:noWrap w:val="0"/>
            <w:vAlign w:val="center"/>
          </w:tcPr>
          <w:p w14:paraId="47C23391">
            <w:pPr>
              <w:adjustRightInd w:val="0"/>
              <w:snapToGrid w:val="0"/>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724FF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5728363">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noWrap w:val="0"/>
            <w:vAlign w:val="center"/>
          </w:tcPr>
          <w:p w14:paraId="2E2504B0">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职工生活</w:t>
            </w:r>
          </w:p>
        </w:tc>
        <w:tc>
          <w:tcPr>
            <w:tcW w:w="1560" w:type="dxa"/>
            <w:noWrap w:val="0"/>
            <w:vAlign w:val="center"/>
          </w:tcPr>
          <w:p w14:paraId="4FC1C6E9">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食堂油烟</w:t>
            </w:r>
          </w:p>
        </w:tc>
        <w:tc>
          <w:tcPr>
            <w:tcW w:w="2085" w:type="dxa"/>
            <w:noWrap w:val="0"/>
            <w:vAlign w:val="center"/>
          </w:tcPr>
          <w:p w14:paraId="64217E16">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经收集后引至高效静电油烟净化器处理，处理达标后尾气引至</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宿舍楼一层楼顶</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排放（</w:t>
            </w:r>
            <w:r>
              <w:rPr>
                <w:rFonts w:hint="eastAsia" w:cs="Times New Roman"/>
                <w:color w:val="000000" w:themeColor="text1"/>
                <w:sz w:val="21"/>
                <w:szCs w:val="21"/>
                <w:highlight w:val="none"/>
                <w:lang w:eastAsia="zh-CN"/>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2175" w:type="dxa"/>
            <w:noWrap w:val="0"/>
            <w:vAlign w:val="center"/>
          </w:tcPr>
          <w:p w14:paraId="2D2E75F9">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达到《饮食业油烟排放标准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（试行）》</w:t>
            </w:r>
            <w:r>
              <w:rPr>
                <w:rFonts w:hint="default" w:ascii="Times New Roman" w:hAnsi="Times New Roman" w:eastAsia="宋体" w:cs="Times New Roman"/>
                <w:color w:val="000000" w:themeColor="text1"/>
                <w:sz w:val="21"/>
                <w:szCs w:val="21"/>
                <w:highlight w:val="none"/>
                <w14:textFill>
                  <w14:solidFill>
                    <w14:schemeClr w14:val="tx1"/>
                  </w14:solidFill>
                </w14:textFill>
              </w:rPr>
              <w:t>（GB18483-2001）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中型</w:t>
            </w:r>
            <w:r>
              <w:rPr>
                <w:rFonts w:hint="default" w:ascii="Times New Roman" w:hAnsi="Times New Roman" w:eastAsia="宋体" w:cs="Times New Roman"/>
                <w:color w:val="000000" w:themeColor="text1"/>
                <w:sz w:val="21"/>
                <w:szCs w:val="21"/>
                <w:highlight w:val="none"/>
                <w14:textFill>
                  <w14:solidFill>
                    <w14:schemeClr w14:val="tx1"/>
                  </w14:solidFill>
                </w14:textFill>
              </w:rPr>
              <w:t>规模标准</w:t>
            </w:r>
          </w:p>
        </w:tc>
      </w:tr>
      <w:tr w14:paraId="6CD149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354CE45F">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restart"/>
            <w:noWrap w:val="0"/>
            <w:vAlign w:val="center"/>
          </w:tcPr>
          <w:p w14:paraId="748A122E">
            <w:pPr>
              <w:adjustRightInd w:val="0"/>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厂界</w:t>
            </w:r>
          </w:p>
        </w:tc>
        <w:tc>
          <w:tcPr>
            <w:tcW w:w="1560" w:type="dxa"/>
            <w:noWrap w:val="0"/>
            <w:vAlign w:val="center"/>
          </w:tcPr>
          <w:p w14:paraId="2B4E818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颗粒物</w:t>
            </w:r>
          </w:p>
        </w:tc>
        <w:tc>
          <w:tcPr>
            <w:tcW w:w="2085" w:type="dxa"/>
            <w:noWrap w:val="0"/>
            <w:vAlign w:val="center"/>
          </w:tcPr>
          <w:p w14:paraId="5E9CA07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b w:val="0"/>
                <w:color w:val="000000" w:themeColor="text1"/>
                <w:szCs w:val="24"/>
                <w:lang w:val="en-US" w:eastAsia="zh-CN"/>
                <w14:textFill>
                  <w14:solidFill>
                    <w14:schemeClr w14:val="tx1"/>
                  </w14:solidFill>
                </w14:textFill>
              </w:rPr>
              <w:t>喷粉线粉尘经“</w:t>
            </w:r>
            <w:r>
              <w:rPr>
                <w:b w:val="0"/>
                <w:color w:val="000000" w:themeColor="text1"/>
                <w:szCs w:val="24"/>
                <w14:textFill>
                  <w14:solidFill>
                    <w14:schemeClr w14:val="tx1"/>
                  </w14:solidFill>
                </w14:textFill>
              </w:rPr>
              <w:t>密闭车间负压收集+大旋风+滤芯式二级回收系统</w:t>
            </w:r>
            <w:r>
              <w:rPr>
                <w:rFonts w:hint="eastAsia"/>
                <w:b w:val="0"/>
                <w:color w:val="000000" w:themeColor="text1"/>
                <w:szCs w:val="24"/>
                <w:lang w:eastAsia="zh-CN"/>
                <w14:textFill>
                  <w14:solidFill>
                    <w14:schemeClr w14:val="tx1"/>
                  </w14:solidFill>
                </w14:textFill>
              </w:rPr>
              <w:t>”</w:t>
            </w:r>
            <w:r>
              <w:rPr>
                <w:rFonts w:hint="eastAsia"/>
                <w:b w:val="0"/>
                <w:color w:val="000000" w:themeColor="text1"/>
                <w:szCs w:val="24"/>
                <w:lang w:val="en-US" w:eastAsia="zh-CN"/>
                <w14:textFill>
                  <w14:solidFill>
                    <w14:schemeClr w14:val="tx1"/>
                  </w14:solidFill>
                </w14:textFill>
              </w:rPr>
              <w:t>处理后无组织排放</w:t>
            </w:r>
            <w:r>
              <w:rPr>
                <w:rFonts w:hint="eastAsia"/>
                <w:b w:val="0"/>
                <w:color w:val="000000" w:themeColor="text1"/>
                <w:szCs w:val="24"/>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未被收集的切割</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粉尘、</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焊接烟尘</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抛光打磨粉尘于车间内无组织排放，并加强厂内通风</w:t>
            </w:r>
          </w:p>
        </w:tc>
        <w:tc>
          <w:tcPr>
            <w:tcW w:w="2175" w:type="dxa"/>
            <w:noWrap w:val="0"/>
            <w:vAlign w:val="center"/>
          </w:tcPr>
          <w:p w14:paraId="3C43936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广东省《大气污染物排放限值》（DB44/27-2001）第二时段无组织排放监控浓度限值</w:t>
            </w:r>
          </w:p>
        </w:tc>
      </w:tr>
      <w:tr w14:paraId="6A0759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9197A49">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continue"/>
            <w:noWrap w:val="0"/>
            <w:vAlign w:val="center"/>
          </w:tcPr>
          <w:p w14:paraId="32A2D5E8">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560" w:type="dxa"/>
            <w:noWrap w:val="0"/>
            <w:vAlign w:val="center"/>
          </w:tcPr>
          <w:p w14:paraId="6BFC495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非甲烷总烃、苯系物、氟化物</w:t>
            </w:r>
          </w:p>
        </w:tc>
        <w:tc>
          <w:tcPr>
            <w:tcW w:w="2085" w:type="dxa"/>
            <w:noWrap w:val="0"/>
            <w:vAlign w:val="center"/>
          </w:tcPr>
          <w:p w14:paraId="1CDFA72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加强收集</w:t>
            </w:r>
            <w:r>
              <w:rPr>
                <w:rFonts w:hint="eastAsia" w:cs="Times New Roman"/>
                <w:color w:val="000000" w:themeColor="text1"/>
                <w:kern w:val="2"/>
                <w:sz w:val="21"/>
                <w:szCs w:val="21"/>
                <w:highlight w:val="none"/>
                <w:lang w:val="en-US" w:eastAsia="zh-CN" w:bidi="ar-SA"/>
                <w14:textFill>
                  <w14:solidFill>
                    <w14:schemeClr w14:val="tx1"/>
                  </w14:solidFill>
                </w14:textFill>
              </w:rPr>
              <w:t>，或</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加强厂内通风</w:t>
            </w:r>
          </w:p>
        </w:tc>
        <w:tc>
          <w:tcPr>
            <w:tcW w:w="2175" w:type="dxa"/>
            <w:noWrap w:val="0"/>
            <w:vAlign w:val="center"/>
          </w:tcPr>
          <w:p w14:paraId="218E7DD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广东省《大气污染物排放限值》（DB44/27-2001）第二时段无组织排放监控浓度限值</w:t>
            </w:r>
          </w:p>
        </w:tc>
      </w:tr>
      <w:tr w14:paraId="4D946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3BF1C2FE">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vMerge w:val="continue"/>
            <w:noWrap w:val="0"/>
            <w:vAlign w:val="center"/>
          </w:tcPr>
          <w:p w14:paraId="15019A8F">
            <w:pPr>
              <w:adjustRightInd w:val="0"/>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560" w:type="dxa"/>
            <w:noWrap w:val="0"/>
            <w:vAlign w:val="center"/>
          </w:tcPr>
          <w:p w14:paraId="3F80B1F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臭气浓度、硫化氢、氨气</w:t>
            </w:r>
          </w:p>
        </w:tc>
        <w:tc>
          <w:tcPr>
            <w:tcW w:w="2085" w:type="dxa"/>
            <w:noWrap w:val="0"/>
            <w:vAlign w:val="center"/>
          </w:tcPr>
          <w:p w14:paraId="5A1FAD1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采取加盖密闭、加强通风</w:t>
            </w:r>
          </w:p>
        </w:tc>
        <w:tc>
          <w:tcPr>
            <w:tcW w:w="2175" w:type="dxa"/>
            <w:noWrap w:val="0"/>
            <w:vAlign w:val="center"/>
          </w:tcPr>
          <w:p w14:paraId="6CD81BB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《恶臭污染物排放标准》(GB14554-93)表1二级标准中“新改扩建”限值要求</w:t>
            </w:r>
          </w:p>
        </w:tc>
      </w:tr>
      <w:tr w14:paraId="0D588D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9380422">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noWrap w:val="0"/>
            <w:vAlign w:val="center"/>
          </w:tcPr>
          <w:p w14:paraId="628FF73F">
            <w:pPr>
              <w:adjustRightInd w:val="0"/>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厂区内</w:t>
            </w:r>
          </w:p>
        </w:tc>
        <w:tc>
          <w:tcPr>
            <w:tcW w:w="1560" w:type="dxa"/>
            <w:noWrap w:val="0"/>
            <w:vAlign w:val="center"/>
          </w:tcPr>
          <w:p w14:paraId="63CAB3F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NMHC</w:t>
            </w:r>
          </w:p>
        </w:tc>
        <w:tc>
          <w:tcPr>
            <w:tcW w:w="2085" w:type="dxa"/>
            <w:noWrap w:val="0"/>
            <w:vAlign w:val="center"/>
          </w:tcPr>
          <w:p w14:paraId="56F641B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加强收集</w:t>
            </w:r>
          </w:p>
        </w:tc>
        <w:tc>
          <w:tcPr>
            <w:tcW w:w="2175" w:type="dxa"/>
            <w:noWrap w:val="0"/>
            <w:vAlign w:val="center"/>
          </w:tcPr>
          <w:p w14:paraId="2503B38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《固定污染源挥发性有机物综合排放标准》（DB44/2367-2022）表3厂区内VOCs 无组织排放限值要求</w:t>
            </w:r>
          </w:p>
        </w:tc>
      </w:tr>
      <w:tr w14:paraId="45886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1523" w:type="dxa"/>
            <w:vMerge w:val="restart"/>
            <w:noWrap w:val="0"/>
            <w:vAlign w:val="center"/>
          </w:tcPr>
          <w:p w14:paraId="6F9579E3">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地表水环境</w:t>
            </w:r>
          </w:p>
        </w:tc>
        <w:tc>
          <w:tcPr>
            <w:tcW w:w="1457" w:type="dxa"/>
            <w:gridSpan w:val="2"/>
            <w:noWrap w:val="0"/>
            <w:vAlign w:val="center"/>
          </w:tcPr>
          <w:p w14:paraId="1FAD6AD2">
            <w:pPr>
              <w:adjustRightInd w:val="0"/>
              <w:snapToGrid w:val="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DW001生活污水排放口</w:t>
            </w:r>
          </w:p>
        </w:tc>
        <w:tc>
          <w:tcPr>
            <w:tcW w:w="1560" w:type="dxa"/>
            <w:noWrap w:val="0"/>
            <w:vAlign w:val="center"/>
          </w:tcPr>
          <w:p w14:paraId="06BFC93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pH、COD</w:t>
            </w:r>
            <w:r>
              <w:rPr>
                <w:rFonts w:hint="default" w:ascii="Times New Roman" w:hAnsi="Times New Roman" w:eastAsia="宋体" w:cs="Times New Roman"/>
                <w:color w:val="000000" w:themeColor="text1"/>
                <w:kern w:val="2"/>
                <w:sz w:val="21"/>
                <w:szCs w:val="21"/>
                <w:highlight w:val="none"/>
                <w:vertAlign w:val="subscript"/>
                <w14:textFill>
                  <w14:solidFill>
                    <w14:schemeClr w14:val="tx1"/>
                  </w14:solidFill>
                </w14:textFill>
              </w:rPr>
              <w:t>Cr</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、BOD</w:t>
            </w:r>
            <w:r>
              <w:rPr>
                <w:rFonts w:hint="default" w:ascii="Times New Roman" w:hAnsi="Times New Roman" w:eastAsia="宋体" w:cs="Times New Roman"/>
                <w:color w:val="000000" w:themeColor="text1"/>
                <w:kern w:val="2"/>
                <w:sz w:val="21"/>
                <w:szCs w:val="21"/>
                <w:highlight w:val="none"/>
                <w:vertAlign w:val="subscript"/>
                <w14:textFill>
                  <w14:solidFill>
                    <w14:schemeClr w14:val="tx1"/>
                  </w14:solidFill>
                </w14:textFill>
              </w:rPr>
              <w:t>5</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、SS、氨氮</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总磷、动植物油</w:t>
            </w:r>
          </w:p>
        </w:tc>
        <w:tc>
          <w:tcPr>
            <w:tcW w:w="2085" w:type="dxa"/>
            <w:noWrap w:val="0"/>
            <w:vAlign w:val="center"/>
          </w:tcPr>
          <w:p w14:paraId="6469FF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生活污水经三级化粪池</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+隔油隔渣池</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处理后，经园区污水管网排入园区污水处理厂进一步处理后，排入武江</w:t>
            </w:r>
          </w:p>
        </w:tc>
        <w:tc>
          <w:tcPr>
            <w:tcW w:w="2175" w:type="dxa"/>
            <w:noWrap w:val="0"/>
            <w:vAlign w:val="center"/>
          </w:tcPr>
          <w:p w14:paraId="08EEE1A4">
            <w:pPr>
              <w:pStyle w:val="20"/>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广东省《水污染物排放限值》（DB44/26-2001）第二时段三级标准及园区污水处理厂接管水质要求两者较严值要求</w:t>
            </w:r>
          </w:p>
        </w:tc>
      </w:tr>
      <w:tr w14:paraId="081BA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523" w:type="dxa"/>
            <w:vMerge w:val="continue"/>
            <w:noWrap w:val="0"/>
            <w:vAlign w:val="center"/>
          </w:tcPr>
          <w:p w14:paraId="0F898EC2">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57" w:type="dxa"/>
            <w:gridSpan w:val="2"/>
            <w:noWrap w:val="0"/>
            <w:vAlign w:val="center"/>
          </w:tcPr>
          <w:p w14:paraId="239377F7">
            <w:pPr>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DW002生产废水排放口</w:t>
            </w:r>
          </w:p>
        </w:tc>
        <w:tc>
          <w:tcPr>
            <w:tcW w:w="1560" w:type="dxa"/>
            <w:noWrap w:val="0"/>
            <w:vAlign w:val="center"/>
          </w:tcPr>
          <w:p w14:paraId="248F0CF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pH、COD</w:t>
            </w:r>
            <w:r>
              <w:rPr>
                <w:rFonts w:hint="default" w:ascii="Times New Roman" w:hAnsi="Times New Roman" w:eastAsia="宋体" w:cs="Times New Roman"/>
                <w:color w:val="000000" w:themeColor="text1"/>
                <w:kern w:val="2"/>
                <w:sz w:val="21"/>
                <w:szCs w:val="21"/>
                <w:highlight w:val="none"/>
                <w:vertAlign w:val="subscript"/>
                <w14:textFill>
                  <w14:solidFill>
                    <w14:schemeClr w14:val="tx1"/>
                  </w14:solidFill>
                </w14:textFill>
              </w:rPr>
              <w:t>Cr</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BOD</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SS、石油类、阴离子表面活性剂、氟化物</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、总铝、TP、TN</w:t>
            </w:r>
          </w:p>
        </w:tc>
        <w:tc>
          <w:tcPr>
            <w:tcW w:w="2085" w:type="dxa"/>
            <w:noWrap w:val="0"/>
            <w:vAlign w:val="center"/>
          </w:tcPr>
          <w:p w14:paraId="7B10A3D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生产</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废水经企业自建污水处理站处理后，经园区污水管网排入园区污水处理厂进一步处理后，排入武江</w:t>
            </w:r>
          </w:p>
        </w:tc>
        <w:tc>
          <w:tcPr>
            <w:tcW w:w="2175" w:type="dxa"/>
            <w:noWrap w:val="0"/>
            <w:vAlign w:val="center"/>
          </w:tcPr>
          <w:p w14:paraId="3B695BFC">
            <w:pPr>
              <w:pStyle w:val="20"/>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园区污水处理厂接管水质要求、广东省《水污染物排放限值》（</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DB44/26-2001</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）第二时段三级标准以及《电镀水污染物排放标准》（</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DB44/1597-2015</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表1现有项目水污染物非珠三角排放限值200%（其中总铝按表2新建项目水污染物排放限值-非珠三角地区执行）</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三者较严值要求</w:t>
            </w:r>
          </w:p>
        </w:tc>
      </w:tr>
      <w:tr w14:paraId="7F2178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2E262444">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声环境</w:t>
            </w:r>
          </w:p>
        </w:tc>
        <w:tc>
          <w:tcPr>
            <w:tcW w:w="487" w:type="dxa"/>
            <w:tcBorders>
              <w:right w:val="single" w:color="000000" w:sz="4" w:space="0"/>
            </w:tcBorders>
            <w:noWrap w:val="0"/>
            <w:vAlign w:val="center"/>
          </w:tcPr>
          <w:p w14:paraId="0C254289">
            <w:pPr>
              <w:adjustRightInd w:val="0"/>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营运期</w:t>
            </w:r>
          </w:p>
        </w:tc>
        <w:tc>
          <w:tcPr>
            <w:tcW w:w="970" w:type="dxa"/>
            <w:tcBorders>
              <w:left w:val="single" w:color="000000" w:sz="4" w:space="0"/>
            </w:tcBorders>
            <w:noWrap w:val="0"/>
            <w:vAlign w:val="center"/>
          </w:tcPr>
          <w:p w14:paraId="21E81779">
            <w:pPr>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生产设备</w:t>
            </w:r>
          </w:p>
        </w:tc>
        <w:tc>
          <w:tcPr>
            <w:tcW w:w="1560" w:type="dxa"/>
            <w:noWrap w:val="0"/>
            <w:vAlign w:val="center"/>
          </w:tcPr>
          <w:p w14:paraId="3E517BC8">
            <w:pPr>
              <w:spacing w:line="36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2085" w:type="dxa"/>
            <w:noWrap w:val="0"/>
            <w:vAlign w:val="center"/>
          </w:tcPr>
          <w:p w14:paraId="6CF3924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选用低噪声设备，并采取隔声、减振、消声等降噪措施</w:t>
            </w:r>
          </w:p>
        </w:tc>
        <w:tc>
          <w:tcPr>
            <w:tcW w:w="2175" w:type="dxa"/>
            <w:noWrap w:val="0"/>
            <w:vAlign w:val="center"/>
          </w:tcPr>
          <w:p w14:paraId="40588A5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厂界西、北执行</w:t>
            </w:r>
            <w:r>
              <w:rPr>
                <w:rFonts w:hint="default" w:ascii="Times New Roman" w:hAnsi="Times New Roman" w:eastAsia="宋体" w:cs="Times New Roman"/>
                <w:color w:val="000000" w:themeColor="text1"/>
                <w:sz w:val="21"/>
                <w:szCs w:val="21"/>
                <w:highlight w:val="none"/>
                <w14:textFill>
                  <w14:solidFill>
                    <w14:schemeClr w14:val="tx1"/>
                  </w14:solidFill>
                </w14:textFill>
              </w:rPr>
              <w:t>《工业企业厂界环境噪声排放标准》（GB 12348-2008）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类</w:t>
            </w:r>
            <w:r>
              <w:rPr>
                <w:rFonts w:hint="eastAsia" w:cs="Times New Roman"/>
                <w:color w:val="000000" w:themeColor="text1"/>
                <w:sz w:val="21"/>
                <w:szCs w:val="21"/>
                <w:highlight w:val="none"/>
                <w:lang w:val="en-US" w:eastAsia="zh-CN"/>
                <w14:textFill>
                  <w14:solidFill>
                    <w14:schemeClr w14:val="tx1"/>
                  </w14:solidFill>
                </w14:textFill>
              </w:rPr>
              <w:t>，东、南厂界执行</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eastAsia" w:cs="Times New Roman"/>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类</w:t>
            </w:r>
            <w:r>
              <w:rPr>
                <w:rFonts w:hint="default" w:ascii="Times New Roman" w:hAnsi="Times New Roman" w:eastAsia="宋体" w:cs="Times New Roman"/>
                <w:color w:val="000000" w:themeColor="text1"/>
                <w:sz w:val="21"/>
                <w:szCs w:val="21"/>
                <w:highlight w:val="none"/>
                <w14:textFill>
                  <w14:solidFill>
                    <w14:schemeClr w14:val="tx1"/>
                  </w14:solidFill>
                </w14:textFill>
              </w:rPr>
              <w:t>标准</w:t>
            </w:r>
          </w:p>
        </w:tc>
      </w:tr>
      <w:tr w14:paraId="0E0BCB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523" w:type="dxa"/>
            <w:noWrap w:val="0"/>
            <w:vAlign w:val="center"/>
          </w:tcPr>
          <w:p w14:paraId="521BD5C5">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电磁辐射</w:t>
            </w:r>
          </w:p>
        </w:tc>
        <w:tc>
          <w:tcPr>
            <w:tcW w:w="1457" w:type="dxa"/>
            <w:gridSpan w:val="2"/>
            <w:noWrap w:val="0"/>
            <w:vAlign w:val="center"/>
          </w:tcPr>
          <w:p w14:paraId="669A62D1">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560" w:type="dxa"/>
            <w:noWrap w:val="0"/>
            <w:vAlign w:val="center"/>
          </w:tcPr>
          <w:p w14:paraId="3E2BE855">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2085" w:type="dxa"/>
            <w:noWrap w:val="0"/>
            <w:vAlign w:val="center"/>
          </w:tcPr>
          <w:p w14:paraId="14E7B232">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2175" w:type="dxa"/>
            <w:noWrap w:val="0"/>
            <w:vAlign w:val="center"/>
          </w:tcPr>
          <w:p w14:paraId="1092772C">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r w14:paraId="367F3D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41B50FD4">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固体废物</w:t>
            </w:r>
          </w:p>
        </w:tc>
        <w:tc>
          <w:tcPr>
            <w:tcW w:w="7277" w:type="dxa"/>
            <w:gridSpan w:val="5"/>
            <w:noWrap w:val="0"/>
            <w:vAlign w:val="center"/>
          </w:tcPr>
          <w:p w14:paraId="40CEE5F6">
            <w:pPr>
              <w:pStyle w:val="39"/>
              <w:keepNext w:val="0"/>
              <w:keepLines w:val="0"/>
              <w:pageBreakBefore w:val="0"/>
              <w:widowControl w:val="0"/>
              <w:kinsoku/>
              <w:wordWrap/>
              <w:overflowPunct/>
              <w:topLinePunct w:val="0"/>
              <w:autoSpaceDE/>
              <w:autoSpaceDN/>
              <w:bidi w:val="0"/>
              <w:adjustRightInd/>
              <w:snapToGrid/>
              <w:spacing w:after="0" w:line="12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p w14:paraId="7DD20B06">
            <w:pPr>
              <w:pStyle w:val="39"/>
              <w:spacing w:after="0" w:line="360" w:lineRule="auto"/>
              <w:ind w:firstLine="420" w:firstLineChars="200"/>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一般工业固体废物：在厂区内采用库房贮存，贮存过程满足相应防渗漏、防雨淋、防扬尘等环境保护要求；</w:t>
            </w:r>
          </w:p>
          <w:p w14:paraId="02C2F668">
            <w:pPr>
              <w:pStyle w:val="39"/>
              <w:spacing w:after="0" w:line="360" w:lineRule="auto"/>
              <w:ind w:firstLine="420" w:firstLineChars="200"/>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危险废物：执行《危险废物贮存污染控制标准》（GB18597-2023）和《危险废物收集贮存运输技术规范》（HJ 2025-2012）。</w:t>
            </w:r>
          </w:p>
        </w:tc>
      </w:tr>
      <w:tr w14:paraId="771375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54F3B422">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土壤及地下水污染防治措施</w:t>
            </w:r>
          </w:p>
        </w:tc>
        <w:tc>
          <w:tcPr>
            <w:tcW w:w="7277" w:type="dxa"/>
            <w:gridSpan w:val="5"/>
            <w:noWrap w:val="0"/>
            <w:vAlign w:val="center"/>
          </w:tcPr>
          <w:p w14:paraId="693EF21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360" w:lineRule="auto"/>
              <w:ind w:left="0" w:leftChars="0" w:right="0" w:rightChars="0" w:firstLine="420" w:firstLineChars="20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厂区地面已全部硬化，危废间在建筑物内部，达到防风防雨防晒要求，地面硬化良好并刷环氧树脂漆防渗，四周设置围堰，满足四防要求。对预处理生产车间</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、化学品仓库、</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危险废物贮存间</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废水处理站进行</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重点</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防渗处理，防渗要求按照等效黏土防渗层Mb≥1.5m，K≤1×10</w:t>
            </w:r>
            <w:r>
              <w:rPr>
                <w:rFonts w:hint="default" w:ascii="Times New Roman" w:hAnsi="Times New Roman" w:eastAsia="宋体" w:cs="Times New Roman"/>
                <w:color w:val="000000" w:themeColor="text1"/>
                <w:kern w:val="2"/>
                <w:sz w:val="21"/>
                <w:szCs w:val="2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cm/s或参照GB</w:t>
            </w:r>
            <w:r>
              <w:rPr>
                <w:rFonts w:hint="eastAsia" w:ascii="Times New Roman" w:hAnsi="Times New Roman" w:cs="Times New Roman"/>
                <w:color w:val="000000" w:themeColor="text1"/>
                <w:kern w:val="2"/>
                <w:sz w:val="21"/>
                <w:szCs w:val="21"/>
                <w:highlight w:val="none"/>
                <w:lang w:val="en-US" w:eastAsia="zh-CN"/>
                <w14:textFill>
                  <w14:solidFill>
                    <w14:schemeClr w14:val="tx1"/>
                  </w14:solidFill>
                </w14:textFill>
              </w:rPr>
              <w:t>18597</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执行。</w:t>
            </w:r>
          </w:p>
        </w:tc>
      </w:tr>
      <w:tr w14:paraId="0A584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5C916EAC">
            <w:pPr>
              <w:adjustRightInd w:val="0"/>
              <w:snapToGrid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生态保护措施</w:t>
            </w:r>
          </w:p>
        </w:tc>
        <w:tc>
          <w:tcPr>
            <w:tcW w:w="7277" w:type="dxa"/>
            <w:gridSpan w:val="5"/>
            <w:noWrap w:val="0"/>
            <w:vAlign w:val="center"/>
          </w:tcPr>
          <w:p w14:paraId="04EF559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360" w:lineRule="auto"/>
              <w:ind w:left="0" w:leftChars="0" w:right="0" w:rightChars="0" w:firstLine="420" w:firstLineChars="200"/>
              <w:jc w:val="both"/>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厂房已建设安装完成，选址四周主要为厂房，不存在建设期间的生态影响。项目营运中产生的污染物通过采取以上环境保护治理措施并且加强日常的管理和监督，同时搞好厂区绿化后，均可达标排放。因此，项目营运期间不会对周边的生态环境造成明显的不利影响。</w:t>
            </w:r>
          </w:p>
        </w:tc>
      </w:tr>
      <w:tr w14:paraId="64F57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3D331AA1">
            <w:pPr>
              <w:adjustRightInd w:val="0"/>
              <w:snapToGrid w:val="0"/>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环境风险</w:t>
            </w:r>
          </w:p>
          <w:p w14:paraId="5447DAA7">
            <w:pPr>
              <w:adjustRightInd w:val="0"/>
              <w:snapToGrid w:val="0"/>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防范措施</w:t>
            </w:r>
          </w:p>
        </w:tc>
        <w:tc>
          <w:tcPr>
            <w:tcW w:w="7277" w:type="dxa"/>
            <w:gridSpan w:val="5"/>
            <w:noWrap w:val="0"/>
            <w:vAlign w:val="center"/>
          </w:tcPr>
          <w:p w14:paraId="524FD424">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1、严格执行应急管理、消防等相关规范，从总图布置和建筑安全方面进行风险防范，预留疏散通道或安置场所；</w:t>
            </w:r>
          </w:p>
          <w:p w14:paraId="2F1A9B5C">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2、从优化改进生产工艺、减少储存量、改善储存条件等方面降低风险程度；</w:t>
            </w:r>
          </w:p>
          <w:p w14:paraId="1E41B037">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3、加强日常管理，降低管理失误而出现的风险事故，提高员工规范性操作水平，减少误操作引发的风险事故；</w:t>
            </w:r>
          </w:p>
          <w:p w14:paraId="35D2D5A7">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4、按《危险废物贮存污染控制标准》（GB18597-2023）的相关要求做好</w:t>
            </w:r>
            <w:r>
              <w:rPr>
                <w:rFonts w:hint="eastAsia" w:ascii="Times New Roman" w:hAnsi="Times New Roman" w:cs="Times New Roman"/>
                <w:color w:val="000000" w:themeColor="text1"/>
                <w:kern w:val="2"/>
                <w:sz w:val="21"/>
                <w:szCs w:val="21"/>
                <w:highlight w:val="none"/>
                <w:lang w:eastAsia="zh-CN"/>
                <w14:textFill>
                  <w14:solidFill>
                    <w14:schemeClr w14:val="tx1"/>
                  </w14:solidFill>
                </w14:textFill>
              </w:rPr>
              <w:t>危险废物贮存间</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的防渗措施，加强管理，避免装卸或存储过程中危险物质发生泄漏。</w:t>
            </w:r>
          </w:p>
        </w:tc>
      </w:tr>
      <w:tr w14:paraId="1B4E1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523" w:type="dxa"/>
            <w:noWrap w:val="0"/>
            <w:vAlign w:val="center"/>
          </w:tcPr>
          <w:p w14:paraId="306A80B6">
            <w:pPr>
              <w:keepNext w:val="0"/>
              <w:keepLines w:val="0"/>
              <w:pageBreakBefore w:val="0"/>
              <w:widowControl w:val="0"/>
              <w:kinsoku/>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4"/>
                <w:szCs w:val="24"/>
                <w14:textFill>
                  <w14:solidFill>
                    <w14:schemeClr w14:val="tx1"/>
                  </w14:solidFill>
                </w14:textFill>
              </w:rPr>
              <w:t>其他环境管理要求</w:t>
            </w:r>
          </w:p>
        </w:tc>
        <w:tc>
          <w:tcPr>
            <w:tcW w:w="7277" w:type="dxa"/>
            <w:gridSpan w:val="5"/>
            <w:noWrap w:val="0"/>
            <w:vAlign w:val="center"/>
          </w:tcPr>
          <w:p w14:paraId="68D441FC">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（一）环境管理要求</w:t>
            </w:r>
          </w:p>
          <w:p w14:paraId="0478A1B6">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企业要完善环境管理制度，首先必须建立相应的环境管理机构，明确环境管理机构的职责。</w:t>
            </w:r>
          </w:p>
          <w:p w14:paraId="7CB67A9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落实各项环境保护措施，环保设施运行的管理和维护，日常的监测及污染事故的防范和应急处理。</w:t>
            </w:r>
          </w:p>
          <w:p w14:paraId="75CEDCB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环境管理机构的职责</w:t>
            </w:r>
          </w:p>
          <w:p w14:paraId="66B1FD4F">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建设单位应向国家排污许可系统提交《固定污染源排污登记表》，取得《固定污染源排污登记回执》；超标排放或未符合总量指标，应限期治理。</w:t>
            </w:r>
          </w:p>
          <w:p w14:paraId="6A8E4169">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根据</w:t>
            </w:r>
            <w:r>
              <w:rPr>
                <w:rFonts w:hint="eastAsia" w:cs="Times New Roman"/>
                <w:color w:val="000000" w:themeColor="text1"/>
                <w:sz w:val="24"/>
                <w:szCs w:val="24"/>
                <w:lang w:eastAsia="zh-CN"/>
                <w14:textFill>
                  <w14:solidFill>
                    <w14:schemeClr w14:val="tx1"/>
                  </w14:solidFill>
                </w14:textFill>
              </w:rPr>
              <w:t>生态环境主管部门</w:t>
            </w:r>
            <w:r>
              <w:rPr>
                <w:rFonts w:hint="default" w:ascii="Times New Roman" w:hAnsi="Times New Roman" w:cs="Times New Roman"/>
                <w:color w:val="000000" w:themeColor="text1"/>
                <w:sz w:val="24"/>
                <w:szCs w:val="24"/>
                <w14:textFill>
                  <w14:solidFill>
                    <w14:schemeClr w14:val="tx1"/>
                  </w14:solidFill>
                </w14:textFill>
              </w:rPr>
              <w:t>、安全部门对环保设施验收报告的批复意见进行补充完善。</w:t>
            </w:r>
          </w:p>
          <w:p w14:paraId="3D7726A7">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根据企业的环境保护目标考核计划，结合生产过程各环节的不同环境要求，把资源和能源消耗、资源回收利用、污染物排放量的反映环保工作水平的生产环境质量等环保指标，纳入各级生产作业计划，同其他生产指标一同组织实施和考核。</w:t>
            </w:r>
          </w:p>
          <w:p w14:paraId="6C56B8E9">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7828BDE5">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要加强设备、仪器、仪表的检查、维护、检修，保证设备完好运行，防止跑、冒、滴、漏对环境的污染。</w:t>
            </w:r>
          </w:p>
          <w:p w14:paraId="11E5BA40">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加强各生产车间、工段的环境卫生管理：①督促有关工段及时清理废弃的渣料等，以免大风天气时形成扬尘，造成二次污染，影响周围环境。②保持工场的通风、整洁和宽敞。开工时废气净化、除尘装置必须正常运转，确保操作工人有安全生产的环境。操作工人还应做好个人防护工作，避免粉尘、废气经呼吸道和皮肤吸收，引起急性中毒事件或职业病的发生。</w:t>
            </w:r>
          </w:p>
          <w:p w14:paraId="6687FF53">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（7）</w:t>
            </w:r>
            <w:r>
              <w:rPr>
                <w:rFonts w:hint="default" w:ascii="Times New Roman" w:hAnsi="Times New Roman" w:cs="Times New Roman"/>
                <w:color w:val="000000" w:themeColor="text1"/>
                <w:sz w:val="24"/>
                <w:szCs w:val="24"/>
                <w14:textFill>
                  <w14:solidFill>
                    <w14:schemeClr w14:val="tx1"/>
                  </w14:solidFill>
                </w14:textFill>
              </w:rPr>
              <w:t>做好绿化的建设和维护工作。绿色植物不仅能涵养水分，保持水土，而且能挡尘降噪，调节小气候，有利于改善生态环境。</w:t>
            </w:r>
          </w:p>
          <w:p w14:paraId="538286DA">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建立环境管理体系，提高环境管理水平。定期进行清洁生产审计，不断采用无污染和少污染的新工艺和新技术。</w:t>
            </w:r>
          </w:p>
          <w:p w14:paraId="35CB1EDB">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（9）</w:t>
            </w:r>
            <w:r>
              <w:rPr>
                <w:rFonts w:hint="default" w:ascii="Times New Roman" w:hAnsi="Times New Roman" w:cs="Times New Roman"/>
                <w:color w:val="000000" w:themeColor="text1"/>
                <w:sz w:val="24"/>
                <w:szCs w:val="24"/>
                <w14:textFill>
                  <w14:solidFill>
                    <w14:schemeClr w14:val="tx1"/>
                  </w14:solidFill>
                </w14:textFill>
              </w:rPr>
              <w:t>接受</w:t>
            </w:r>
            <w:r>
              <w:rPr>
                <w:rFonts w:hint="eastAsia" w:cs="Times New Roman"/>
                <w:color w:val="000000" w:themeColor="text1"/>
                <w:sz w:val="24"/>
                <w:szCs w:val="24"/>
                <w:lang w:eastAsia="zh-CN"/>
                <w14:textFill>
                  <w14:solidFill>
                    <w14:schemeClr w14:val="tx1"/>
                  </w14:solidFill>
                </w14:textFill>
              </w:rPr>
              <w:t>生态环境主管部门</w:t>
            </w:r>
            <w:r>
              <w:rPr>
                <w:rFonts w:hint="default" w:ascii="Times New Roman" w:hAnsi="Times New Roman" w:cs="Times New Roman"/>
                <w:color w:val="000000" w:themeColor="text1"/>
                <w:sz w:val="24"/>
                <w:szCs w:val="24"/>
                <w14:textFill>
                  <w14:solidFill>
                    <w14:schemeClr w14:val="tx1"/>
                  </w14:solidFill>
                </w14:textFill>
              </w:rPr>
              <w:t>的监督检查。主要内容有：污染物排放情况、环保设施运行管理情况、环境监测及污染物监测情况、环境事故的调查和有关记录、污染源建档记录等。</w:t>
            </w:r>
          </w:p>
          <w:p w14:paraId="4491AC99">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 xml:space="preserve">（二）排污口规范化 </w:t>
            </w:r>
          </w:p>
          <w:p w14:paraId="26C866B4">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排污口规范化必要性：排污口规范化管理是实施污染物总量控制的基础性工作之一，也是总量控制不可缺少的一部分内容，此项工作可强化污染物的现场监督检查，促进企业加强管理和污染治理，实施污染物排放科学化、定量化管理。</w:t>
            </w:r>
          </w:p>
          <w:p w14:paraId="6DD34E6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排污口规范化的范围和时间：一切新建、扩建、技改、改建的排污单位以及限期治理的排污单位，必须在建设污染治理设施的同时，建设规范化排污口。因此，排污口必须规范化设置和管理。规范化工作应</w:t>
            </w:r>
            <w:r>
              <w:rPr>
                <w:rFonts w:hint="eastAsia" w:cs="Times New Roman"/>
                <w:color w:val="000000" w:themeColor="text1"/>
                <w:sz w:val="24"/>
                <w:szCs w:val="24"/>
                <w:lang w:val="en-US" w:eastAsia="zh-CN"/>
                <w14:textFill>
                  <w14:solidFill>
                    <w14:schemeClr w14:val="tx1"/>
                  </w14:solidFill>
                </w14:textFill>
              </w:rPr>
              <w:t>与</w:t>
            </w:r>
            <w:r>
              <w:rPr>
                <w:rFonts w:hint="default" w:ascii="Times New Roman" w:hAnsi="Times New Roman" w:cs="Times New Roman"/>
                <w:color w:val="000000" w:themeColor="text1"/>
                <w:sz w:val="24"/>
                <w:szCs w:val="24"/>
                <w14:textFill>
                  <w14:solidFill>
                    <w14:schemeClr w14:val="tx1"/>
                  </w14:solidFill>
                </w14:textFill>
              </w:rPr>
              <w:t>污染治理同步实施，即治理设施完工时，规范化工作必须同时完成，并列入污染治理设施的验收内容。</w:t>
            </w:r>
          </w:p>
          <w:p w14:paraId="59896F46">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 xml:space="preserve">排污口规范化内容 </w:t>
            </w:r>
          </w:p>
          <w:p w14:paraId="1FD554E6">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需规范化排放口：排放口应预留监测口，做到便于采样和测定流量，并设立标志。</w:t>
            </w:r>
          </w:p>
          <w:p w14:paraId="62CFAE38">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排污口的管理：建设单位应在各排污口处设置较明显的排污口标志牌，其上应注明主要排污污染物的名称。建设单位应如实填写《中华人民共和国规范化排污口标志登记证》的有关内容，由</w:t>
            </w:r>
            <w:r>
              <w:rPr>
                <w:rFonts w:hint="eastAsia" w:cs="Times New Roman"/>
                <w:color w:val="000000" w:themeColor="text1"/>
                <w:sz w:val="24"/>
                <w:szCs w:val="24"/>
                <w:lang w:eastAsia="zh-CN"/>
                <w14:textFill>
                  <w14:solidFill>
                    <w14:schemeClr w14:val="tx1"/>
                  </w14:solidFill>
                </w14:textFill>
              </w:rPr>
              <w:t>生态环境主管部门</w:t>
            </w:r>
            <w:r>
              <w:rPr>
                <w:rFonts w:hint="default" w:ascii="Times New Roman" w:hAnsi="Times New Roman" w:cs="Times New Roman"/>
                <w:color w:val="000000" w:themeColor="text1"/>
                <w:sz w:val="24"/>
                <w:szCs w:val="24"/>
                <w14:textFill>
                  <w14:solidFill>
                    <w14:schemeClr w14:val="tx1"/>
                  </w14:solidFill>
                </w14:textFill>
              </w:rPr>
              <w:t>签发登记证。建设单位应将有关排污口的情况如：排污口的性质、编号、排污口的位置；主要排放的污染物种类、数量、浓度、排放规律、排放去向；污染治理措施的运行情况等进行建档管理，并报送</w:t>
            </w:r>
            <w:r>
              <w:rPr>
                <w:rFonts w:hint="eastAsia" w:cs="Times New Roman"/>
                <w:color w:val="000000" w:themeColor="text1"/>
                <w:sz w:val="24"/>
                <w:szCs w:val="24"/>
                <w:lang w:eastAsia="zh-CN"/>
                <w14:textFill>
                  <w14:solidFill>
                    <w14:schemeClr w14:val="tx1"/>
                  </w14:solidFill>
                </w14:textFill>
              </w:rPr>
              <w:t>生态环境主管部门</w:t>
            </w:r>
            <w:r>
              <w:rPr>
                <w:rFonts w:hint="default" w:ascii="Times New Roman" w:hAnsi="Times New Roman" w:cs="Times New Roman"/>
                <w:color w:val="000000" w:themeColor="text1"/>
                <w:sz w:val="24"/>
                <w:szCs w:val="24"/>
                <w14:textFill>
                  <w14:solidFill>
                    <w14:schemeClr w14:val="tx1"/>
                  </w14:solidFill>
                </w14:textFill>
              </w:rPr>
              <w:t>备案。排污口规范化标识详见下表。</w:t>
            </w:r>
          </w:p>
          <w:p w14:paraId="5EDBE2AB">
            <w:pPr>
              <w:pStyle w:val="142"/>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表5-1排污口规范化标识示意图表</w:t>
            </w:r>
          </w:p>
          <w:tbl>
            <w:tblPr>
              <w:tblStyle w:val="4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1442"/>
              <w:gridCol w:w="1254"/>
              <w:gridCol w:w="1254"/>
              <w:gridCol w:w="1807"/>
            </w:tblGrid>
            <w:tr w14:paraId="16A3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5" w:type="dxa"/>
                  <w:noWrap w:val="0"/>
                  <w:vAlign w:val="top"/>
                </w:tcPr>
                <w:p w14:paraId="3175361C">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废水排放口</w:t>
                  </w:r>
                </w:p>
              </w:tc>
              <w:tc>
                <w:tcPr>
                  <w:tcW w:w="1444" w:type="dxa"/>
                  <w:noWrap w:val="0"/>
                  <w:vAlign w:val="top"/>
                </w:tcPr>
                <w:p w14:paraId="73AF747B">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废气排放口</w:t>
                  </w:r>
                </w:p>
              </w:tc>
              <w:tc>
                <w:tcPr>
                  <w:tcW w:w="1256" w:type="dxa"/>
                  <w:noWrap w:val="0"/>
                  <w:vAlign w:val="top"/>
                </w:tcPr>
                <w:p w14:paraId="1F70C5D5">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噪声源</w:t>
                  </w:r>
                </w:p>
              </w:tc>
              <w:tc>
                <w:tcPr>
                  <w:tcW w:w="1256" w:type="dxa"/>
                  <w:noWrap w:val="0"/>
                  <w:vAlign w:val="top"/>
                </w:tcPr>
                <w:p w14:paraId="5A638C77">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固体废弃物堆场</w:t>
                  </w:r>
                </w:p>
              </w:tc>
              <w:tc>
                <w:tcPr>
                  <w:tcW w:w="1810" w:type="dxa"/>
                  <w:noWrap w:val="0"/>
                  <w:vAlign w:val="top"/>
                </w:tcPr>
                <w:p w14:paraId="2427CAAF">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危险废物暂存</w:t>
                  </w:r>
                </w:p>
              </w:tc>
            </w:tr>
            <w:tr w14:paraId="4556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295" w:type="dxa"/>
                  <w:noWrap w:val="0"/>
                  <w:vAlign w:val="center"/>
                </w:tcPr>
                <w:p w14:paraId="580D711C">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drawing>
                      <wp:inline distT="0" distB="0" distL="114300" distR="114300">
                        <wp:extent cx="640715" cy="647700"/>
                        <wp:effectExtent l="0" t="0" r="6985" b="0"/>
                        <wp:docPr id="188" name="图片 12" descr="排放口"/>
                        <wp:cNvGraphicFramePr/>
                        <a:graphic xmlns:a="http://schemas.openxmlformats.org/drawingml/2006/main">
                          <a:graphicData uri="http://schemas.openxmlformats.org/drawingml/2006/picture">
                            <pic:pic xmlns:pic="http://schemas.openxmlformats.org/drawingml/2006/picture">
                              <pic:nvPicPr>
                                <pic:cNvPr id="188" name="图片 12" descr="排放口"/>
                                <pic:cNvPicPr/>
                              </pic:nvPicPr>
                              <pic:blipFill>
                                <a:blip r:embed="rId50"/>
                                <a:srcRect l="66771" t="5846" r="3780" b="55385"/>
                                <a:stretch>
                                  <a:fillRect/>
                                </a:stretch>
                              </pic:blipFill>
                              <pic:spPr>
                                <a:xfrm>
                                  <a:off x="0" y="0"/>
                                  <a:ext cx="640715" cy="647700"/>
                                </a:xfrm>
                                <a:prstGeom prst="rect">
                                  <a:avLst/>
                                </a:prstGeom>
                                <a:noFill/>
                                <a:ln>
                                  <a:noFill/>
                                </a:ln>
                              </pic:spPr>
                            </pic:pic>
                          </a:graphicData>
                        </a:graphic>
                      </wp:inline>
                    </w:drawing>
                  </w:r>
                </w:p>
              </w:tc>
              <w:tc>
                <w:tcPr>
                  <w:tcW w:w="1444" w:type="dxa"/>
                  <w:noWrap w:val="0"/>
                  <w:vAlign w:val="top"/>
                </w:tcPr>
                <w:p w14:paraId="24319959">
                  <w:pPr>
                    <w:pStyle w:val="175"/>
                    <w:keepNext w:val="0"/>
                    <w:keepLines w:val="0"/>
                    <w:pageBreakBefore w:val="0"/>
                    <w:widowControl w:val="0"/>
                    <w:kinsoku/>
                    <w:overflowPunct/>
                    <w:topLinePunct w:val="0"/>
                    <w:autoSpaceDE/>
                    <w:autoSpaceDN/>
                    <w:bidi w:val="0"/>
                    <w:spacing w:before="0" w:after="0" w:line="240" w:lineRule="auto"/>
                    <w:jc w:val="center"/>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drawing>
                      <wp:inline distT="0" distB="0" distL="114300" distR="114300">
                        <wp:extent cx="637540" cy="647700"/>
                        <wp:effectExtent l="0" t="0" r="10160" b="0"/>
                        <wp:docPr id="189" name="图片 13" descr="排放口"/>
                        <wp:cNvGraphicFramePr/>
                        <a:graphic xmlns:a="http://schemas.openxmlformats.org/drawingml/2006/main">
                          <a:graphicData uri="http://schemas.openxmlformats.org/drawingml/2006/picture">
                            <pic:pic xmlns:pic="http://schemas.openxmlformats.org/drawingml/2006/picture">
                              <pic:nvPicPr>
                                <pic:cNvPr id="189" name="图片 13" descr="排放口"/>
                                <pic:cNvPicPr/>
                              </pic:nvPicPr>
                              <pic:blipFill>
                                <a:blip r:embed="rId51"/>
                                <a:srcRect l="19153" t="6250" r="51726" b="55122"/>
                                <a:stretch>
                                  <a:fillRect/>
                                </a:stretch>
                              </pic:blipFill>
                              <pic:spPr>
                                <a:xfrm>
                                  <a:off x="0" y="0"/>
                                  <a:ext cx="637540" cy="647700"/>
                                </a:xfrm>
                                <a:prstGeom prst="rect">
                                  <a:avLst/>
                                </a:prstGeom>
                                <a:noFill/>
                                <a:ln>
                                  <a:noFill/>
                                </a:ln>
                              </pic:spPr>
                            </pic:pic>
                          </a:graphicData>
                        </a:graphic>
                      </wp:inline>
                    </w:drawing>
                  </w:r>
                </w:p>
              </w:tc>
              <w:tc>
                <w:tcPr>
                  <w:tcW w:w="1256" w:type="dxa"/>
                  <w:noWrap w:val="0"/>
                  <w:vAlign w:val="top"/>
                </w:tcPr>
                <w:p w14:paraId="25A8E5E9">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drawing>
                      <wp:inline distT="0" distB="0" distL="114300" distR="114300">
                        <wp:extent cx="638810" cy="647700"/>
                        <wp:effectExtent l="0" t="0" r="8890" b="0"/>
                        <wp:docPr id="193" name="图片 14" descr="排放口"/>
                        <wp:cNvGraphicFramePr/>
                        <a:graphic xmlns:a="http://schemas.openxmlformats.org/drawingml/2006/main">
                          <a:graphicData uri="http://schemas.openxmlformats.org/drawingml/2006/picture">
                            <pic:pic xmlns:pic="http://schemas.openxmlformats.org/drawingml/2006/picture">
                              <pic:nvPicPr>
                                <pic:cNvPr id="193" name="图片 14" descr="排放口"/>
                                <pic:cNvPicPr/>
                              </pic:nvPicPr>
                              <pic:blipFill>
                                <a:blip r:embed="rId52"/>
                                <a:srcRect l="51723" t="47942" r="27068" b="13129"/>
                                <a:stretch>
                                  <a:fillRect/>
                                </a:stretch>
                              </pic:blipFill>
                              <pic:spPr>
                                <a:xfrm>
                                  <a:off x="0" y="0"/>
                                  <a:ext cx="638810" cy="647700"/>
                                </a:xfrm>
                                <a:prstGeom prst="rect">
                                  <a:avLst/>
                                </a:prstGeom>
                                <a:noFill/>
                                <a:ln>
                                  <a:noFill/>
                                </a:ln>
                              </pic:spPr>
                            </pic:pic>
                          </a:graphicData>
                        </a:graphic>
                      </wp:inline>
                    </w:drawing>
                  </w:r>
                </w:p>
              </w:tc>
              <w:tc>
                <w:tcPr>
                  <w:tcW w:w="1256" w:type="dxa"/>
                  <w:noWrap w:val="0"/>
                  <w:vAlign w:val="top"/>
                </w:tcPr>
                <w:p w14:paraId="45E81E56">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drawing>
                      <wp:inline distT="0" distB="0" distL="114300" distR="114300">
                        <wp:extent cx="652145" cy="647700"/>
                        <wp:effectExtent l="0" t="0" r="14605" b="0"/>
                        <wp:docPr id="194" name="图片 15" descr="排放口"/>
                        <wp:cNvGraphicFramePr/>
                        <a:graphic xmlns:a="http://schemas.openxmlformats.org/drawingml/2006/main">
                          <a:graphicData uri="http://schemas.openxmlformats.org/drawingml/2006/picture">
                            <pic:pic xmlns:pic="http://schemas.openxmlformats.org/drawingml/2006/picture">
                              <pic:nvPicPr>
                                <pic:cNvPr id="194" name="图片 15" descr="排放口"/>
                                <pic:cNvPicPr/>
                              </pic:nvPicPr>
                              <pic:blipFill>
                                <a:blip r:embed="rId53"/>
                                <a:srcRect l="18872" t="47525" r="51678" b="14359"/>
                                <a:stretch>
                                  <a:fillRect/>
                                </a:stretch>
                              </pic:blipFill>
                              <pic:spPr>
                                <a:xfrm>
                                  <a:off x="0" y="0"/>
                                  <a:ext cx="652145" cy="647700"/>
                                </a:xfrm>
                                <a:prstGeom prst="rect">
                                  <a:avLst/>
                                </a:prstGeom>
                                <a:noFill/>
                                <a:ln>
                                  <a:noFill/>
                                </a:ln>
                              </pic:spPr>
                            </pic:pic>
                          </a:graphicData>
                        </a:graphic>
                      </wp:inline>
                    </w:drawing>
                  </w:r>
                </w:p>
              </w:tc>
              <w:tc>
                <w:tcPr>
                  <w:tcW w:w="1810" w:type="dxa"/>
                  <w:noWrap w:val="0"/>
                  <w:vAlign w:val="top"/>
                </w:tcPr>
                <w:p w14:paraId="5E9E971A">
                  <w:pPr>
                    <w:pStyle w:val="175"/>
                    <w:keepNext w:val="0"/>
                    <w:keepLines w:val="0"/>
                    <w:pageBreakBefore w:val="0"/>
                    <w:widowControl w:val="0"/>
                    <w:kinsoku/>
                    <w:overflowPunct/>
                    <w:topLinePunct w:val="0"/>
                    <w:autoSpaceDE/>
                    <w:autoSpaceDN/>
                    <w:bidi w:val="0"/>
                    <w:spacing w:before="0" w:after="0" w:line="240" w:lineRule="auto"/>
                    <w:jc w:val="center"/>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drawing>
                      <wp:inline distT="0" distB="0" distL="114300" distR="114300">
                        <wp:extent cx="673735" cy="687070"/>
                        <wp:effectExtent l="0" t="0" r="12065" b="17780"/>
                        <wp:docPr id="195" name="图片 16"/>
                        <wp:cNvGraphicFramePr/>
                        <a:graphic xmlns:a="http://schemas.openxmlformats.org/drawingml/2006/main">
                          <a:graphicData uri="http://schemas.openxmlformats.org/drawingml/2006/picture">
                            <pic:pic xmlns:pic="http://schemas.openxmlformats.org/drawingml/2006/picture">
                              <pic:nvPicPr>
                                <pic:cNvPr id="195" name="图片 16"/>
                                <pic:cNvPicPr/>
                              </pic:nvPicPr>
                              <pic:blipFill>
                                <a:blip r:embed="rId54"/>
                                <a:srcRect l="15968" t="5974" r="13557" b="48367"/>
                                <a:stretch>
                                  <a:fillRect/>
                                </a:stretch>
                              </pic:blipFill>
                              <pic:spPr>
                                <a:xfrm>
                                  <a:off x="0" y="0"/>
                                  <a:ext cx="673735" cy="687070"/>
                                </a:xfrm>
                                <a:prstGeom prst="rect">
                                  <a:avLst/>
                                </a:prstGeom>
                                <a:noFill/>
                                <a:ln>
                                  <a:noFill/>
                                </a:ln>
                              </pic:spPr>
                            </pic:pic>
                          </a:graphicData>
                        </a:graphic>
                      </wp:inline>
                    </w:drawing>
                  </w:r>
                </w:p>
              </w:tc>
            </w:tr>
            <w:tr w14:paraId="2216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1" w:type="dxa"/>
                  <w:gridSpan w:val="4"/>
                  <w:noWrap w:val="0"/>
                  <w:vAlign w:val="top"/>
                </w:tcPr>
                <w:p w14:paraId="626549DC">
                  <w:pPr>
                    <w:pStyle w:val="175"/>
                    <w:keepNext w:val="0"/>
                    <w:keepLines w:val="0"/>
                    <w:pageBreakBefore w:val="0"/>
                    <w:widowControl w:val="0"/>
                    <w:kinsoku/>
                    <w:overflowPunct/>
                    <w:topLinePunct w:val="0"/>
                    <w:autoSpaceDE/>
                    <w:autoSpaceDN/>
                    <w:bidi w:val="0"/>
                    <w:spacing w:before="0" w:after="0" w:line="240" w:lineRule="auto"/>
                    <w:ind w:firstLine="422" w:firstLineChars="200"/>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背景颜色：绿色            图形颜色：白色</w:t>
                  </w:r>
                </w:p>
              </w:tc>
              <w:tc>
                <w:tcPr>
                  <w:tcW w:w="1810" w:type="dxa"/>
                  <w:noWrap w:val="0"/>
                  <w:vAlign w:val="top"/>
                </w:tcPr>
                <w:p w14:paraId="37DE3FEE">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cs="Times New Roman"/>
                      <w:b/>
                      <w:color w:val="000000" w:themeColor="text1"/>
                      <w:sz w:val="21"/>
                      <w:szCs w:val="21"/>
                      <w:lang w:val="en-US" w:eastAsia="zh-CN"/>
                      <w14:textFill>
                        <w14:solidFill>
                          <w14:schemeClr w14:val="tx1"/>
                        </w14:solidFill>
                      </w14:textFill>
                    </w:rPr>
                    <w:t>底色为黄色，图形字体边框为黑色</w:t>
                  </w:r>
                </w:p>
              </w:tc>
            </w:tr>
          </w:tbl>
          <w:p w14:paraId="44350BD0">
            <w:pPr>
              <w:pStyle w:val="176"/>
              <w:keepNext w:val="0"/>
              <w:keepLines w:val="0"/>
              <w:pageBreakBefore w:val="0"/>
              <w:widowControl w:val="0"/>
              <w:numPr>
                <w:ilvl w:val="0"/>
                <w:numId w:val="0"/>
              </w:numPr>
              <w:kinsoku/>
              <w:overflowPunct/>
              <w:topLinePunct w:val="0"/>
              <w:autoSpaceDE/>
              <w:autoSpaceDN/>
              <w:bidi w:val="0"/>
              <w:spacing w:line="360" w:lineRule="auto"/>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Cs/>
                <w:color w:val="000000" w:themeColor="text1"/>
                <w:sz w:val="24"/>
                <w:szCs w:val="24"/>
                <w14:textFill>
                  <w14:solidFill>
                    <w14:schemeClr w14:val="tx1"/>
                  </w14:solidFill>
                </w14:textFill>
              </w:rPr>
              <w:t>（三）</w:t>
            </w:r>
            <w:r>
              <w:rPr>
                <w:rFonts w:hint="default" w:ascii="Times New Roman" w:hAnsi="Times New Roman" w:cs="Times New Roman"/>
                <w:color w:val="000000" w:themeColor="text1"/>
                <w:sz w:val="24"/>
                <w:szCs w:val="24"/>
                <w14:textFill>
                  <w14:solidFill>
                    <w14:schemeClr w14:val="tx1"/>
                  </w14:solidFill>
                </w14:textFill>
              </w:rPr>
              <w:t>排污许可</w:t>
            </w:r>
          </w:p>
          <w:p w14:paraId="7A9D3127">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根据《固定污染源排污许可分类管理名录（2019版）》，对本项目排污许可分类进行判定，具体如下：</w:t>
            </w:r>
          </w:p>
          <w:p w14:paraId="1271236F">
            <w:pPr>
              <w:pStyle w:val="142"/>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表5-2 项目排污许可类别判定表</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1145"/>
              <w:gridCol w:w="1384"/>
              <w:gridCol w:w="1546"/>
              <w:gridCol w:w="991"/>
              <w:gridCol w:w="1034"/>
            </w:tblGrid>
            <w:tr w14:paraId="4ED9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restart"/>
                  <w:tcBorders>
                    <w:tl2br w:val="nil"/>
                    <w:tr2bl w:val="nil"/>
                  </w:tcBorders>
                  <w:noWrap w:val="0"/>
                  <w:vAlign w:val="center"/>
                </w:tcPr>
                <w:p w14:paraId="10771468">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国民经济行业类别</w:t>
                  </w:r>
                </w:p>
              </w:tc>
              <w:tc>
                <w:tcPr>
                  <w:tcW w:w="812" w:type="pct"/>
                  <w:vMerge w:val="restart"/>
                  <w:tcBorders>
                    <w:tl2br w:val="nil"/>
                    <w:tr2bl w:val="nil"/>
                  </w:tcBorders>
                  <w:noWrap w:val="0"/>
                  <w:vAlign w:val="center"/>
                </w:tcPr>
                <w:p w14:paraId="28F0FFA3">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建设项目行业类别</w:t>
                  </w:r>
                </w:p>
              </w:tc>
              <w:tc>
                <w:tcPr>
                  <w:tcW w:w="3514" w:type="pct"/>
                  <w:gridSpan w:val="4"/>
                  <w:tcBorders>
                    <w:tl2br w:val="nil"/>
                    <w:tr2bl w:val="nil"/>
                  </w:tcBorders>
                  <w:noWrap w:val="0"/>
                  <w:vAlign w:val="center"/>
                </w:tcPr>
                <w:p w14:paraId="073E45CF">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排污许可类别判定</w:t>
                  </w:r>
                </w:p>
              </w:tc>
            </w:tr>
            <w:tr w14:paraId="2D57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continue"/>
                  <w:tcBorders>
                    <w:tl2br w:val="nil"/>
                    <w:tr2bl w:val="nil"/>
                  </w:tcBorders>
                  <w:noWrap w:val="0"/>
                  <w:vAlign w:val="center"/>
                </w:tcPr>
                <w:p w14:paraId="3931FA56">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p>
              </w:tc>
              <w:tc>
                <w:tcPr>
                  <w:tcW w:w="812" w:type="pct"/>
                  <w:vMerge w:val="continue"/>
                  <w:tcBorders>
                    <w:tl2br w:val="nil"/>
                    <w:tr2bl w:val="nil"/>
                  </w:tcBorders>
                  <w:noWrap w:val="0"/>
                  <w:vAlign w:val="center"/>
                </w:tcPr>
                <w:p w14:paraId="3EF4CB39">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p>
              </w:tc>
              <w:tc>
                <w:tcPr>
                  <w:tcW w:w="978" w:type="pct"/>
                  <w:tcBorders>
                    <w:tl2br w:val="nil"/>
                    <w:tr2bl w:val="nil"/>
                  </w:tcBorders>
                  <w:noWrap w:val="0"/>
                  <w:vAlign w:val="center"/>
                </w:tcPr>
                <w:p w14:paraId="0FF874BA">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重点管理</w:t>
                  </w:r>
                </w:p>
              </w:tc>
              <w:tc>
                <w:tcPr>
                  <w:tcW w:w="1095" w:type="pct"/>
                  <w:tcBorders>
                    <w:tl2br w:val="nil"/>
                    <w:tr2bl w:val="nil"/>
                  </w:tcBorders>
                  <w:noWrap w:val="0"/>
                  <w:vAlign w:val="center"/>
                </w:tcPr>
                <w:p w14:paraId="5A895329">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简化管理</w:t>
                  </w:r>
                </w:p>
              </w:tc>
              <w:tc>
                <w:tcPr>
                  <w:tcW w:w="701" w:type="pct"/>
                  <w:tcBorders>
                    <w:tl2br w:val="nil"/>
                    <w:tr2bl w:val="nil"/>
                  </w:tcBorders>
                  <w:noWrap w:val="0"/>
                  <w:vAlign w:val="center"/>
                </w:tcPr>
                <w:p w14:paraId="6726954F">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登记管理</w:t>
                  </w:r>
                </w:p>
              </w:tc>
              <w:tc>
                <w:tcPr>
                  <w:tcW w:w="738" w:type="pct"/>
                  <w:tcBorders>
                    <w:tl2br w:val="nil"/>
                    <w:tr2bl w:val="nil"/>
                  </w:tcBorders>
                  <w:noWrap w:val="0"/>
                  <w:vAlign w:val="center"/>
                </w:tcPr>
                <w:p w14:paraId="49100758">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本项目</w:t>
                  </w:r>
                </w:p>
              </w:tc>
            </w:tr>
            <w:tr w14:paraId="6AEA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tcBorders>
                    <w:tl2br w:val="nil"/>
                    <w:tr2bl w:val="nil"/>
                  </w:tcBorders>
                  <w:noWrap w:val="0"/>
                  <w:vAlign w:val="center"/>
                </w:tcPr>
                <w:p w14:paraId="20D59A19">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C3360金属表面处理及热处理加工</w:t>
                  </w:r>
                </w:p>
              </w:tc>
              <w:tc>
                <w:tcPr>
                  <w:tcW w:w="812" w:type="pct"/>
                  <w:tcBorders>
                    <w:tl2br w:val="nil"/>
                    <w:tr2bl w:val="nil"/>
                  </w:tcBorders>
                  <w:noWrap w:val="0"/>
                  <w:vAlign w:val="center"/>
                </w:tcPr>
                <w:p w14:paraId="09429E3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三十、金属制品业 33—67、金属表面处理及热处理加工 336</w:t>
                  </w:r>
                </w:p>
              </w:tc>
              <w:tc>
                <w:tcPr>
                  <w:tcW w:w="1384" w:type="dxa"/>
                  <w:tcBorders>
                    <w:tl2br w:val="nil"/>
                    <w:tr2bl w:val="nil"/>
                  </w:tcBorders>
                  <w:noWrap w:val="0"/>
                  <w:vAlign w:val="center"/>
                </w:tcPr>
                <w:p w14:paraId="2746C28F">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纳入重点排污单位名录的，专业电镀企业（含电镀园区中电镀企业），专门处理电镀废水的集中处理设施，有电镀工序的，有含铬钝化工序的</w:t>
                  </w:r>
                </w:p>
              </w:tc>
              <w:tc>
                <w:tcPr>
                  <w:tcW w:w="1546" w:type="dxa"/>
                  <w:tcBorders>
                    <w:tl2br w:val="nil"/>
                    <w:tr2bl w:val="nil"/>
                  </w:tcBorders>
                  <w:noWrap w:val="0"/>
                  <w:vAlign w:val="center"/>
                </w:tcPr>
                <w:p w14:paraId="5C76B18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除重点管理以外的有酸洗、抛光（电解抛光和化学抛光）、热浸镀（溶剂法）、淬火或者无铬钝化等工序的、年使用10吨及以上有机溶剂的</w:t>
                  </w:r>
                </w:p>
              </w:tc>
              <w:tc>
                <w:tcPr>
                  <w:tcW w:w="701" w:type="pct"/>
                  <w:tcBorders>
                    <w:tl2br w:val="nil"/>
                    <w:tr2bl w:val="nil"/>
                  </w:tcBorders>
                  <w:noWrap w:val="0"/>
                  <w:vAlign w:val="center"/>
                </w:tcPr>
                <w:p w14:paraId="64E291CA">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其他</w:t>
                  </w:r>
                </w:p>
              </w:tc>
              <w:tc>
                <w:tcPr>
                  <w:tcW w:w="738" w:type="pct"/>
                  <w:tcBorders>
                    <w:tl2br w:val="nil"/>
                    <w:tr2bl w:val="nil"/>
                  </w:tcBorders>
                  <w:noWrap w:val="0"/>
                  <w:vAlign w:val="center"/>
                </w:tcPr>
                <w:p w14:paraId="6B1EA238">
                  <w:pPr>
                    <w:pStyle w:val="23"/>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本项目生产</w:t>
                  </w:r>
                  <w:r>
                    <w:rPr>
                      <w:rFonts w:hint="eastAsia" w:ascii="Times New Roman" w:hAnsi="Times New Roman" w:cs="Times New Roman"/>
                      <w:color w:val="000000" w:themeColor="text1"/>
                      <w:sz w:val="21"/>
                      <w:szCs w:val="21"/>
                      <w:lang w:val="en-US" w:eastAsia="zh-CN"/>
                      <w14:textFill>
                        <w14:solidFill>
                          <w14:schemeClr w14:val="tx1"/>
                        </w14:solidFill>
                      </w14:textFill>
                    </w:rPr>
                    <w:t>有无铬钝化工序</w:t>
                  </w:r>
                  <w:r>
                    <w:rPr>
                      <w:rFonts w:hint="default" w:ascii="Times New Roman" w:hAnsi="Times New Roman" w:cs="Times New Roman"/>
                      <w:color w:val="000000" w:themeColor="text1"/>
                      <w:sz w:val="21"/>
                      <w:szCs w:val="21"/>
                      <w14:textFill>
                        <w14:solidFill>
                          <w14:schemeClr w14:val="tx1"/>
                        </w14:solidFill>
                      </w14:textFill>
                    </w:rPr>
                    <w:t>，实行</w:t>
                  </w:r>
                  <w:r>
                    <w:rPr>
                      <w:rFonts w:hint="eastAsia" w:ascii="Times New Roman" w:hAnsi="Times New Roman" w:cs="Times New Roman"/>
                      <w:color w:val="000000" w:themeColor="text1"/>
                      <w:sz w:val="21"/>
                      <w:szCs w:val="21"/>
                      <w:lang w:val="en-US" w:eastAsia="zh-CN"/>
                      <w14:textFill>
                        <w14:solidFill>
                          <w14:schemeClr w14:val="tx1"/>
                        </w14:solidFill>
                      </w14:textFill>
                    </w:rPr>
                    <w:t>简化</w:t>
                  </w:r>
                  <w:r>
                    <w:rPr>
                      <w:rFonts w:hint="default" w:ascii="Times New Roman" w:hAnsi="Times New Roman" w:cs="Times New Roman"/>
                      <w:color w:val="000000" w:themeColor="text1"/>
                      <w:sz w:val="21"/>
                      <w:szCs w:val="21"/>
                      <w14:textFill>
                        <w14:solidFill>
                          <w14:schemeClr w14:val="tx1"/>
                        </w14:solidFill>
                      </w14:textFill>
                    </w:rPr>
                    <w:t>管理</w:t>
                  </w:r>
                </w:p>
              </w:tc>
            </w:tr>
          </w:tbl>
          <w:p w14:paraId="0676DFF0">
            <w:pPr>
              <w:pStyle w:val="23"/>
              <w:keepNext w:val="0"/>
              <w:keepLines w:val="0"/>
              <w:pageBreakBefore w:val="0"/>
              <w:widowControl w:val="0"/>
              <w:numPr>
                <w:ilvl w:val="0"/>
                <w:numId w:val="0"/>
              </w:numPr>
              <w:kinsoku/>
              <w:overflowPunct/>
              <w:topLinePunct w:val="0"/>
              <w:autoSpaceDE/>
              <w:autoSpaceDN/>
              <w:bidi w:val="0"/>
              <w:spacing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对照名录分析，本项目属于</w:t>
            </w:r>
            <w:r>
              <w:rPr>
                <w:rFonts w:hint="eastAsia" w:cs="Times New Roman"/>
                <w:color w:val="000000" w:themeColor="text1"/>
                <w:sz w:val="24"/>
                <w:szCs w:val="24"/>
                <w:lang w:val="en-US" w:eastAsia="zh-CN"/>
                <w14:textFill>
                  <w14:solidFill>
                    <w14:schemeClr w14:val="tx1"/>
                  </w14:solidFill>
                </w14:textFill>
              </w:rPr>
              <w:t>简化</w:t>
            </w:r>
            <w:r>
              <w:rPr>
                <w:rFonts w:hint="default" w:ascii="Times New Roman" w:hAnsi="Times New Roman" w:cs="Times New Roman"/>
                <w:color w:val="000000" w:themeColor="text1"/>
                <w:sz w:val="24"/>
                <w:szCs w:val="24"/>
                <w14:textFill>
                  <w14:solidFill>
                    <w14:schemeClr w14:val="tx1"/>
                  </w14:solidFill>
                </w14:textFill>
              </w:rPr>
              <w:t>管理。建设单位应在启动生产设施或者实际排污之前，依法向韶关市生态环境局乐昌分局申请取得排污许可证，并按照排污许可证的规定排放污染物。</w:t>
            </w:r>
          </w:p>
          <w:p w14:paraId="31D59186">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（四）竣工验收要求</w:t>
            </w:r>
          </w:p>
          <w:p w14:paraId="303F2520">
            <w:pPr>
              <w:pStyle w:val="175"/>
              <w:keepNext w:val="0"/>
              <w:keepLines w:val="0"/>
              <w:pageBreakBefore w:val="0"/>
              <w:widowControl w:val="0"/>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根据《建设项目竣工环境保护验收暂行办法》（国环规环评〔2017〕4号），建设单位自行验收。本项目自行验收要求如下： </w:t>
            </w:r>
          </w:p>
          <w:p w14:paraId="08A6162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针对本项目，应参照《建设项目竣工环境保护验收技术指南污染影响类》编制验收监测报告。</w:t>
            </w:r>
          </w:p>
          <w:p w14:paraId="57950071">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验收监测报告编制完成后，建设单位应当根据验收监测报告结论，逐一检查是否存在暂行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1BB3A60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 xml:space="preserve">存在下列情形之一的建设项目，不得通过竣工环境保护验收： </w:t>
            </w:r>
          </w:p>
          <w:p w14:paraId="6AFF5217">
            <w:pPr>
              <w:pStyle w:val="175"/>
              <w:keepNext w:val="0"/>
              <w:keepLines w:val="0"/>
              <w:pageBreakBefore w:val="0"/>
              <w:widowControl w:val="0"/>
              <w:numPr>
                <w:ilvl w:val="0"/>
                <w:numId w:val="17"/>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未按环境影响报告表及其审批部门审批决定要求建成环境保护设施，或者环境保护设施不能与主体工程同时投产或者使用的；</w:t>
            </w:r>
          </w:p>
          <w:p w14:paraId="7A0CC8E7">
            <w:pPr>
              <w:pStyle w:val="175"/>
              <w:keepNext w:val="0"/>
              <w:keepLines w:val="0"/>
              <w:pageBreakBefore w:val="0"/>
              <w:widowControl w:val="0"/>
              <w:numPr>
                <w:ilvl w:val="0"/>
                <w:numId w:val="17"/>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污染物排放不符合国家和地方相关标准、环境影响报告书及其审批部门审批决定或者重点污染物排放总量控制指标要求的；</w:t>
            </w:r>
          </w:p>
          <w:p w14:paraId="4D533485">
            <w:pPr>
              <w:pStyle w:val="175"/>
              <w:keepNext w:val="0"/>
              <w:keepLines w:val="0"/>
              <w:pageBreakBefore w:val="0"/>
              <w:widowControl w:val="0"/>
              <w:numPr>
                <w:ilvl w:val="0"/>
                <w:numId w:val="17"/>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环境影响报告表经批准后，该建设项目的性质、规模、地点、采用的生产工艺或者防治污染、防止生态破坏的措施发生重大变动，建设单位未重新报批环境影响报告书或者环境影响报告书未经批准的； </w:t>
            </w:r>
          </w:p>
          <w:p w14:paraId="55142E74">
            <w:pPr>
              <w:pStyle w:val="175"/>
              <w:keepNext w:val="0"/>
              <w:keepLines w:val="0"/>
              <w:pageBreakBefore w:val="0"/>
              <w:widowControl w:val="0"/>
              <w:numPr>
                <w:ilvl w:val="0"/>
                <w:numId w:val="17"/>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建设过程中造成重大环境污染未治理完成，或者造成重大生态破坏未恢复的； </w:t>
            </w:r>
          </w:p>
          <w:p w14:paraId="17DA7C17">
            <w:pPr>
              <w:pStyle w:val="175"/>
              <w:keepNext w:val="0"/>
              <w:keepLines w:val="0"/>
              <w:pageBreakBefore w:val="0"/>
              <w:widowControl w:val="0"/>
              <w:numPr>
                <w:ilvl w:val="0"/>
                <w:numId w:val="17"/>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纳入排污许可管理的建设项目，无证排污或者不按证排污的；</w:t>
            </w:r>
          </w:p>
          <w:p w14:paraId="5A98AA6F">
            <w:pPr>
              <w:pStyle w:val="175"/>
              <w:keepNext w:val="0"/>
              <w:keepLines w:val="0"/>
              <w:pageBreakBefore w:val="0"/>
              <w:widowControl w:val="0"/>
              <w:numPr>
                <w:ilvl w:val="0"/>
                <w:numId w:val="17"/>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建设单位因该建设项目违反国家和地方环境保护法律法规受到处罚，被责令改正，尚未改正完成的；</w:t>
            </w:r>
          </w:p>
          <w:p w14:paraId="1A602528">
            <w:pPr>
              <w:pStyle w:val="175"/>
              <w:keepNext w:val="0"/>
              <w:keepLines w:val="0"/>
              <w:pageBreakBefore w:val="0"/>
              <w:widowControl w:val="0"/>
              <w:numPr>
                <w:ilvl w:val="0"/>
                <w:numId w:val="17"/>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验收报告的基础资料数据明显不实，内容存在重大缺项、遗漏，或者验收结论不明确、不合理的。</w:t>
            </w:r>
          </w:p>
          <w:p w14:paraId="4E694CAB">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为提高验收的有效性，在提出验收意见的过程中，建设单位可以组织成立验收工作组，采取现场检查、资料查阅、召开验收会议等方式，协助开展验收工作。验收工作组可以由设计单位、施工单位、环境影响报告书编制机构、验收监测（调查）报告编制机构等单位代表以及专业技术专家等组成，代表范围和人数自定。除按照国家需要保密的情形外，建设单位应当通过其网站或其他便于公众知晓的方式，向社会公开下列信息：</w:t>
            </w:r>
          </w:p>
          <w:p w14:paraId="4BB56606">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cs="Times New Roman"/>
                <w:b/>
                <w:bCs/>
                <w:color w:val="000000" w:themeColor="text1"/>
                <w:kern w:val="0"/>
                <w:sz w:val="21"/>
                <w:szCs w:val="21"/>
                <w:lang w:val="en-US" w:eastAsia="zh-CN" w:bidi="ar-SA"/>
                <w14:textFill>
                  <w14:solidFill>
                    <w14:schemeClr w14:val="tx1"/>
                  </w14:solidFill>
                </w14:textFill>
              </w:rPr>
              <w:t>①</w:t>
            </w:r>
            <w:r>
              <w:rPr>
                <w:rFonts w:hint="default" w:ascii="Times New Roman" w:hAnsi="Times New Roman" w:cs="Times New Roman"/>
                <w:color w:val="000000" w:themeColor="text1"/>
                <w:sz w:val="24"/>
                <w:szCs w:val="24"/>
                <w14:textFill>
                  <w14:solidFill>
                    <w14:schemeClr w14:val="tx1"/>
                  </w14:solidFill>
                </w14:textFill>
              </w:rPr>
              <w:t>建设项目配套建设的环境保护设施竣工后，公开竣工日期；</w:t>
            </w:r>
          </w:p>
          <w:p w14:paraId="52DA14DD">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cs="Times New Roman"/>
                <w:b/>
                <w:bCs/>
                <w:color w:val="000000" w:themeColor="text1"/>
                <w:kern w:val="0"/>
                <w:sz w:val="21"/>
                <w:szCs w:val="21"/>
                <w:lang w:val="en-US" w:eastAsia="zh-CN" w:bidi="ar-SA"/>
                <w14:textFill>
                  <w14:solidFill>
                    <w14:schemeClr w14:val="tx1"/>
                  </w14:solidFill>
                </w14:textFill>
              </w:rPr>
              <w:t>②</w:t>
            </w:r>
            <w:r>
              <w:rPr>
                <w:rFonts w:hint="default" w:ascii="Times New Roman" w:hAnsi="Times New Roman" w:cs="Times New Roman"/>
                <w:color w:val="000000" w:themeColor="text1"/>
                <w:sz w:val="24"/>
                <w:szCs w:val="24"/>
                <w14:textFill>
                  <w14:solidFill>
                    <w14:schemeClr w14:val="tx1"/>
                  </w14:solidFill>
                </w14:textFill>
              </w:rPr>
              <w:t>对建设项目配套建设的环境保护设施进行调试前，公开调试的起止日期；</w:t>
            </w:r>
          </w:p>
          <w:p w14:paraId="3F2F3047">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cs="Times New Roman"/>
                <w:b/>
                <w:bCs/>
                <w:color w:val="000000" w:themeColor="text1"/>
                <w:kern w:val="0"/>
                <w:sz w:val="21"/>
                <w:szCs w:val="21"/>
                <w:lang w:val="en-US" w:eastAsia="zh-CN" w:bidi="ar-SA"/>
                <w14:textFill>
                  <w14:solidFill>
                    <w14:schemeClr w14:val="tx1"/>
                  </w14:solidFill>
                </w14:textFill>
              </w:rPr>
              <w:t>③</w:t>
            </w:r>
            <w:r>
              <w:rPr>
                <w:rFonts w:hint="default" w:ascii="Times New Roman" w:hAnsi="Times New Roman" w:cs="Times New Roman"/>
                <w:color w:val="000000" w:themeColor="text1"/>
                <w:sz w:val="24"/>
                <w:szCs w:val="24"/>
                <w14:textFill>
                  <w14:solidFill>
                    <w14:schemeClr w14:val="tx1"/>
                  </w14:solidFill>
                </w14:textFill>
              </w:rPr>
              <w:t>验收报告编制完成后5个工作日内，公开验收报告，公示的期限不得少于20个工作日。</w:t>
            </w:r>
          </w:p>
          <w:p w14:paraId="763EA423">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验收期限是指自建设项目环境保护设施竣工之日起至建设单位向社会公开验收报告之日止的时间。验收报告公示期满后5个工作日内，建设单位应当登录全国建设项目竣工环境保护验收信息平台，填报建设项目基本信息、环境保护设施验收情况等相关信息，环境保护主管部门对上述信息予以公开。建设单位应当将验收报告以及其他档案资料存档备查。</w:t>
            </w:r>
          </w:p>
          <w:p w14:paraId="6A216999">
            <w:pPr>
              <w:pStyle w:val="175"/>
              <w:keepNext w:val="0"/>
              <w:keepLines w:val="0"/>
              <w:pageBreakBefore w:val="0"/>
              <w:widowControl w:val="0"/>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p>
          <w:p w14:paraId="6D7F7548">
            <w:pPr>
              <w:pStyle w:val="175"/>
              <w:keepNext w:val="0"/>
              <w:keepLines w:val="0"/>
              <w:pageBreakBefore w:val="0"/>
              <w:widowControl w:val="0"/>
              <w:kinsoku/>
              <w:overflowPunct/>
              <w:topLinePunct w:val="0"/>
              <w:autoSpaceDE/>
              <w:autoSpaceDN/>
              <w:bidi w:val="0"/>
              <w:spacing w:before="0" w:after="0" w:line="36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7826FC5C">
            <w:pPr>
              <w:pStyle w:val="175"/>
              <w:keepNext w:val="0"/>
              <w:keepLines w:val="0"/>
              <w:pageBreakBefore w:val="0"/>
              <w:widowControl w:val="0"/>
              <w:kinsoku/>
              <w:overflowPunct/>
              <w:topLinePunct w:val="0"/>
              <w:autoSpaceDE/>
              <w:autoSpaceDN/>
              <w:bidi w:val="0"/>
              <w:spacing w:before="0" w:after="0" w:line="360" w:lineRule="auto"/>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14:paraId="4E97CFFA">
      <w:pPr>
        <w:pStyle w:val="41"/>
        <w:jc w:val="center"/>
        <w:outlineLvl w:val="0"/>
        <w:rPr>
          <w:rFonts w:ascii="黑体" w:hAnsi="黑体" w:eastAsia="黑体"/>
          <w:snapToGrid w:val="0"/>
          <w:color w:val="auto"/>
          <w:sz w:val="30"/>
          <w:szCs w:val="30"/>
          <w:highlight w:val="none"/>
        </w:rPr>
      </w:pPr>
      <w:r>
        <w:rPr>
          <w:snapToGrid w:val="0"/>
          <w:color w:val="000000" w:themeColor="text1"/>
          <w:highlight w:val="none"/>
          <w14:textFill>
            <w14:solidFill>
              <w14:schemeClr w14:val="tx1"/>
            </w14:solidFill>
          </w14:textFill>
        </w:rPr>
        <w:br w:type="page"/>
      </w:r>
      <w:bookmarkStart w:id="41" w:name="_Toc7332"/>
      <w:bookmarkStart w:id="42" w:name="_Toc6762"/>
      <w:bookmarkStart w:id="43" w:name="_Toc9674"/>
      <w:bookmarkStart w:id="44" w:name="_Toc22078"/>
      <w:r>
        <w:rPr>
          <w:rFonts w:hint="eastAsia" w:ascii="黑体" w:hAnsi="黑体" w:eastAsia="黑体"/>
          <w:snapToGrid w:val="0"/>
          <w:color w:val="auto"/>
          <w:sz w:val="30"/>
          <w:szCs w:val="30"/>
          <w:highlight w:val="none"/>
        </w:rPr>
        <w:t>六、结论</w:t>
      </w:r>
      <w:bookmarkEnd w:id="41"/>
      <w:bookmarkEnd w:id="42"/>
      <w:bookmarkEnd w:id="43"/>
      <w:bookmarkEnd w:id="44"/>
    </w:p>
    <w:tbl>
      <w:tblPr>
        <w:tblStyle w:val="4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7EACA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91" w:hRule="atLeast"/>
          <w:jc w:val="center"/>
        </w:trPr>
        <w:tc>
          <w:tcPr>
            <w:tcW w:w="8865" w:type="dxa"/>
            <w:noWrap w:val="0"/>
            <w:vAlign w:val="center"/>
          </w:tcPr>
          <w:p w14:paraId="09411B3E">
            <w:pPr>
              <w:spacing w:line="360" w:lineRule="auto"/>
              <w:ind w:firstLine="480" w:firstLineChars="200"/>
              <w:rPr>
                <w:rFonts w:ascii="宋体" w:cs="宋体"/>
                <w:color w:val="auto"/>
                <w:sz w:val="24"/>
                <w:highlight w:val="none"/>
              </w:rPr>
            </w:pPr>
            <w:r>
              <w:rPr>
                <w:rFonts w:hint="eastAsia" w:ascii="宋体" w:cs="宋体"/>
                <w:color w:val="auto"/>
                <w:sz w:val="24"/>
                <w:highlight w:val="none"/>
              </w:rPr>
              <w:t>本项目</w:t>
            </w:r>
            <w:r>
              <w:rPr>
                <w:rFonts w:ascii="宋体" w:cs="宋体"/>
                <w:color w:val="auto"/>
                <w:sz w:val="24"/>
                <w:highlight w:val="none"/>
              </w:rPr>
              <w:t>性质与周边环境功能区划相符，符合规划布局要求，选址合理可行。项目所在区域大气、水、声环境质量现状良好，因此本项目应认真执行环保“三同时”管理规定，把项目对环境的影响控制在最低限度。在切实落实本环评提出的各项有关环保措施，并确保各种治理设施正常</w:t>
            </w:r>
            <w:r>
              <w:rPr>
                <w:rFonts w:hint="eastAsia" w:ascii="宋体" w:cs="宋体"/>
                <w:color w:val="auto"/>
                <w:sz w:val="24"/>
                <w:highlight w:val="none"/>
                <w:lang w:eastAsia="zh-CN"/>
              </w:rPr>
              <w:t>运转</w:t>
            </w:r>
            <w:r>
              <w:rPr>
                <w:rFonts w:ascii="宋体" w:cs="宋体"/>
                <w:color w:val="auto"/>
                <w:sz w:val="24"/>
                <w:highlight w:val="none"/>
              </w:rPr>
              <w:t>以及确保污染物达标排放前提下，项目对周围环境质量的影响不大，从环境保护角度分析，本项目的建设是可行的。</w:t>
            </w:r>
          </w:p>
        </w:tc>
      </w:tr>
    </w:tbl>
    <w:p w14:paraId="24B6D17E">
      <w:pPr>
        <w:rPr>
          <w:rFonts w:ascii="宋体"/>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7117AEA">
      <w:pPr>
        <w:widowControl/>
        <w:adjustRightInd w:val="0"/>
        <w:snapToGrid w:val="0"/>
        <w:spacing w:before="0" w:beforeAutospacing="0" w:after="0" w:afterAutospacing="0"/>
        <w:jc w:val="left"/>
        <w:outlineLvl w:val="0"/>
        <w:rPr>
          <w:rFonts w:ascii="黑体" w:hAnsi="黑体" w:eastAsia="黑体" w:cs="Times New Roman"/>
          <w:snapToGrid w:val="0"/>
          <w:color w:val="auto"/>
          <w:kern w:val="0"/>
          <w:sz w:val="32"/>
          <w:szCs w:val="32"/>
          <w:highlight w:val="none"/>
          <w:lang w:val="en-US" w:eastAsia="zh-CN" w:bidi="ar-SA"/>
        </w:rPr>
      </w:pPr>
      <w:bookmarkStart w:id="45" w:name="_Toc2248"/>
      <w:bookmarkStart w:id="46" w:name="_Toc10053"/>
      <w:bookmarkStart w:id="47" w:name="_Toc4000"/>
      <w:bookmarkStart w:id="48" w:name="_Toc13894"/>
      <w:r>
        <w:rPr>
          <w:rFonts w:hint="eastAsia" w:ascii="黑体" w:hAnsi="黑体" w:eastAsia="黑体" w:cs="Times New Roman"/>
          <w:snapToGrid w:val="0"/>
          <w:color w:val="auto"/>
          <w:kern w:val="0"/>
          <w:sz w:val="32"/>
          <w:szCs w:val="32"/>
          <w:highlight w:val="none"/>
          <w:lang w:val="en-US" w:eastAsia="zh-CN" w:bidi="ar-SA"/>
        </w:rPr>
        <w:t>附表</w:t>
      </w:r>
      <w:bookmarkEnd w:id="45"/>
      <w:bookmarkEnd w:id="46"/>
      <w:bookmarkEnd w:id="47"/>
      <w:bookmarkEnd w:id="48"/>
    </w:p>
    <w:p w14:paraId="535D65B0">
      <w:pPr>
        <w:widowControl/>
        <w:adjustRightInd w:val="0"/>
        <w:snapToGrid w:val="0"/>
        <w:spacing w:before="0" w:beforeAutospacing="0" w:after="0" w:afterAutospacing="0" w:line="552" w:lineRule="auto"/>
        <w:jc w:val="center"/>
        <w:rPr>
          <w:rFonts w:hint="eastAsia" w:ascii="方正小标宋_GBK" w:hAnsi="黑体" w:eastAsia="方正小标宋_GBK" w:cs="Times New Roman"/>
          <w:snapToGrid w:val="0"/>
          <w:color w:val="auto"/>
          <w:kern w:val="0"/>
          <w:sz w:val="38"/>
          <w:szCs w:val="38"/>
          <w:highlight w:val="none"/>
          <w:lang w:val="en-US" w:eastAsia="zh-CN" w:bidi="ar-SA"/>
        </w:rPr>
      </w:pPr>
      <w:bookmarkStart w:id="49" w:name="_Toc6789"/>
      <w:r>
        <w:rPr>
          <w:rFonts w:hint="eastAsia" w:ascii="方正小标宋_GBK" w:hAnsi="黑体" w:eastAsia="方正小标宋_GBK" w:cs="Times New Roman"/>
          <w:snapToGrid w:val="0"/>
          <w:color w:val="auto"/>
          <w:kern w:val="0"/>
          <w:sz w:val="38"/>
          <w:szCs w:val="38"/>
          <w:highlight w:val="none"/>
          <w:lang w:val="en-US" w:eastAsia="zh-CN" w:bidi="ar-SA"/>
        </w:rPr>
        <w:t>建设项目污染物排放量汇总表</w:t>
      </w:r>
      <w:bookmarkEnd w:id="49"/>
    </w:p>
    <w:tbl>
      <w:tblPr>
        <w:tblStyle w:val="44"/>
        <w:tblW w:w="1395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795"/>
        <w:gridCol w:w="1704"/>
        <w:gridCol w:w="1356"/>
        <w:gridCol w:w="1644"/>
        <w:gridCol w:w="1488"/>
        <w:gridCol w:w="1620"/>
        <w:gridCol w:w="1932"/>
        <w:gridCol w:w="1456"/>
      </w:tblGrid>
      <w:tr w14:paraId="120917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62" w:type="dxa"/>
            <w:tcBorders>
              <w:tl2br w:val="single" w:color="auto" w:sz="4" w:space="0"/>
            </w:tcBorders>
            <w:noWrap w:val="0"/>
            <w:tcMar>
              <w:left w:w="28" w:type="dxa"/>
              <w:right w:w="28" w:type="dxa"/>
            </w:tcMar>
            <w:vAlign w:val="center"/>
          </w:tcPr>
          <w:p w14:paraId="66D20467">
            <w:pPr>
              <w:widowControl w:val="0"/>
              <w:adjustRightInd w:val="0"/>
              <w:snapToGrid w:val="0"/>
              <w:spacing w:beforeLines="0" w:afterLines="0" w:line="240" w:lineRule="auto"/>
              <w:ind w:firstLine="398" w:firstLineChars="200"/>
              <w:jc w:val="right"/>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项目</w:t>
            </w:r>
          </w:p>
          <w:p w14:paraId="60CA1145">
            <w:pPr>
              <w:widowControl w:val="0"/>
              <w:adjustRightInd w:val="0"/>
              <w:snapToGrid w:val="0"/>
              <w:spacing w:beforeLines="0" w:afterLines="0" w:line="240" w:lineRule="auto"/>
              <w:ind w:firstLine="0" w:firstLineChars="0"/>
              <w:jc w:val="left"/>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分类</w:t>
            </w:r>
          </w:p>
        </w:tc>
        <w:tc>
          <w:tcPr>
            <w:tcW w:w="1795" w:type="dxa"/>
            <w:noWrap w:val="0"/>
            <w:tcMar>
              <w:left w:w="28" w:type="dxa"/>
              <w:right w:w="28" w:type="dxa"/>
            </w:tcMar>
            <w:vAlign w:val="center"/>
          </w:tcPr>
          <w:p w14:paraId="0F7056B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污染物名称</w:t>
            </w:r>
          </w:p>
        </w:tc>
        <w:tc>
          <w:tcPr>
            <w:tcW w:w="1704" w:type="dxa"/>
            <w:noWrap w:val="0"/>
            <w:tcMar>
              <w:left w:w="28" w:type="dxa"/>
              <w:right w:w="28" w:type="dxa"/>
            </w:tcMar>
            <w:vAlign w:val="center"/>
          </w:tcPr>
          <w:p w14:paraId="728FC8F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现有工程排放量（固体废物产生量）</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instrText xml:space="preserve"> = 1 \* GB3 \* MERGEFORMAT </w:instrTex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①</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end"/>
            </w:r>
          </w:p>
        </w:tc>
        <w:tc>
          <w:tcPr>
            <w:tcW w:w="1356" w:type="dxa"/>
            <w:noWrap w:val="0"/>
            <w:tcMar>
              <w:left w:w="28" w:type="dxa"/>
              <w:right w:w="28" w:type="dxa"/>
            </w:tcMar>
            <w:vAlign w:val="center"/>
          </w:tcPr>
          <w:p w14:paraId="4DB37C3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现有工程许可排放量</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instrText xml:space="preserve"> = 2 \* GB3 \* MERGEFORMAT </w:instrTex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②</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end"/>
            </w:r>
          </w:p>
        </w:tc>
        <w:tc>
          <w:tcPr>
            <w:tcW w:w="1644" w:type="dxa"/>
            <w:noWrap w:val="0"/>
            <w:tcMar>
              <w:left w:w="28" w:type="dxa"/>
              <w:right w:w="28" w:type="dxa"/>
            </w:tcMar>
            <w:vAlign w:val="center"/>
          </w:tcPr>
          <w:p w14:paraId="12673731">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在建工程排放量（固体废物产生量）</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instrText xml:space="preserve"> = 3 \* GB3 \* MERGEFORMAT </w:instrTex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③</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end"/>
            </w:r>
          </w:p>
        </w:tc>
        <w:tc>
          <w:tcPr>
            <w:tcW w:w="1488" w:type="dxa"/>
            <w:noWrap w:val="0"/>
            <w:tcMar>
              <w:left w:w="28" w:type="dxa"/>
              <w:right w:w="28" w:type="dxa"/>
            </w:tcMar>
            <w:vAlign w:val="center"/>
          </w:tcPr>
          <w:p w14:paraId="45224A2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本项目排放量（固体废物产生量）</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instrText xml:space="preserve"> = 4 \* GB3 \* MERGEFORMAT </w:instrTex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④</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end"/>
            </w:r>
          </w:p>
        </w:tc>
        <w:tc>
          <w:tcPr>
            <w:tcW w:w="1620" w:type="dxa"/>
            <w:noWrap w:val="0"/>
            <w:tcMar>
              <w:left w:w="28" w:type="dxa"/>
              <w:right w:w="28" w:type="dxa"/>
            </w:tcMar>
            <w:vAlign w:val="center"/>
          </w:tcPr>
          <w:p w14:paraId="7A271BF6">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t>以新带老削减量（新建项目不填）</w:t>
            </w: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instrText xml:space="preserve"> = 5 \* GB3 \* MERGEFORMAT </w:instrText>
            </w: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⑤</w:t>
            </w: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fldChar w:fldCharType="end"/>
            </w:r>
          </w:p>
        </w:tc>
        <w:tc>
          <w:tcPr>
            <w:tcW w:w="1932" w:type="dxa"/>
            <w:noWrap w:val="0"/>
            <w:tcMar>
              <w:left w:w="28" w:type="dxa"/>
              <w:right w:w="28" w:type="dxa"/>
            </w:tcMar>
            <w:vAlign w:val="center"/>
          </w:tcPr>
          <w:p w14:paraId="5359B99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t>本项目建成后全厂排放量（固体废物产生量）</w:t>
            </w: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instrText xml:space="preserve"> = 6 \* GB3 \* MERGEFORMAT </w:instrText>
            </w: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⑥</w:t>
            </w:r>
            <w:r>
              <w:rPr>
                <w:rFonts w:hint="default" w:ascii="Times New Roman" w:hAnsi="Times New Roman" w:eastAsia="宋体" w:cs="Times New Roman"/>
                <w:b/>
                <w:bCs/>
                <w:snapToGrid w:val="0"/>
                <w:color w:val="000000" w:themeColor="text1"/>
                <w:spacing w:val="-16"/>
                <w:kern w:val="21"/>
                <w:sz w:val="21"/>
                <w:szCs w:val="21"/>
                <w:highlight w:val="none"/>
                <w:lang w:val="en-US" w:eastAsia="zh-CN" w:bidi="ar-SA"/>
                <w14:textFill>
                  <w14:solidFill>
                    <w14:schemeClr w14:val="tx1"/>
                  </w14:solidFill>
                </w14:textFill>
              </w:rPr>
              <w:fldChar w:fldCharType="end"/>
            </w:r>
          </w:p>
        </w:tc>
        <w:tc>
          <w:tcPr>
            <w:tcW w:w="1456" w:type="dxa"/>
            <w:noWrap w:val="0"/>
            <w:tcMar>
              <w:left w:w="28" w:type="dxa"/>
              <w:right w:w="28" w:type="dxa"/>
            </w:tcMar>
            <w:vAlign w:val="center"/>
          </w:tcPr>
          <w:p w14:paraId="02483D4C">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t>变化量</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instrText xml:space="preserve"> = 7 \* GB3 \* MERGEFORMAT </w:instrTex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⑦</w:t>
            </w:r>
            <w:r>
              <w:rPr>
                <w:rFonts w:hint="default" w:ascii="Times New Roman" w:hAnsi="Times New Roman" w:eastAsia="宋体" w:cs="Times New Roman"/>
                <w:b/>
                <w:bCs/>
                <w:snapToGrid w:val="0"/>
                <w:color w:val="000000" w:themeColor="text1"/>
                <w:spacing w:val="-6"/>
                <w:kern w:val="21"/>
                <w:sz w:val="21"/>
                <w:szCs w:val="21"/>
                <w:highlight w:val="none"/>
                <w:lang w:val="en-US" w:eastAsia="zh-CN" w:bidi="ar-SA"/>
                <w14:textFill>
                  <w14:solidFill>
                    <w14:schemeClr w14:val="tx1"/>
                  </w14:solidFill>
                </w14:textFill>
              </w:rPr>
              <w:fldChar w:fldCharType="end"/>
            </w:r>
          </w:p>
        </w:tc>
      </w:tr>
      <w:tr w14:paraId="23395C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24BFB1AF">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废气</w:t>
            </w:r>
          </w:p>
        </w:tc>
        <w:tc>
          <w:tcPr>
            <w:tcW w:w="1795" w:type="dxa"/>
            <w:noWrap w:val="0"/>
            <w:vAlign w:val="center"/>
          </w:tcPr>
          <w:p w14:paraId="522510EC">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废气量</w:t>
            </w:r>
          </w:p>
        </w:tc>
        <w:tc>
          <w:tcPr>
            <w:tcW w:w="1704" w:type="dxa"/>
            <w:noWrap w:val="0"/>
            <w:vAlign w:val="center"/>
          </w:tcPr>
          <w:p w14:paraId="5C24E88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p>
        </w:tc>
        <w:tc>
          <w:tcPr>
            <w:tcW w:w="1356" w:type="dxa"/>
            <w:noWrap w:val="0"/>
            <w:vAlign w:val="center"/>
          </w:tcPr>
          <w:p w14:paraId="73D2F389">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p>
        </w:tc>
        <w:tc>
          <w:tcPr>
            <w:tcW w:w="1644" w:type="dxa"/>
            <w:noWrap w:val="0"/>
            <w:vAlign w:val="center"/>
          </w:tcPr>
          <w:p w14:paraId="699AC119">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p>
        </w:tc>
        <w:tc>
          <w:tcPr>
            <w:tcW w:w="1488" w:type="dxa"/>
            <w:noWrap w:val="0"/>
            <w:vAlign w:val="center"/>
          </w:tcPr>
          <w:p w14:paraId="7FC4B026">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snapToGrid w:val="0"/>
                <w:color w:val="000000" w:themeColor="text1"/>
                <w:kern w:val="21"/>
                <w:sz w:val="21"/>
                <w:szCs w:val="21"/>
                <w:highlight w:val="none"/>
                <w:lang w:val="en-US" w:eastAsia="zh-CN" w:bidi="ar-SA"/>
                <w14:textFill>
                  <w14:solidFill>
                    <w14:schemeClr w14:val="tx1"/>
                  </w14:solidFill>
                </w14:textFill>
              </w:rPr>
              <w:t>48624.16</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万m</w:t>
            </w:r>
            <w:r>
              <w:rPr>
                <w:rFonts w:hint="default" w:ascii="Times New Roman" w:hAnsi="Times New Roman" w:eastAsia="宋体" w:cs="Times New Roman"/>
                <w:color w:val="000000" w:themeColor="text1"/>
                <w:kern w:val="0"/>
                <w:sz w:val="21"/>
                <w:szCs w:val="21"/>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w:t>
            </w:r>
          </w:p>
        </w:tc>
        <w:tc>
          <w:tcPr>
            <w:tcW w:w="1620" w:type="dxa"/>
            <w:noWrap w:val="0"/>
            <w:vAlign w:val="center"/>
          </w:tcPr>
          <w:p w14:paraId="48614F3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p>
        </w:tc>
        <w:tc>
          <w:tcPr>
            <w:tcW w:w="1932" w:type="dxa"/>
            <w:noWrap w:val="0"/>
            <w:vAlign w:val="center"/>
          </w:tcPr>
          <w:p w14:paraId="12511351">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snapToGrid w:val="0"/>
                <w:color w:val="000000" w:themeColor="text1"/>
                <w:kern w:val="21"/>
                <w:sz w:val="21"/>
                <w:szCs w:val="21"/>
                <w:highlight w:val="none"/>
                <w:lang w:val="en-US" w:eastAsia="zh-CN" w:bidi="ar-SA"/>
                <w14:textFill>
                  <w14:solidFill>
                    <w14:schemeClr w14:val="tx1"/>
                  </w14:solidFill>
                </w14:textFill>
              </w:rPr>
              <w:t>48624.16</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万m</w:t>
            </w:r>
            <w:r>
              <w:rPr>
                <w:rFonts w:hint="default" w:ascii="Times New Roman" w:hAnsi="Times New Roman" w:eastAsia="宋体" w:cs="Times New Roman"/>
                <w:color w:val="000000" w:themeColor="text1"/>
                <w:kern w:val="0"/>
                <w:sz w:val="21"/>
                <w:szCs w:val="21"/>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w:t>
            </w:r>
          </w:p>
        </w:tc>
        <w:tc>
          <w:tcPr>
            <w:tcW w:w="1456" w:type="dxa"/>
            <w:noWrap w:val="0"/>
            <w:vAlign w:val="center"/>
          </w:tcPr>
          <w:p w14:paraId="17962D4E">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r>
              <w:rPr>
                <w:rFonts w:hint="eastAsia" w:cs="Times New Roman"/>
                <w:snapToGrid w:val="0"/>
                <w:color w:val="000000" w:themeColor="text1"/>
                <w:kern w:val="21"/>
                <w:sz w:val="21"/>
                <w:szCs w:val="21"/>
                <w:highlight w:val="none"/>
                <w:lang w:val="en-US" w:eastAsia="zh-CN" w:bidi="ar-SA"/>
                <w14:textFill>
                  <w14:solidFill>
                    <w14:schemeClr w14:val="tx1"/>
                  </w14:solidFill>
                </w14:textFill>
              </w:rPr>
              <w:t>48624.16</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万m</w:t>
            </w:r>
            <w:r>
              <w:rPr>
                <w:rFonts w:hint="default" w:ascii="Times New Roman" w:hAnsi="Times New Roman" w:eastAsia="宋体" w:cs="Times New Roman"/>
                <w:color w:val="000000" w:themeColor="text1"/>
                <w:kern w:val="0"/>
                <w:sz w:val="21"/>
                <w:szCs w:val="21"/>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w:t>
            </w:r>
          </w:p>
        </w:tc>
      </w:tr>
      <w:tr w14:paraId="7C6663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1309B4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5FA3B0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颗粒物</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56A53F9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p>
        </w:tc>
        <w:tc>
          <w:tcPr>
            <w:tcW w:w="1356" w:type="dxa"/>
            <w:noWrap w:val="0"/>
            <w:vAlign w:val="center"/>
          </w:tcPr>
          <w:p w14:paraId="6D44B8A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p>
        </w:tc>
        <w:tc>
          <w:tcPr>
            <w:tcW w:w="1644" w:type="dxa"/>
            <w:noWrap w:val="0"/>
            <w:vAlign w:val="center"/>
          </w:tcPr>
          <w:p w14:paraId="6DF5DC5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p>
        </w:tc>
        <w:tc>
          <w:tcPr>
            <w:tcW w:w="1488" w:type="dxa"/>
            <w:noWrap w:val="0"/>
            <w:vAlign w:val="center"/>
          </w:tcPr>
          <w:p w14:paraId="7B682682">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cs="Times New Roman"/>
                <w:i w:val="0"/>
                <w:iCs w:val="0"/>
                <w:color w:val="000000" w:themeColor="text1"/>
                <w:kern w:val="0"/>
                <w:sz w:val="21"/>
                <w:szCs w:val="21"/>
                <w:u w:val="none"/>
                <w:lang w:val="en-US" w:eastAsia="zh-CN" w:bidi="ar"/>
                <w14:textFill>
                  <w14:solidFill>
                    <w14:schemeClr w14:val="tx1"/>
                  </w14:solidFill>
                </w14:textFill>
              </w:rPr>
              <w:t>277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07563BE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w:t>
            </w:r>
          </w:p>
        </w:tc>
        <w:tc>
          <w:tcPr>
            <w:tcW w:w="1932" w:type="dxa"/>
            <w:noWrap w:val="0"/>
            <w:vAlign w:val="center"/>
          </w:tcPr>
          <w:p w14:paraId="756E39C3">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cs="Times New Roman"/>
                <w:i w:val="0"/>
                <w:iCs w:val="0"/>
                <w:color w:val="000000" w:themeColor="text1"/>
                <w:kern w:val="0"/>
                <w:sz w:val="21"/>
                <w:szCs w:val="21"/>
                <w:u w:val="none"/>
                <w:lang w:val="en-US" w:eastAsia="zh-CN" w:bidi="ar"/>
                <w14:textFill>
                  <w14:solidFill>
                    <w14:schemeClr w14:val="tx1"/>
                  </w14:solidFill>
                </w14:textFill>
              </w:rPr>
              <w:t>277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7ED58740">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cs="Times New Roman"/>
                <w:i w:val="0"/>
                <w:iCs w:val="0"/>
                <w:color w:val="000000" w:themeColor="text1"/>
                <w:kern w:val="0"/>
                <w:sz w:val="21"/>
                <w:szCs w:val="21"/>
                <w:u w:val="none"/>
                <w:lang w:val="en-US" w:eastAsia="zh-CN" w:bidi="ar"/>
                <w14:textFill>
                  <w14:solidFill>
                    <w14:schemeClr w14:val="tx1"/>
                  </w14:solidFill>
                </w14:textFill>
              </w:rPr>
              <w:t>277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38F74C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0BCC9117">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3FE3348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非甲烷总烃</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C7D55E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0EB4697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577803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638C8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1.022 </w:t>
            </w:r>
          </w:p>
        </w:tc>
        <w:tc>
          <w:tcPr>
            <w:tcW w:w="1620" w:type="dxa"/>
            <w:noWrap w:val="0"/>
            <w:vAlign w:val="center"/>
          </w:tcPr>
          <w:p w14:paraId="0E6EEF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32" w:type="dxa"/>
            <w:noWrap w:val="0"/>
            <w:vAlign w:val="center"/>
          </w:tcPr>
          <w:p w14:paraId="21ADC5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1.022 </w:t>
            </w:r>
          </w:p>
        </w:tc>
        <w:tc>
          <w:tcPr>
            <w:tcW w:w="1456" w:type="dxa"/>
            <w:noWrap w:val="0"/>
            <w:vAlign w:val="center"/>
          </w:tcPr>
          <w:p w14:paraId="2FD3F6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1.022 </w:t>
            </w:r>
          </w:p>
        </w:tc>
      </w:tr>
      <w:tr w14:paraId="1405F0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5DE0A3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FC679E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苯系物</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EE74E8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D16290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1A6D866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E6644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0.483 </w:t>
            </w:r>
          </w:p>
        </w:tc>
        <w:tc>
          <w:tcPr>
            <w:tcW w:w="1620" w:type="dxa"/>
            <w:noWrap w:val="0"/>
            <w:vAlign w:val="center"/>
          </w:tcPr>
          <w:p w14:paraId="040008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32" w:type="dxa"/>
            <w:noWrap w:val="0"/>
            <w:vAlign w:val="center"/>
          </w:tcPr>
          <w:p w14:paraId="0DE79F3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0.483 </w:t>
            </w:r>
          </w:p>
        </w:tc>
        <w:tc>
          <w:tcPr>
            <w:tcW w:w="1456" w:type="dxa"/>
            <w:noWrap w:val="0"/>
            <w:vAlign w:val="center"/>
          </w:tcPr>
          <w:p w14:paraId="2710A26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0.483 </w:t>
            </w:r>
          </w:p>
        </w:tc>
      </w:tr>
      <w:tr w14:paraId="2E67F8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27DA44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00774BBD">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2</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9EA78E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CC18C6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5293368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1FE9D35">
            <w:pPr>
              <w:keepNext w:val="0"/>
              <w:keepLines w:val="0"/>
              <w:widowControl/>
              <w:suppressLineNumbers w:val="0"/>
              <w:jc w:val="center"/>
              <w:textAlignment w:val="center"/>
              <w:rPr>
                <w:rFonts w:hint="default" w:asci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 </w:t>
            </w:r>
          </w:p>
        </w:tc>
        <w:tc>
          <w:tcPr>
            <w:tcW w:w="1620" w:type="dxa"/>
            <w:noWrap w:val="0"/>
            <w:vAlign w:val="center"/>
          </w:tcPr>
          <w:p w14:paraId="266E9E6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1F9F2AAB">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 </w:t>
            </w:r>
          </w:p>
        </w:tc>
        <w:tc>
          <w:tcPr>
            <w:tcW w:w="1456" w:type="dxa"/>
            <w:noWrap w:val="0"/>
            <w:vAlign w:val="center"/>
          </w:tcPr>
          <w:p w14:paraId="2DC8DEB3">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 </w:t>
            </w:r>
          </w:p>
        </w:tc>
      </w:tr>
      <w:tr w14:paraId="494D79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 w:type="dxa"/>
            <w:vMerge w:val="continue"/>
            <w:noWrap w:val="0"/>
            <w:vAlign w:val="center"/>
          </w:tcPr>
          <w:p w14:paraId="4ABCFE9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B3EA88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X</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178210C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3AC09A7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5C23DF7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1232740C">
            <w:pPr>
              <w:keepNext w:val="0"/>
              <w:keepLines w:val="0"/>
              <w:widowControl/>
              <w:suppressLineNumbers w:val="0"/>
              <w:jc w:val="center"/>
              <w:textAlignment w:val="center"/>
              <w:rPr>
                <w:rFonts w:hint="default" w:asci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341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0BEDC25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42DD45D5">
            <w:pPr>
              <w:keepNext w:val="0"/>
              <w:keepLines w:val="0"/>
              <w:widowControl/>
              <w:suppressLineNumbers w:val="0"/>
              <w:jc w:val="center"/>
              <w:textAlignment w:val="center"/>
              <w:rPr>
                <w:rFonts w:hint="eastAsia"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341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00514957">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341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05E42A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1DD7E71C">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2B046734">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油烟</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A470CA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6602C1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26103C6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587EF8BF">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c>
          <w:tcPr>
            <w:tcW w:w="1620" w:type="dxa"/>
            <w:noWrap w:val="0"/>
            <w:vAlign w:val="center"/>
          </w:tcPr>
          <w:p w14:paraId="4371254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7DC487FF">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c>
          <w:tcPr>
            <w:tcW w:w="1456" w:type="dxa"/>
            <w:noWrap w:val="0"/>
            <w:vAlign w:val="center"/>
          </w:tcPr>
          <w:p w14:paraId="64E2FCBD">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0.007 </w:t>
            </w:r>
          </w:p>
        </w:tc>
      </w:tr>
      <w:tr w14:paraId="55ECCA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3FC70EE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废水</w:t>
            </w:r>
          </w:p>
        </w:tc>
        <w:tc>
          <w:tcPr>
            <w:tcW w:w="1795" w:type="dxa"/>
            <w:noWrap w:val="0"/>
            <w:vAlign w:val="center"/>
          </w:tcPr>
          <w:p w14:paraId="777B3E9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废水量</w:t>
            </w:r>
          </w:p>
        </w:tc>
        <w:tc>
          <w:tcPr>
            <w:tcW w:w="1704" w:type="dxa"/>
            <w:noWrap w:val="0"/>
            <w:vAlign w:val="center"/>
          </w:tcPr>
          <w:p w14:paraId="033ED81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2C989D6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401D37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590948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2080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万</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p>
        </w:tc>
        <w:tc>
          <w:tcPr>
            <w:tcW w:w="1620" w:type="dxa"/>
            <w:noWrap w:val="0"/>
            <w:vAlign w:val="center"/>
          </w:tcPr>
          <w:p w14:paraId="7281DD3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2E0F318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2080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万</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p>
        </w:tc>
        <w:tc>
          <w:tcPr>
            <w:tcW w:w="1456" w:type="dxa"/>
            <w:noWrap w:val="0"/>
            <w:vAlign w:val="center"/>
          </w:tcPr>
          <w:p w14:paraId="065B04F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2080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万</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p>
        </w:tc>
      </w:tr>
      <w:tr w14:paraId="61C7F5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04ED7E6">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4726162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COD</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Cr</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5257E73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3820A62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17C9EE9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0C6DC3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1.680 </w:t>
            </w:r>
          </w:p>
        </w:tc>
        <w:tc>
          <w:tcPr>
            <w:tcW w:w="1620" w:type="dxa"/>
            <w:shd w:val="clear" w:color="auto" w:fill="auto"/>
            <w:noWrap w:val="0"/>
            <w:vAlign w:val="center"/>
          </w:tcPr>
          <w:p w14:paraId="1E643B4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2EAA0F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1.680 </w:t>
            </w:r>
          </w:p>
        </w:tc>
        <w:tc>
          <w:tcPr>
            <w:tcW w:w="1456" w:type="dxa"/>
            <w:shd w:val="clear" w:color="auto" w:fill="FFFFFF"/>
            <w:noWrap w:val="0"/>
            <w:vAlign w:val="center"/>
          </w:tcPr>
          <w:p w14:paraId="587353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1.680 </w:t>
            </w:r>
          </w:p>
        </w:tc>
      </w:tr>
      <w:tr w14:paraId="67F1E0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5BADE6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1E387E25">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BOD</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5</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1A89EB8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617EF17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779891E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1CE107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0.828 </w:t>
            </w:r>
          </w:p>
        </w:tc>
        <w:tc>
          <w:tcPr>
            <w:tcW w:w="1620" w:type="dxa"/>
            <w:shd w:val="clear" w:color="auto" w:fill="auto"/>
            <w:noWrap w:val="0"/>
            <w:vAlign w:val="center"/>
          </w:tcPr>
          <w:p w14:paraId="4C586B1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55A8BF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0.828 </w:t>
            </w:r>
          </w:p>
        </w:tc>
        <w:tc>
          <w:tcPr>
            <w:tcW w:w="1456" w:type="dxa"/>
            <w:shd w:val="clear" w:color="auto" w:fill="FFFFFF"/>
            <w:noWrap w:val="0"/>
            <w:vAlign w:val="center"/>
          </w:tcPr>
          <w:p w14:paraId="121A9F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0.828 </w:t>
            </w:r>
          </w:p>
        </w:tc>
      </w:tr>
      <w:tr w14:paraId="7F3A0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2768DBE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2023885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SS</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43286FD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71BB647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125FEF6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0EB358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0.226 </w:t>
            </w:r>
          </w:p>
        </w:tc>
        <w:tc>
          <w:tcPr>
            <w:tcW w:w="1620" w:type="dxa"/>
            <w:shd w:val="clear" w:color="auto" w:fill="auto"/>
            <w:noWrap w:val="0"/>
            <w:vAlign w:val="center"/>
          </w:tcPr>
          <w:p w14:paraId="0878B87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1D104D0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0.226 </w:t>
            </w:r>
          </w:p>
        </w:tc>
        <w:tc>
          <w:tcPr>
            <w:tcW w:w="1456" w:type="dxa"/>
            <w:shd w:val="clear" w:color="auto" w:fill="FFFFFF"/>
            <w:noWrap w:val="0"/>
            <w:vAlign w:val="center"/>
          </w:tcPr>
          <w:p w14:paraId="545092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0.226 </w:t>
            </w:r>
          </w:p>
        </w:tc>
      </w:tr>
      <w:tr w14:paraId="433333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40661DA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4C87831F">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NH</w:t>
            </w:r>
            <w:r>
              <w:rPr>
                <w:rFonts w:hint="default" w:ascii="Times New Roman" w:hAnsi="Times New Roman" w:eastAsia="宋体" w:cs="Times New Roman"/>
                <w:i w:val="0"/>
                <w:iCs w:val="0"/>
                <w:color w:val="000000" w:themeColor="text1"/>
                <w:kern w:val="0"/>
                <w:sz w:val="21"/>
                <w:szCs w:val="21"/>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3BB3AFC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3F9997F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7973E60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286C23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0.188 </w:t>
            </w:r>
          </w:p>
        </w:tc>
        <w:tc>
          <w:tcPr>
            <w:tcW w:w="1620" w:type="dxa"/>
            <w:shd w:val="clear" w:color="auto" w:fill="auto"/>
            <w:noWrap w:val="0"/>
            <w:vAlign w:val="center"/>
          </w:tcPr>
          <w:p w14:paraId="636482B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650174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0.188 </w:t>
            </w:r>
          </w:p>
        </w:tc>
        <w:tc>
          <w:tcPr>
            <w:tcW w:w="1456" w:type="dxa"/>
            <w:shd w:val="clear" w:color="auto" w:fill="FFFFFF"/>
            <w:noWrap w:val="0"/>
            <w:vAlign w:val="center"/>
          </w:tcPr>
          <w:p w14:paraId="78AE00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0.188 </w:t>
            </w:r>
          </w:p>
        </w:tc>
      </w:tr>
      <w:tr w14:paraId="3DC17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010ADE8B">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6ECE1C0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氟化物</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36F018D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5D2AAD8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446094F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5367A72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0.098 </w:t>
            </w:r>
          </w:p>
        </w:tc>
        <w:tc>
          <w:tcPr>
            <w:tcW w:w="1620" w:type="dxa"/>
            <w:shd w:val="clear" w:color="auto" w:fill="auto"/>
            <w:noWrap w:val="0"/>
            <w:vAlign w:val="center"/>
          </w:tcPr>
          <w:p w14:paraId="2DE271F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598677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0.098 </w:t>
            </w:r>
          </w:p>
        </w:tc>
        <w:tc>
          <w:tcPr>
            <w:tcW w:w="1456" w:type="dxa"/>
            <w:shd w:val="clear" w:color="auto" w:fill="FFFFFF"/>
            <w:noWrap w:val="0"/>
            <w:vAlign w:val="center"/>
          </w:tcPr>
          <w:p w14:paraId="675641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0.098 </w:t>
            </w:r>
          </w:p>
        </w:tc>
      </w:tr>
      <w:tr w14:paraId="45F6E6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62922C1D">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07FEFD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TP</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5391AEA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5BB7D30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68AD872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6D0733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c>
          <w:tcPr>
            <w:tcW w:w="1620" w:type="dxa"/>
            <w:shd w:val="clear" w:color="auto" w:fill="auto"/>
            <w:noWrap w:val="0"/>
            <w:vAlign w:val="center"/>
          </w:tcPr>
          <w:p w14:paraId="491D047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1932" w:type="dxa"/>
            <w:shd w:val="clear" w:color="auto" w:fill="FFFFFF"/>
            <w:noWrap w:val="0"/>
            <w:vAlign w:val="center"/>
          </w:tcPr>
          <w:p w14:paraId="4F0DB7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c>
          <w:tcPr>
            <w:tcW w:w="1456" w:type="dxa"/>
            <w:shd w:val="clear" w:color="auto" w:fill="FFFFFF"/>
            <w:noWrap w:val="0"/>
            <w:vAlign w:val="center"/>
          </w:tcPr>
          <w:p w14:paraId="3E42FC7E">
            <w:pPr>
              <w:keepNext w:val="0"/>
              <w:keepLines w:val="0"/>
              <w:widowControl/>
              <w:suppressLineNumbers w:val="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r>
      <w:tr w14:paraId="07342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09BC374B">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47E66A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TN</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25BEB2D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54EC837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4494804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5E9C87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0.377 </w:t>
            </w:r>
          </w:p>
        </w:tc>
        <w:tc>
          <w:tcPr>
            <w:tcW w:w="1620" w:type="dxa"/>
            <w:shd w:val="clear" w:color="auto" w:fill="auto"/>
            <w:noWrap w:val="0"/>
            <w:vAlign w:val="center"/>
          </w:tcPr>
          <w:p w14:paraId="4B3A97B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1932" w:type="dxa"/>
            <w:shd w:val="clear" w:color="auto" w:fill="FFFFFF"/>
            <w:noWrap w:val="0"/>
            <w:vAlign w:val="center"/>
          </w:tcPr>
          <w:p w14:paraId="2124BF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0.377 </w:t>
            </w:r>
          </w:p>
        </w:tc>
        <w:tc>
          <w:tcPr>
            <w:tcW w:w="1456" w:type="dxa"/>
            <w:shd w:val="clear" w:color="auto" w:fill="FFFFFF"/>
            <w:noWrap w:val="0"/>
            <w:vAlign w:val="center"/>
          </w:tcPr>
          <w:p w14:paraId="733B2866">
            <w:pPr>
              <w:keepNext w:val="0"/>
              <w:keepLines w:val="0"/>
              <w:widowControl/>
              <w:suppressLineNumbers w:val="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0.377 </w:t>
            </w:r>
          </w:p>
        </w:tc>
      </w:tr>
      <w:tr w14:paraId="079085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11D1C34">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6E36A5E6">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阴离子表面活性剂</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07D17A7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3FE2DD9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1EA1FEB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40BF7A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0.002 </w:t>
            </w:r>
          </w:p>
        </w:tc>
        <w:tc>
          <w:tcPr>
            <w:tcW w:w="1620" w:type="dxa"/>
            <w:shd w:val="clear" w:color="auto" w:fill="auto"/>
            <w:noWrap w:val="0"/>
            <w:vAlign w:val="center"/>
          </w:tcPr>
          <w:p w14:paraId="070289D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3008140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0.002 </w:t>
            </w:r>
          </w:p>
        </w:tc>
        <w:tc>
          <w:tcPr>
            <w:tcW w:w="1456" w:type="dxa"/>
            <w:shd w:val="clear" w:color="auto" w:fill="FFFFFF"/>
            <w:noWrap w:val="0"/>
            <w:vAlign w:val="center"/>
          </w:tcPr>
          <w:p w14:paraId="412855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0.002 </w:t>
            </w:r>
          </w:p>
        </w:tc>
      </w:tr>
      <w:tr w14:paraId="09400E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673887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7E69FA52">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总铝</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7E95535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2CB7B84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62DD095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74050A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0.018 </w:t>
            </w:r>
          </w:p>
        </w:tc>
        <w:tc>
          <w:tcPr>
            <w:tcW w:w="1620" w:type="dxa"/>
            <w:shd w:val="clear" w:color="auto" w:fill="auto"/>
            <w:noWrap w:val="0"/>
            <w:vAlign w:val="center"/>
          </w:tcPr>
          <w:p w14:paraId="44F9984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5E3730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shd w:val="clear" w:color="auto" w:fill="FFFFFF"/>
            <w:noWrap w:val="0"/>
            <w:vAlign w:val="center"/>
          </w:tcPr>
          <w:p w14:paraId="3958D4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7603D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962" w:type="dxa"/>
            <w:vMerge w:val="continue"/>
            <w:shd w:val="clear" w:color="auto" w:fill="auto"/>
            <w:noWrap w:val="0"/>
            <w:vAlign w:val="center"/>
          </w:tcPr>
          <w:p w14:paraId="4ADC613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1DA4E8D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石油类</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3F1E037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0A922E4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7172F07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553A20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c>
          <w:tcPr>
            <w:tcW w:w="1620" w:type="dxa"/>
            <w:shd w:val="clear" w:color="auto" w:fill="auto"/>
            <w:noWrap w:val="0"/>
            <w:vAlign w:val="center"/>
          </w:tcPr>
          <w:p w14:paraId="37ACDCE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3A92E0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c>
          <w:tcPr>
            <w:tcW w:w="1456" w:type="dxa"/>
            <w:shd w:val="clear" w:color="auto" w:fill="FFFFFF"/>
            <w:noWrap w:val="0"/>
            <w:vAlign w:val="center"/>
          </w:tcPr>
          <w:p w14:paraId="37A6AE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r>
      <w:tr w14:paraId="61F3B8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 w:hRule="exact"/>
        </w:trPr>
        <w:tc>
          <w:tcPr>
            <w:tcW w:w="962" w:type="dxa"/>
            <w:vMerge w:val="continue"/>
            <w:shd w:val="clear" w:color="auto" w:fill="auto"/>
            <w:noWrap w:val="0"/>
            <w:vAlign w:val="center"/>
          </w:tcPr>
          <w:p w14:paraId="2C78849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shd w:val="clear" w:color="auto" w:fill="auto"/>
            <w:noWrap w:val="0"/>
            <w:vAlign w:val="center"/>
          </w:tcPr>
          <w:p w14:paraId="7637CF21">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动植物油</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shd w:val="clear" w:color="auto" w:fill="auto"/>
            <w:noWrap w:val="0"/>
            <w:vAlign w:val="center"/>
          </w:tcPr>
          <w:p w14:paraId="734E3AF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shd w:val="clear" w:color="auto" w:fill="auto"/>
            <w:noWrap w:val="0"/>
            <w:vAlign w:val="center"/>
          </w:tcPr>
          <w:p w14:paraId="3B95330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shd w:val="clear" w:color="auto" w:fill="auto"/>
            <w:noWrap w:val="0"/>
            <w:vAlign w:val="center"/>
          </w:tcPr>
          <w:p w14:paraId="0B0D199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shd w:val="clear" w:color="auto" w:fill="FFFFFF"/>
            <w:noWrap w:val="0"/>
            <w:vAlign w:val="center"/>
          </w:tcPr>
          <w:p w14:paraId="4D505D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c>
          <w:tcPr>
            <w:tcW w:w="1620" w:type="dxa"/>
            <w:shd w:val="clear" w:color="auto" w:fill="auto"/>
            <w:noWrap w:val="0"/>
            <w:vAlign w:val="center"/>
          </w:tcPr>
          <w:p w14:paraId="40D873D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shd w:val="clear" w:color="auto" w:fill="FFFFFF"/>
            <w:noWrap w:val="0"/>
            <w:vAlign w:val="center"/>
          </w:tcPr>
          <w:p w14:paraId="3D89429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c>
          <w:tcPr>
            <w:tcW w:w="1456" w:type="dxa"/>
            <w:shd w:val="clear" w:color="auto" w:fill="FFFFFF"/>
            <w:noWrap w:val="0"/>
            <w:vAlign w:val="center"/>
          </w:tcPr>
          <w:p w14:paraId="3C4366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0.041 </w:t>
            </w:r>
          </w:p>
        </w:tc>
      </w:tr>
      <w:tr w14:paraId="5AB826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6CF074DC">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一般工业固体废物</w:t>
            </w:r>
          </w:p>
        </w:tc>
        <w:tc>
          <w:tcPr>
            <w:tcW w:w="1795" w:type="dxa"/>
            <w:noWrap w:val="0"/>
            <w:vAlign w:val="center"/>
          </w:tcPr>
          <w:p w14:paraId="6BF8F8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边角料</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4DBC54E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54CCE69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5724F5A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8BEEAF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45.395</w:t>
            </w:r>
          </w:p>
        </w:tc>
        <w:tc>
          <w:tcPr>
            <w:tcW w:w="1620" w:type="dxa"/>
            <w:noWrap w:val="0"/>
            <w:vAlign w:val="center"/>
          </w:tcPr>
          <w:p w14:paraId="045D71A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D9B4BE3">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45.395</w:t>
            </w:r>
          </w:p>
        </w:tc>
        <w:tc>
          <w:tcPr>
            <w:tcW w:w="1456" w:type="dxa"/>
            <w:noWrap w:val="0"/>
            <w:vAlign w:val="center"/>
          </w:tcPr>
          <w:p w14:paraId="2D0D3238">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45.395</w:t>
            </w:r>
          </w:p>
        </w:tc>
      </w:tr>
      <w:tr w14:paraId="471794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58DC6E2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500D9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包装废料</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14B55D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BDA528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3F53396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16B27A3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620" w:type="dxa"/>
            <w:noWrap w:val="0"/>
            <w:vAlign w:val="center"/>
          </w:tcPr>
          <w:p w14:paraId="1B38613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7E899AA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456" w:type="dxa"/>
            <w:noWrap w:val="0"/>
            <w:vAlign w:val="center"/>
          </w:tcPr>
          <w:p w14:paraId="19BEA41B">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r>
      <w:tr w14:paraId="3725E9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724E3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7F886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沉降金属粉尘</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D8AE3A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F72D4D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406C097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1A1FF59">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0687728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4D6B795E">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3F876155">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+11.18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4B769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73D1DBD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74A582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废滤芯</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40D4A50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CEAEA1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47EF4FF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A7AF95E">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w:t>
            </w:r>
          </w:p>
        </w:tc>
        <w:tc>
          <w:tcPr>
            <w:tcW w:w="1620" w:type="dxa"/>
            <w:noWrap w:val="0"/>
            <w:vAlign w:val="center"/>
          </w:tcPr>
          <w:p w14:paraId="20B20BE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7FC4399">
            <w:pPr>
              <w:keepNext w:val="0"/>
              <w:keepLines w:val="0"/>
              <w:widowControl/>
              <w:suppressLineNumbers w:val="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w:t>
            </w:r>
          </w:p>
        </w:tc>
        <w:tc>
          <w:tcPr>
            <w:tcW w:w="1456" w:type="dxa"/>
            <w:noWrap w:val="0"/>
            <w:vAlign w:val="center"/>
          </w:tcPr>
          <w:p w14:paraId="2BA3222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w:t>
            </w:r>
          </w:p>
        </w:tc>
      </w:tr>
      <w:tr w14:paraId="3C0E44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77B6766B">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危险废物</w:t>
            </w:r>
          </w:p>
        </w:tc>
        <w:tc>
          <w:tcPr>
            <w:tcW w:w="1795" w:type="dxa"/>
            <w:noWrap w:val="0"/>
            <w:vAlign w:val="center"/>
          </w:tcPr>
          <w:p w14:paraId="384408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废表面处理剂包装桶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0B09A21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61223EA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545FB72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7122807B">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1.658</w:t>
            </w:r>
          </w:p>
        </w:tc>
        <w:tc>
          <w:tcPr>
            <w:tcW w:w="1620" w:type="dxa"/>
            <w:noWrap w:val="0"/>
            <w:vAlign w:val="center"/>
          </w:tcPr>
          <w:p w14:paraId="1C0AF08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FDF3014">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1.658</w:t>
            </w:r>
          </w:p>
        </w:tc>
        <w:tc>
          <w:tcPr>
            <w:tcW w:w="1456" w:type="dxa"/>
            <w:noWrap w:val="0"/>
            <w:vAlign w:val="center"/>
          </w:tcPr>
          <w:p w14:paraId="4B991170">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+1.658</w:t>
            </w:r>
          </w:p>
        </w:tc>
      </w:tr>
      <w:tr w14:paraId="5C314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04D0D32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681D8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预处理池泥渣及管道循环装置废物</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4124AE6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0D70C07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6977FF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7B32F800">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p>
        </w:tc>
        <w:tc>
          <w:tcPr>
            <w:tcW w:w="1620" w:type="dxa"/>
            <w:noWrap w:val="0"/>
            <w:vAlign w:val="center"/>
          </w:tcPr>
          <w:p w14:paraId="6C88CEA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31C03ABD">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p>
        </w:tc>
        <w:tc>
          <w:tcPr>
            <w:tcW w:w="1456" w:type="dxa"/>
            <w:noWrap w:val="0"/>
            <w:vAlign w:val="center"/>
          </w:tcPr>
          <w:p w14:paraId="6FE0C17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w:t>
            </w:r>
          </w:p>
        </w:tc>
      </w:tr>
      <w:tr w14:paraId="117A1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1AE4D216">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1ABF51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无铬钝化池废槽液</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7485DF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3DE8F3B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17D2BE8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788E177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44.8</w:t>
            </w:r>
          </w:p>
        </w:tc>
        <w:tc>
          <w:tcPr>
            <w:tcW w:w="1620" w:type="dxa"/>
            <w:noWrap w:val="0"/>
            <w:vAlign w:val="center"/>
          </w:tcPr>
          <w:p w14:paraId="2C9EA43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235DA77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44.8</w:t>
            </w:r>
          </w:p>
        </w:tc>
        <w:tc>
          <w:tcPr>
            <w:tcW w:w="1456" w:type="dxa"/>
            <w:noWrap w:val="0"/>
            <w:vAlign w:val="center"/>
          </w:tcPr>
          <w:p w14:paraId="49784DF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44.8</w:t>
            </w:r>
          </w:p>
        </w:tc>
      </w:tr>
      <w:tr w14:paraId="290481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018132F">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045FCC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废水处理站污泥</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CF5F4F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22BB219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7E9753D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43FD2B2">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1.985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6D45E01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50D41781">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1.985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7A67E9F1">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+1.985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0BC77D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D0C5FF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1667A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废pH调整剂包装桶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2DCC06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608370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3636B89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2BDD9E8">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0.008</w:t>
            </w:r>
          </w:p>
        </w:tc>
        <w:tc>
          <w:tcPr>
            <w:tcW w:w="1620" w:type="dxa"/>
            <w:noWrap w:val="0"/>
            <w:vAlign w:val="center"/>
          </w:tcPr>
          <w:p w14:paraId="6002928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4A0D7B8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0.008</w:t>
            </w:r>
          </w:p>
        </w:tc>
        <w:tc>
          <w:tcPr>
            <w:tcW w:w="1456" w:type="dxa"/>
            <w:noWrap w:val="0"/>
            <w:vAlign w:val="center"/>
          </w:tcPr>
          <w:p w14:paraId="6BC1FF1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0.008</w:t>
            </w:r>
          </w:p>
        </w:tc>
      </w:tr>
      <w:tr w14:paraId="74D77C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C177AD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B7DC3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813940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FA7D95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74B3A45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B3DE6A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c>
          <w:tcPr>
            <w:tcW w:w="1620" w:type="dxa"/>
            <w:noWrap w:val="0"/>
            <w:vAlign w:val="center"/>
          </w:tcPr>
          <w:p w14:paraId="2497878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4D3EC44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c>
          <w:tcPr>
            <w:tcW w:w="1456" w:type="dxa"/>
            <w:noWrap w:val="0"/>
            <w:vAlign w:val="center"/>
          </w:tcPr>
          <w:p w14:paraId="533A3C84">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r>
      <w:tr w14:paraId="5A9D76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941189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919A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990194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6C55C62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32821D6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DC7DFE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620" w:type="dxa"/>
            <w:noWrap w:val="0"/>
            <w:vAlign w:val="center"/>
          </w:tcPr>
          <w:p w14:paraId="04B82AE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3EAF8BD9">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456" w:type="dxa"/>
            <w:noWrap w:val="0"/>
            <w:vAlign w:val="center"/>
          </w:tcPr>
          <w:p w14:paraId="6CDE4887">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r>
      <w:tr w14:paraId="7E5469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FD54E7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3F629C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废含油抹布手套</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1744D7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1F4F66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250086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52F78C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1620" w:type="dxa"/>
            <w:noWrap w:val="0"/>
            <w:vAlign w:val="center"/>
          </w:tcPr>
          <w:p w14:paraId="49AC815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6C2F42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1456" w:type="dxa"/>
            <w:noWrap w:val="0"/>
            <w:vAlign w:val="center"/>
          </w:tcPr>
          <w:p w14:paraId="6AADC2A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43EAE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2C7DA1E2">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0F5B5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B8FB94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0EC9C90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7092A0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AD95F1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1620" w:type="dxa"/>
            <w:noWrap w:val="0"/>
            <w:vAlign w:val="center"/>
          </w:tcPr>
          <w:p w14:paraId="77AE3F0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8F6CBFF">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1456" w:type="dxa"/>
            <w:noWrap w:val="0"/>
            <w:vAlign w:val="center"/>
          </w:tcPr>
          <w:p w14:paraId="52D75D1D">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r>
      <w:tr w14:paraId="0CC29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078963E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D409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AF9932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20592BE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BB80BB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943E7C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620" w:type="dxa"/>
            <w:noWrap w:val="0"/>
            <w:vAlign w:val="center"/>
          </w:tcPr>
          <w:p w14:paraId="49D7115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7CE26BCA">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456" w:type="dxa"/>
            <w:noWrap w:val="0"/>
            <w:vAlign w:val="center"/>
          </w:tcPr>
          <w:p w14:paraId="49CB5FD0">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r>
      <w:tr w14:paraId="05DDE5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1DE84EE">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73B1B4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废原料桶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053BC3D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2A4A40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2A6108B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26BA52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0.062</w:t>
            </w:r>
          </w:p>
        </w:tc>
        <w:tc>
          <w:tcPr>
            <w:tcW w:w="1620" w:type="dxa"/>
            <w:noWrap w:val="0"/>
            <w:vAlign w:val="center"/>
          </w:tcPr>
          <w:p w14:paraId="1EEE1B0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458CC4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0.062</w:t>
            </w:r>
          </w:p>
        </w:tc>
        <w:tc>
          <w:tcPr>
            <w:tcW w:w="1456" w:type="dxa"/>
            <w:noWrap w:val="0"/>
            <w:vAlign w:val="center"/>
          </w:tcPr>
          <w:p w14:paraId="190CB1C3">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+0.062</w:t>
            </w:r>
          </w:p>
        </w:tc>
      </w:tr>
      <w:tr w14:paraId="46134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AC306B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77726E6">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喷枪清洗液</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5AE42E6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6E2A541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50F949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0D79A1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0.045 </w:t>
            </w:r>
          </w:p>
        </w:tc>
        <w:tc>
          <w:tcPr>
            <w:tcW w:w="1620" w:type="dxa"/>
            <w:noWrap w:val="0"/>
            <w:vAlign w:val="center"/>
          </w:tcPr>
          <w:p w14:paraId="3F9BCF9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295314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0.045 </w:t>
            </w:r>
          </w:p>
        </w:tc>
        <w:tc>
          <w:tcPr>
            <w:tcW w:w="1456" w:type="dxa"/>
            <w:noWrap w:val="0"/>
            <w:vAlign w:val="center"/>
          </w:tcPr>
          <w:p w14:paraId="08D9B42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0.045 </w:t>
            </w:r>
          </w:p>
        </w:tc>
      </w:tr>
      <w:tr w14:paraId="757C56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5F7CC80A">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79562E76">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废静电喷粉滤芯</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1FA987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596D6F7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1C1FA57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5DC10EE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c>
          <w:tcPr>
            <w:tcW w:w="1620" w:type="dxa"/>
            <w:noWrap w:val="0"/>
            <w:vAlign w:val="center"/>
          </w:tcPr>
          <w:p w14:paraId="4766498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3BACCA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c>
          <w:tcPr>
            <w:tcW w:w="1456" w:type="dxa"/>
            <w:noWrap w:val="0"/>
            <w:vAlign w:val="center"/>
          </w:tcPr>
          <w:p w14:paraId="5204CE7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r>
      <w:tr w14:paraId="3F2D76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28B29F54">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30E58FA">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废过滤棉</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0365418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B65527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2700D67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D92CE0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1620" w:type="dxa"/>
            <w:noWrap w:val="0"/>
            <w:vAlign w:val="center"/>
          </w:tcPr>
          <w:p w14:paraId="19FAC4E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5344361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1456" w:type="dxa"/>
            <w:noWrap w:val="0"/>
            <w:vAlign w:val="center"/>
          </w:tcPr>
          <w:p w14:paraId="7839923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r>
      <w:tr w14:paraId="167C93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0A3E032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55E6B8C3">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废活性炭</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1BBC967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5F92B5E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68BE6A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8A49A2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648626B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5CE9A4D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03B0AC8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29A351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4F2E877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1CC752F">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废粉末涂料</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3650B6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1653322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1BA98FF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16B7333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3.593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4B8D6F4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5873D1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3.593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43EBD544">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+3.593</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4D0BF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333C55E">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0973F91">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废催化剂</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058BD6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F398BF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218CB5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EB05A14">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c>
          <w:tcPr>
            <w:tcW w:w="1620" w:type="dxa"/>
            <w:noWrap w:val="0"/>
            <w:vAlign w:val="center"/>
          </w:tcPr>
          <w:p w14:paraId="27A77A1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2E295D5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c>
          <w:tcPr>
            <w:tcW w:w="1456" w:type="dxa"/>
            <w:noWrap w:val="0"/>
            <w:vAlign w:val="center"/>
          </w:tcPr>
          <w:p w14:paraId="6A5A0D48">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r>
      <w:tr w14:paraId="743FE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4FD30D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2D5A0595">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喷淋废液及沉渣</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56D983A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319C912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E1F11E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71DF5AF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229.091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5778E28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10AD5D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229.091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42A1996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+229.091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bl>
    <w:p w14:paraId="2F3DDD2C">
      <w:pPr>
        <w:widowControl w:val="0"/>
        <w:adjustRightInd w:val="0"/>
        <w:snapToGrid w:val="0"/>
        <w:spacing w:before="192" w:beforeLines="80" w:after="24" w:afterLines="10" w:line="259" w:lineRule="auto"/>
        <w:ind w:firstLine="480" w:firstLineChars="200"/>
        <w:jc w:val="left"/>
        <w:rPr>
          <w:rFonts w:hint="eastAsia" w:ascii="宋体" w:hAnsi="Times New Roman" w:eastAsia="宋体" w:cs="Times New Roman"/>
          <w:color w:val="auto"/>
          <w:kern w:val="0"/>
          <w:sz w:val="24"/>
          <w:szCs w:val="20"/>
          <w:highlight w:val="none"/>
          <w:lang w:val="en-US" w:eastAsia="zh-CN" w:bidi="ar-SA"/>
        </w:rPr>
      </w:pPr>
      <w:r>
        <w:rPr>
          <w:rFonts w:ascii="宋体" w:hAnsi="宋体" w:eastAsia="宋体" w:cs="Times New Roman"/>
          <w:snapToGrid w:val="0"/>
          <w:color w:val="auto"/>
          <w:kern w:val="21"/>
          <w:sz w:val="24"/>
          <w:szCs w:val="21"/>
          <w:highlight w:val="none"/>
          <w:lang w:val="en-US" w:eastAsia="zh-CN" w:bidi="ar-SA"/>
        </w:rPr>
        <w:t>注：</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6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⑥</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1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①</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3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③</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4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④</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5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⑤</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7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⑦</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6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⑥</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1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①</w:t>
      </w:r>
      <w:r>
        <w:rPr>
          <w:rFonts w:ascii="宋体" w:hAnsi="宋体" w:eastAsia="宋体" w:cs="Times New Roman"/>
          <w:snapToGrid w:val="0"/>
          <w:color w:val="auto"/>
          <w:spacing w:val="-6"/>
          <w:kern w:val="21"/>
          <w:sz w:val="24"/>
          <w:szCs w:val="21"/>
          <w:highlight w:val="none"/>
          <w:lang w:val="en-US" w:eastAsia="zh-CN" w:bidi="ar-SA"/>
        </w:rPr>
        <w:fldChar w:fldCharType="end"/>
      </w:r>
    </w:p>
    <w:p w14:paraId="0115BCF2">
      <w:pPr>
        <w:rPr>
          <w:color w:val="auto"/>
          <w:highlight w:val="none"/>
        </w:rPr>
        <w:sectPr>
          <w:headerReference r:id="rId14" w:type="default"/>
          <w:footerReference r:id="rId15" w:type="default"/>
          <w:type w:val="continuous"/>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67C95FBF">
      <w:pPr>
        <w:widowControl/>
        <w:snapToGrid w:val="0"/>
        <w:spacing w:before="60" w:after="0" w:line="240" w:lineRule="auto"/>
        <w:ind w:right="113"/>
        <w:jc w:val="center"/>
        <w:rPr>
          <w:rFonts w:hint="eastAsia" w:ascii="Times New Roman" w:hAnsi="Times New Roman" w:eastAsia="宋体" w:cs="Times New Roman"/>
          <w:b/>
          <w:color w:val="auto"/>
          <w:kern w:val="0"/>
          <w:sz w:val="28"/>
          <w:szCs w:val="28"/>
          <w:highlight w:val="none"/>
          <w:lang w:val="en-US" w:eastAsia="zh-CN" w:bidi="ar-SA"/>
        </w:rPr>
      </w:pPr>
      <w:bookmarkStart w:id="50" w:name="_Toc29450"/>
      <w:bookmarkStart w:id="51" w:name="_Toc9175"/>
      <w:bookmarkStart w:id="52" w:name="_Toc32557"/>
      <w:bookmarkStart w:id="53" w:name="_Toc10618"/>
      <w:bookmarkStart w:id="54" w:name="_Toc18569"/>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1771650</wp:posOffset>
                </wp:positionH>
                <wp:positionV relativeFrom="paragraph">
                  <wp:posOffset>1002030</wp:posOffset>
                </wp:positionV>
                <wp:extent cx="771525" cy="336550"/>
                <wp:effectExtent l="5080" t="4445" r="423545" b="535305"/>
                <wp:wrapNone/>
                <wp:docPr id="14" name="自选图形 1026"/>
                <wp:cNvGraphicFramePr/>
                <a:graphic xmlns:a="http://schemas.openxmlformats.org/drawingml/2006/main">
                  <a:graphicData uri="http://schemas.microsoft.com/office/word/2010/wordprocessingShape">
                    <wps:wsp>
                      <wps:cNvSpPr/>
                      <wps:spPr>
                        <a:xfrm>
                          <a:off x="0" y="0"/>
                          <a:ext cx="771525" cy="336550"/>
                        </a:xfrm>
                        <a:prstGeom prst="wedgeRoundRectCallout">
                          <a:avLst>
                            <a:gd name="adj1" fmla="val 99301"/>
                            <a:gd name="adj2" fmla="val 20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20BDF635">
                            <w:pPr>
                              <w:rPr>
                                <w:b/>
                                <w:bCs/>
                                <w:color w:val="FF0000"/>
                              </w:rPr>
                            </w:pPr>
                            <w:r>
                              <w:rPr>
                                <w:rFonts w:hint="eastAsia"/>
                                <w:b/>
                                <w:bCs/>
                                <w:color w:val="FF0000"/>
                              </w:rPr>
                              <w:t>项目选址</w:t>
                            </w:r>
                          </w:p>
                        </w:txbxContent>
                      </wps:txbx>
                      <wps:bodyPr vert="horz" wrap="square" anchor="t" anchorCtr="0" upright="1"/>
                    </wps:wsp>
                  </a:graphicData>
                </a:graphic>
              </wp:anchor>
            </w:drawing>
          </mc:Choice>
          <mc:Fallback>
            <w:pict>
              <v:shape id="自选图形 1026" o:spid="_x0000_s1026" o:spt="62" type="#_x0000_t62" style="position:absolute;left:0pt;margin-left:139.5pt;margin-top:78.9pt;height:26.5pt;width:60.75pt;z-index:251670528;mso-width-relative:page;mso-height-relative:page;" fillcolor="#FFFFFF" filled="t" stroked="t" coordsize="21600,21600" o:gfxdata="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TzlBPZAAAACwEAAA8AAAAAAAAAAQAgAAAAIgAAAGRycy9kb3ducmV2LnhtbFBL&#10;AQIUABQAAAAIAIdO4kAAvj+AZwIAAOwEAAAOAAAAAAAAAAEAIAAAACgBAABkcnMvZTJvRG9jLnht&#10;bFBLBQYAAAAABgAGAFkBAAABBgAAAAA=&#10;" adj="32249,54000,14400">
                <v:fill on="t" focussize="0,0"/>
                <v:stroke color="#000000" joinstyle="miter"/>
                <v:imagedata o:title=""/>
                <o:lock v:ext="edit" aspectratio="f"/>
                <v:textbox>
                  <w:txbxContent>
                    <w:p w14:paraId="20BDF635">
                      <w:pPr>
                        <w:rPr>
                          <w:b/>
                          <w:bCs/>
                          <w:color w:val="FF0000"/>
                        </w:rPr>
                      </w:pPr>
                      <w:r>
                        <w:rPr>
                          <w:rFonts w:hint="eastAsia"/>
                          <w:b/>
                          <w:bCs/>
                          <w:color w:val="FF0000"/>
                        </w:rPr>
                        <w:t>项目选址</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69504" behindDoc="0" locked="0" layoutInCell="1" allowOverlap="1">
                <wp:simplePos x="0" y="0"/>
                <wp:positionH relativeFrom="column">
                  <wp:posOffset>2900045</wp:posOffset>
                </wp:positionH>
                <wp:positionV relativeFrom="paragraph">
                  <wp:posOffset>1793875</wp:posOffset>
                </wp:positionV>
                <wp:extent cx="76200" cy="76200"/>
                <wp:effectExtent l="4445" t="4445" r="14605" b="14605"/>
                <wp:wrapNone/>
                <wp:docPr id="13" name="自选图形 1027"/>
                <wp:cNvGraphicFramePr/>
                <a:graphic xmlns:a="http://schemas.openxmlformats.org/drawingml/2006/main">
                  <a:graphicData uri="http://schemas.microsoft.com/office/word/2010/wordprocessingShape">
                    <wps:wsp>
                      <wps:cNvSpPr/>
                      <wps:spPr>
                        <a:xfrm>
                          <a:off x="0" y="0"/>
                          <a:ext cx="76200" cy="76200"/>
                        </a:xfrm>
                        <a:prstGeom prst="flowChartSummingJunction">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自选图形 1027" o:spid="_x0000_s1026" o:spt="123" type="#_x0000_t123" style="position:absolute;left:0pt;margin-left:228.35pt;margin-top:141.25pt;height:6pt;width:6pt;z-index:251669504;mso-width-relative:page;mso-height-relative:page;" fillcolor="#FF0000" filled="t" stroked="t" coordsize="21600,21600" o:gfxdata="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8l/QR2gAAAAsBAAAPAAAAAAAAAAEAIAAAACIAAABkcnMvZG93bnJldi54bWxQ&#10;SwECFAAUAAAACACHTuJACKJ2wS4CAABiBAAADgAAAAAAAAABACAAAAApAQAAZHJzL2Uyb0RvYy54&#10;bWxQSwUGAAAAAAYABgBZAQAAyQUAAAAA&#10;">
                <v:fill on="t" focussize="0,0"/>
                <v:stroke color="#00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89984" behindDoc="0" locked="0" layoutInCell="1" allowOverlap="1">
            <wp:simplePos x="0" y="0"/>
            <wp:positionH relativeFrom="column">
              <wp:posOffset>7146290</wp:posOffset>
            </wp:positionH>
            <wp:positionV relativeFrom="paragraph">
              <wp:posOffset>304165</wp:posOffset>
            </wp:positionV>
            <wp:extent cx="1391920" cy="1304925"/>
            <wp:effectExtent l="0" t="0" r="17780" b="9525"/>
            <wp:wrapNone/>
            <wp:docPr id="35" name="图片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885"/>
                    <pic:cNvPicPr>
                      <a:picLocks noChangeAspect="1"/>
                    </pic:cNvPicPr>
                  </pic:nvPicPr>
                  <pic:blipFill>
                    <a:blip r:embed="rId55"/>
                    <a:stretch>
                      <a:fillRect/>
                    </a:stretch>
                  </pic:blipFill>
                  <pic:spPr>
                    <a:xfrm>
                      <a:off x="0" y="0"/>
                      <a:ext cx="1391920" cy="1304925"/>
                    </a:xfrm>
                    <a:prstGeom prst="rect">
                      <a:avLst/>
                    </a:prstGeom>
                    <a:noFill/>
                    <a:ln>
                      <a:noFill/>
                    </a:ln>
                  </pic:spPr>
                </pic:pic>
              </a:graphicData>
            </a:graphic>
          </wp:anchor>
        </w:drawing>
      </w:r>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3693795</wp:posOffset>
                </wp:positionH>
                <wp:positionV relativeFrom="paragraph">
                  <wp:posOffset>2029460</wp:posOffset>
                </wp:positionV>
                <wp:extent cx="1876425" cy="1600835"/>
                <wp:effectExtent l="0" t="4445" r="9525" b="13970"/>
                <wp:wrapNone/>
                <wp:docPr id="2" name="任意多边形 1028"/>
                <wp:cNvGraphicFramePr/>
                <a:graphic xmlns:a="http://schemas.openxmlformats.org/drawingml/2006/main">
                  <a:graphicData uri="http://schemas.microsoft.com/office/word/2010/wordprocessingShape">
                    <wps:wsp>
                      <wps:cNvSpPr/>
                      <wps:spPr>
                        <a:xfrm rot="10800000">
                          <a:off x="0" y="0"/>
                          <a:ext cx="1876425" cy="1600835"/>
                        </a:xfrm>
                        <a:custGeom>
                          <a:avLst/>
                          <a:gdLst/>
                          <a:ahLst/>
                          <a:cxnLst/>
                          <a:pathLst>
                            <a:path w="2550" h="2280">
                              <a:moveTo>
                                <a:pt x="0" y="0"/>
                              </a:moveTo>
                              <a:lnTo>
                                <a:pt x="675" y="2280"/>
                              </a:lnTo>
                              <a:lnTo>
                                <a:pt x="2550" y="2280"/>
                              </a:lnTo>
                            </a:path>
                          </a:pathLst>
                        </a:cu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028" o:spid="_x0000_s1026" o:spt="100" style="position:absolute;left:0pt;margin-left:290.85pt;margin-top:159.8pt;height:126.05pt;width:147.75pt;rotation:11796480f;z-index:251661312;mso-width-relative:page;mso-height-relative:page;" filled="f" stroked="t" coordsize="2550,2280" o:gfxdata="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10NG02AAAAAsBAAAPAAAAAAAAAAEAIAAAACIAAABkcnMvZG93bnJl&#10;di54bWxQSwECFAAUAAAACACHTuJA9AzZqW8CAAACBQAADgAAAAAAAAABACAAAAAnAQAAZHJzL2Uy&#10;b0RvYy54bWxQSwUGAAAAAAYABgBZAQAACAYAAAAA&#10;" path="m0,0l675,2280,2550,2280e">
                <v:fill on="f" focussize="0,0"/>
                <v:stroke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68480" behindDoc="0" locked="0" layoutInCell="1" allowOverlap="1">
            <wp:simplePos x="0" y="0"/>
            <wp:positionH relativeFrom="column">
              <wp:posOffset>409575</wp:posOffset>
            </wp:positionH>
            <wp:positionV relativeFrom="paragraph">
              <wp:posOffset>614045</wp:posOffset>
            </wp:positionV>
            <wp:extent cx="3284855" cy="3117850"/>
            <wp:effectExtent l="9525" t="9525" r="20320" b="15875"/>
            <wp:wrapNone/>
            <wp:docPr id="12" name="图片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29"/>
                    <pic:cNvPicPr>
                      <a:picLocks noChangeAspect="1"/>
                    </pic:cNvPicPr>
                  </pic:nvPicPr>
                  <pic:blipFill>
                    <a:blip r:embed="rId56"/>
                    <a:stretch>
                      <a:fillRect/>
                    </a:stretch>
                  </pic:blipFill>
                  <pic:spPr>
                    <a:xfrm>
                      <a:off x="0" y="0"/>
                      <a:ext cx="3284855" cy="3117850"/>
                    </a:xfrm>
                    <a:prstGeom prst="rect">
                      <a:avLst/>
                    </a:prstGeom>
                    <a:noFill/>
                    <a:ln w="9525" cap="flat" cmpd="sng">
                      <a:solidFill>
                        <a:srgbClr val="FF0000"/>
                      </a:solidFill>
                      <a:prstDash val="solid"/>
                      <a:miter/>
                      <a:headEnd type="none" w="med" len="med"/>
                      <a:tailEnd type="none" w="med" len="med"/>
                    </a:ln>
                  </pic:spPr>
                </pic:pic>
              </a:graphicData>
            </a:graphic>
          </wp:anchor>
        </w:drawing>
      </w:r>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5107940</wp:posOffset>
                </wp:positionH>
                <wp:positionV relativeFrom="paragraph">
                  <wp:posOffset>3618865</wp:posOffset>
                </wp:positionV>
                <wp:extent cx="922655" cy="862965"/>
                <wp:effectExtent l="5080" t="4445" r="5715" b="8890"/>
                <wp:wrapNone/>
                <wp:docPr id="1" name="矩形 1030"/>
                <wp:cNvGraphicFramePr/>
                <a:graphic xmlns:a="http://schemas.openxmlformats.org/drawingml/2006/main">
                  <a:graphicData uri="http://schemas.microsoft.com/office/word/2010/wordprocessingShape">
                    <wps:wsp>
                      <wps:cNvSpPr/>
                      <wps:spPr>
                        <a:xfrm>
                          <a:off x="0" y="0"/>
                          <a:ext cx="922655" cy="862965"/>
                        </a:xfrm>
                        <a:prstGeom prst="rect">
                          <a:avLst/>
                        </a:prstGeom>
                        <a:noFill/>
                        <a:ln w="9525"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rect id="矩形 1030" o:spid="_x0000_s1026" o:spt="1" style="position:absolute;left:0pt;margin-left:402.2pt;margin-top:284.95pt;height:67.95pt;width:72.65pt;z-index:251660288;mso-width-relative:page;mso-height-relative:page;" filled="f" stroked="t" coordsize="21600,21600" o:gfxdata="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ORDyF3AAAAAsBAAAP&#10;AAAAAAAAAAEAIAAAACIAAABkcnMvZG93bnJldi54bWxQSwECFAAUAAAACACHTuJAPEoYtBQCAAAq&#10;BAAADgAAAAAAAAABACAAAAArAQAAZHJzL2Uyb0RvYy54bWxQSwUGAAAAAAYABgBZAQAAsQUAAAAA&#10;">
                <v:fill on="f" focussize="0,0"/>
                <v:stroke color="#FF0000" joinstyle="miter"/>
                <v:imagedata o:title=""/>
                <o:lock v:ext="edit" aspectratio="f"/>
              </v:rect>
            </w:pict>
          </mc:Fallback>
        </mc:AlternateContent>
      </w:r>
      <w:r>
        <w:rPr>
          <w:rFonts w:hint="eastAsia" w:ascii="Times New Roman" w:hAnsi="Times New Roman" w:eastAsia="宋体" w:cs="Times New Roman"/>
          <w:b/>
          <w:color w:val="auto"/>
          <w:kern w:val="0"/>
          <w:sz w:val="28"/>
          <w:szCs w:val="28"/>
          <w:highlight w:val="none"/>
          <w:lang w:val="en-US" w:eastAsia="zh-CN" w:bidi="ar-SA"/>
        </w:rPr>
        <w:drawing>
          <wp:inline distT="0" distB="0" distL="114300" distR="114300">
            <wp:extent cx="8583930" cy="5890260"/>
            <wp:effectExtent l="0" t="0" r="7620" b="15240"/>
            <wp:docPr id="106" name="图片 395" descr="4开乐昌市地图有邻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95" descr="4开乐昌市地图有邻区"/>
                    <pic:cNvPicPr>
                      <a:picLocks noChangeAspect="1"/>
                    </pic:cNvPicPr>
                  </pic:nvPicPr>
                  <pic:blipFill>
                    <a:blip r:embed="rId57"/>
                    <a:srcRect l="2934" t="3183" r="3163" b="4150"/>
                    <a:stretch>
                      <a:fillRect/>
                    </a:stretch>
                  </pic:blipFill>
                  <pic:spPr>
                    <a:xfrm>
                      <a:off x="0" y="0"/>
                      <a:ext cx="8583930" cy="5890260"/>
                    </a:xfrm>
                    <a:prstGeom prst="rect">
                      <a:avLst/>
                    </a:prstGeom>
                    <a:noFill/>
                    <a:ln>
                      <a:noFill/>
                    </a:ln>
                  </pic:spPr>
                </pic:pic>
              </a:graphicData>
            </a:graphic>
          </wp:inline>
        </w:drawing>
      </w:r>
    </w:p>
    <w:p w14:paraId="26F464A9">
      <w:pPr>
        <w:widowControl/>
        <w:snapToGrid w:val="0"/>
        <w:spacing w:before="60" w:after="0" w:line="240" w:lineRule="auto"/>
        <w:ind w:right="113"/>
        <w:jc w:val="center"/>
        <w:outlineLvl w:val="0"/>
        <w:rPr>
          <w:rFonts w:hint="default" w:ascii="Times New Roman" w:hAnsi="Times New Roman" w:eastAsia="宋体" w:cs="Times New Roman"/>
          <w:b/>
          <w:color w:val="auto"/>
          <w:kern w:val="0"/>
          <w:sz w:val="24"/>
          <w:szCs w:val="24"/>
          <w:highlight w:val="none"/>
          <w:lang w:val="en-US" w:eastAsia="zh-CN" w:bidi="ar-SA"/>
        </w:rPr>
      </w:pPr>
      <w:bookmarkStart w:id="55" w:name="_Toc2694"/>
      <w:bookmarkStart w:id="56" w:name="_Toc18338"/>
      <w:bookmarkStart w:id="57" w:name="_Toc19765"/>
      <w:bookmarkStart w:id="58" w:name="_Toc8498"/>
      <w:r>
        <w:rPr>
          <w:rFonts w:hint="default" w:ascii="Times New Roman" w:hAnsi="Times New Roman" w:eastAsia="宋体" w:cs="Times New Roman"/>
          <w:b/>
          <w:color w:val="auto"/>
          <w:kern w:val="0"/>
          <w:sz w:val="24"/>
          <w:szCs w:val="24"/>
          <w:highlight w:val="none"/>
          <w:lang w:val="en-US" w:eastAsia="zh-CN" w:bidi="ar-SA"/>
        </w:rPr>
        <w:t>附图1 项目地理位置图</w:t>
      </w:r>
      <w:bookmarkEnd w:id="55"/>
      <w:bookmarkEnd w:id="56"/>
      <w:bookmarkEnd w:id="57"/>
      <w:bookmarkEnd w:id="58"/>
    </w:p>
    <w:p w14:paraId="277B20FC">
      <w:pPr>
        <w:rPr>
          <w:rFonts w:hint="default" w:ascii="Times New Roman" w:hAnsi="Times New Roman" w:cs="Times New Roman"/>
          <w:color w:val="auto"/>
          <w:sz w:val="24"/>
          <w:highlight w:val="none"/>
        </w:rPr>
        <w:sectPr>
          <w:pgSz w:w="16838" w:h="11906" w:orient="landscape"/>
          <w:pgMar w:top="737" w:right="1417" w:bottom="737" w:left="1417" w:header="567" w:footer="794" w:gutter="340"/>
          <w:pgBorders>
            <w:top w:val="none" w:sz="0" w:space="0"/>
            <w:left w:val="none" w:sz="0" w:space="0"/>
            <w:bottom w:val="none" w:sz="0" w:space="0"/>
            <w:right w:val="none" w:sz="0" w:space="0"/>
          </w:pgBorders>
          <w:pgNumType w:fmt="decimal"/>
          <w:cols w:space="720" w:num="1"/>
          <w:docGrid w:type="lines" w:linePitch="412" w:charSpace="0"/>
        </w:sectPr>
      </w:pPr>
    </w:p>
    <w:p w14:paraId="45F5CA67">
      <w:pPr>
        <w:widowControl/>
        <w:snapToGrid w:val="0"/>
        <w:spacing w:before="60" w:after="0" w:line="240" w:lineRule="auto"/>
        <w:ind w:right="113"/>
        <w:jc w:val="center"/>
        <w:outlineLvl w:val="9"/>
        <w:rPr>
          <w:rFonts w:ascii="宋体" w:hAnsi="Times New Roman" w:eastAsia="宋体" w:cs="Times New Roman"/>
          <w:b/>
          <w:bCs/>
          <w:color w:val="auto"/>
          <w:kern w:val="2"/>
          <w:sz w:val="32"/>
          <w:szCs w:val="32"/>
          <w:highlight w:val="none"/>
          <w:lang w:val="en-US" w:eastAsia="zh-CN" w:bidi="ar-SA"/>
        </w:rPr>
      </w:pPr>
      <w:r>
        <w:rPr>
          <w:rFonts w:ascii="Times New Roman" w:hAnsi="Times New Roman" w:eastAsia="宋体" w:cs="Times New Roman"/>
          <w:kern w:val="0"/>
          <w:sz w:val="18"/>
          <w:szCs w:val="20"/>
          <w:lang w:val="en-US" w:eastAsia="zh-CN" w:bidi="ar-SA"/>
        </w:rPr>
        <w:drawing>
          <wp:anchor distT="0" distB="0" distL="114300" distR="114300" simplePos="0" relativeHeight="251769856" behindDoc="0" locked="0" layoutInCell="1" allowOverlap="1">
            <wp:simplePos x="0" y="0"/>
            <wp:positionH relativeFrom="column">
              <wp:posOffset>27940</wp:posOffset>
            </wp:positionH>
            <wp:positionV relativeFrom="paragraph">
              <wp:posOffset>6012815</wp:posOffset>
            </wp:positionV>
            <wp:extent cx="676275" cy="533400"/>
            <wp:effectExtent l="0" t="0" r="9525" b="0"/>
            <wp:wrapNone/>
            <wp:docPr id="27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12"/>
                    <pic:cNvPicPr>
                      <a:picLocks noChangeAspect="1"/>
                    </pic:cNvPicPr>
                  </pic:nvPicPr>
                  <pic:blipFill>
                    <a:blip r:embed="rId58">
                      <a:clrChange>
                        <a:clrFrom>
                          <a:srgbClr val="506B64">
                            <a:alpha val="100000"/>
                          </a:srgbClr>
                        </a:clrFrom>
                        <a:clrTo>
                          <a:srgbClr val="506B64">
                            <a:alpha val="100000"/>
                            <a:alpha val="0"/>
                          </a:srgbClr>
                        </a:clrTo>
                      </a:clrChange>
                    </a:blip>
                    <a:stretch>
                      <a:fillRect/>
                    </a:stretch>
                  </pic:blipFill>
                  <pic:spPr>
                    <a:xfrm>
                      <a:off x="0" y="0"/>
                      <a:ext cx="676275" cy="533400"/>
                    </a:xfrm>
                    <a:prstGeom prst="rect">
                      <a:avLst/>
                    </a:prstGeom>
                    <a:noFill/>
                    <a:ln>
                      <a:noFill/>
                    </a:ln>
                  </pic:spPr>
                </pic:pic>
              </a:graphicData>
            </a:graphic>
          </wp:anchor>
        </w:drawing>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0768" behindDoc="0" locked="0" layoutInCell="1" allowOverlap="1">
                <wp:simplePos x="0" y="0"/>
                <wp:positionH relativeFrom="column">
                  <wp:posOffset>5469255</wp:posOffset>
                </wp:positionH>
                <wp:positionV relativeFrom="paragraph">
                  <wp:posOffset>2213610</wp:posOffset>
                </wp:positionV>
                <wp:extent cx="444500" cy="557530"/>
                <wp:effectExtent l="0" t="0" r="0" b="0"/>
                <wp:wrapNone/>
                <wp:docPr id="24" name="文本框 1873"/>
                <wp:cNvGraphicFramePr/>
                <a:graphic xmlns:a="http://schemas.openxmlformats.org/drawingml/2006/main">
                  <a:graphicData uri="http://schemas.microsoft.com/office/word/2010/wordprocessingShape">
                    <wps:wsp>
                      <wps:cNvSpPr txBox="1"/>
                      <wps:spPr>
                        <a:xfrm>
                          <a:off x="0" y="0"/>
                          <a:ext cx="444500" cy="557530"/>
                        </a:xfrm>
                        <a:prstGeom prst="rect">
                          <a:avLst/>
                        </a:prstGeom>
                        <a:noFill/>
                        <a:ln>
                          <a:noFill/>
                        </a:ln>
                      </wps:spPr>
                      <wps:txbx>
                        <w:txbxContent>
                          <w:p w14:paraId="30E0EB7B">
                            <w:pPr>
                              <w:rPr>
                                <w:rFonts w:hint="default" w:eastAsia="宋体"/>
                                <w:b/>
                                <w:bCs/>
                                <w:color w:val="auto"/>
                                <w:sz w:val="24"/>
                                <w:szCs w:val="24"/>
                                <w:lang w:val="en-US" w:eastAsia="zh-CN"/>
                              </w:rPr>
                            </w:pPr>
                            <w:r>
                              <w:rPr>
                                <w:rFonts w:hint="eastAsia" w:ascii="Times New Roman" w:eastAsia="宋体"/>
                                <w:b/>
                                <w:bCs/>
                                <w:color w:val="auto"/>
                                <w:sz w:val="24"/>
                                <w:szCs w:val="24"/>
                                <w:lang w:val="en-US" w:eastAsia="zh-CN"/>
                              </w:rPr>
                              <w:t>道路</w:t>
                            </w:r>
                          </w:p>
                        </w:txbxContent>
                      </wps:txbx>
                      <wps:bodyPr vert="horz" wrap="square" anchor="t" anchorCtr="0" upright="1"/>
                    </wps:wsp>
                  </a:graphicData>
                </a:graphic>
              </wp:anchor>
            </w:drawing>
          </mc:Choice>
          <mc:Fallback>
            <w:pict>
              <v:shape id="文本框 1873" o:spid="_x0000_s1026" o:spt="202" type="#_x0000_t202" style="position:absolute;left:0pt;margin-left:430.65pt;margin-top:174.3pt;height:43.9pt;width:35pt;z-index:251680768;mso-width-relative:page;mso-height-relative:page;" filled="f" stroked="f" coordsize="21600,21600" o:gfxdata="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202SzYAAAACwEAAA8AAAAAAAAAAQAgAAAAIgAA&#10;AGRycy9kb3ducmV2LnhtbFBLAQIUABQAAAAIAIdO4kAi/mrWzwEAAIQDAAAOAAAAAAAAAAEAIAAA&#10;ACcBAABkcnMvZTJvRG9jLnhtbFBLBQYAAAAABgAGAFkBAABoBQAAAAA=&#10;">
                <v:fill on="f" focussize="0,0"/>
                <v:stroke on="f"/>
                <v:imagedata o:title=""/>
                <o:lock v:ext="edit" aspectratio="f"/>
                <v:textbox>
                  <w:txbxContent>
                    <w:p w14:paraId="30E0EB7B">
                      <w:pPr>
                        <w:rPr>
                          <w:rFonts w:hint="default" w:eastAsia="宋体"/>
                          <w:b/>
                          <w:bCs/>
                          <w:color w:val="auto"/>
                          <w:sz w:val="24"/>
                          <w:szCs w:val="24"/>
                          <w:lang w:val="en-US" w:eastAsia="zh-CN"/>
                        </w:rPr>
                      </w:pPr>
                      <w:r>
                        <w:rPr>
                          <w:rFonts w:hint="eastAsia" w:ascii="Times New Roman" w:eastAsia="宋体"/>
                          <w:b/>
                          <w:bCs/>
                          <w:color w:val="auto"/>
                          <w:sz w:val="24"/>
                          <w:szCs w:val="24"/>
                          <w:lang w:val="en-US" w:eastAsia="zh-CN"/>
                        </w:rPr>
                        <w:t>道路</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0704" behindDoc="0" locked="0" layoutInCell="1" allowOverlap="1">
                <wp:simplePos x="0" y="0"/>
                <wp:positionH relativeFrom="column">
                  <wp:posOffset>5539105</wp:posOffset>
                </wp:positionH>
                <wp:positionV relativeFrom="paragraph">
                  <wp:posOffset>2889250</wp:posOffset>
                </wp:positionV>
                <wp:extent cx="539750" cy="914400"/>
                <wp:effectExtent l="0" t="0" r="0" b="0"/>
                <wp:wrapNone/>
                <wp:docPr id="236" name="文本框 236"/>
                <wp:cNvGraphicFramePr/>
                <a:graphic xmlns:a="http://schemas.openxmlformats.org/drawingml/2006/main">
                  <a:graphicData uri="http://schemas.microsoft.com/office/word/2010/wordprocessingShape">
                    <wps:wsp>
                      <wps:cNvSpPr txBox="1"/>
                      <wps:spPr>
                        <a:xfrm>
                          <a:off x="0" y="0"/>
                          <a:ext cx="539750" cy="914400"/>
                        </a:xfrm>
                        <a:prstGeom prst="rect">
                          <a:avLst/>
                        </a:prstGeom>
                        <a:noFill/>
                        <a:ln w="6350">
                          <a:noFill/>
                        </a:ln>
                        <a:effectLst/>
                      </wps:spPr>
                      <wps:txbx>
                        <w:txbxContent>
                          <w:p w14:paraId="223064B9">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36.15pt;margin-top:227.5pt;height:72pt;width:42.5pt;z-index:251720704;mso-width-relative:page;mso-height-relative:page;" filled="f" stroked="f" coordsize="21600,21600" o:gfxdata="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wo66LXAAAACwEAAA8AAAAAAAAAAQAg&#10;AAAAIgAAAGRycy9kb3ducmV2LnhtbFBLAQIUABQAAAAIAIdO4kCeioWpSAIAAIMEAAAOAAAAAAAA&#10;AAEAIAAAACYBAABkcnMvZTJvRG9jLnhtbFBLBQYAAAAABgAGAFkBAADgBQAAAAA=&#10;">
                <v:fill on="f" focussize="0,0"/>
                <v:stroke on="f" weight="0.5pt"/>
                <v:imagedata o:title=""/>
                <o:lock v:ext="edit" aspectratio="f"/>
                <v:textbox style="mso-fit-shape-to-text:t;">
                  <w:txbxContent>
                    <w:p w14:paraId="223064B9">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0944" behindDoc="0" locked="0" layoutInCell="1" allowOverlap="1">
                <wp:simplePos x="0" y="0"/>
                <wp:positionH relativeFrom="column">
                  <wp:posOffset>5306695</wp:posOffset>
                </wp:positionH>
                <wp:positionV relativeFrom="paragraph">
                  <wp:posOffset>869950</wp:posOffset>
                </wp:positionV>
                <wp:extent cx="154305" cy="3429635"/>
                <wp:effectExtent l="360680" t="0" r="361315" b="0"/>
                <wp:wrapNone/>
                <wp:docPr id="63" name="矩形 1872"/>
                <wp:cNvGraphicFramePr/>
                <a:graphic xmlns:a="http://schemas.openxmlformats.org/drawingml/2006/main">
                  <a:graphicData uri="http://schemas.microsoft.com/office/word/2010/wordprocessingShape">
                    <wps:wsp>
                      <wps:cNvSpPr/>
                      <wps:spPr>
                        <a:xfrm rot="720000">
                          <a:off x="0" y="0"/>
                          <a:ext cx="154305" cy="3429635"/>
                        </a:xfrm>
                        <a:prstGeom prst="rect">
                          <a:avLst/>
                        </a:prstGeom>
                        <a:pattFill prst="openDmnd">
                          <a:fgClr>
                            <a:srgbClr val="000000"/>
                          </a:fgClr>
                          <a:bgClr>
                            <a:srgbClr val="FFFFFF"/>
                          </a:bgClr>
                        </a:patt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72" o:spid="_x0000_s1026" o:spt="1" style="position:absolute;left:0pt;margin-left:417.85pt;margin-top:68.5pt;height:270.05pt;width:12.15pt;rotation:786432f;z-index:251730944;mso-width-relative:page;mso-height-relative:page;" fillcolor="#000000" filled="t" stroked="t" coordsize="21600,21600" o:gfxdata="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PBvLgtoAAAALAQAADwAAAAAAAAABACAAAAAi&#10;AAAAZHJzL2Rvd25yZXYueG1sUEsBAhQAFAAAAAgAh07iQP8R6ZxBAgAArwQAAA4AAAAAAAAAAQAg&#10;AAAAKQEAAGRycy9lMm9Eb2MueG1sUEsFBgAAAAAGAAYAWQEAANwFAAAAAA==&#10;">
                <v:fill type="pattern" on="t" color2="#FFFFFF" o:title="轮廓式菱形" focussize="0,0" r:id="rId59"/>
                <v:stroke color="#000000" joinstyle="miter"/>
                <v:imagedata o:title=""/>
                <o:lock v:ext="edit" aspectratio="f"/>
              </v:rect>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9680" behindDoc="0" locked="0" layoutInCell="1" allowOverlap="1">
                <wp:simplePos x="0" y="0"/>
                <wp:positionH relativeFrom="column">
                  <wp:posOffset>4298315</wp:posOffset>
                </wp:positionH>
                <wp:positionV relativeFrom="paragraph">
                  <wp:posOffset>1969135</wp:posOffset>
                </wp:positionV>
                <wp:extent cx="855345" cy="914400"/>
                <wp:effectExtent l="0" t="0" r="0" b="0"/>
                <wp:wrapNone/>
                <wp:docPr id="235" name="文本框 235"/>
                <wp:cNvGraphicFramePr/>
                <a:graphic xmlns:a="http://schemas.openxmlformats.org/drawingml/2006/main">
                  <a:graphicData uri="http://schemas.microsoft.com/office/word/2010/wordprocessingShape">
                    <wps:wsp>
                      <wps:cNvSpPr txBox="1"/>
                      <wps:spPr>
                        <a:xfrm>
                          <a:off x="0" y="0"/>
                          <a:ext cx="855345" cy="914400"/>
                        </a:xfrm>
                        <a:prstGeom prst="rect">
                          <a:avLst/>
                        </a:prstGeom>
                        <a:noFill/>
                        <a:ln w="6350">
                          <a:noFill/>
                        </a:ln>
                        <a:effectLst/>
                      </wps:spPr>
                      <wps:txbx>
                        <w:txbxContent>
                          <w:p w14:paraId="32D0FF13">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color w:val="FF0000"/>
                                <w:sz w:val="21"/>
                                <w:szCs w:val="21"/>
                                <w:highlight w:val="lightGray"/>
                                <w:lang w:val="en-US" w:eastAsia="zh-CN"/>
                              </w:rPr>
                            </w:pPr>
                            <w:r>
                              <w:rPr>
                                <w:rFonts w:hint="eastAsia" w:ascii="Times New Roman" w:hAnsi="Times New Roman" w:eastAsia="宋体" w:cs="Times New Roman"/>
                                <w:b w:val="0"/>
                                <w:bCs w:val="0"/>
                                <w:color w:val="FF0000"/>
                                <w:sz w:val="21"/>
                                <w:szCs w:val="21"/>
                                <w:highlight w:val="lightGray"/>
                                <w:lang w:val="en-US" w:eastAsia="zh-CN"/>
                              </w:rPr>
                              <w:t>建设项目</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38.45pt;margin-top:155.05pt;height:72pt;width:67.35pt;z-index:251719680;mso-width-relative:page;mso-height-relative:page;" filled="f" stroked="f" coordsize="21600,21600" o:gfxdata="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e+cE61wAAAAsBAAAPAAAAAAAAAAEA&#10;IAAAACIAAABkcnMvZG93bnJldi54bWxQSwECFAAUAAAACACHTuJAZCP6KkkCAACDBAAADgAAAAAA&#10;AAABACAAAAAmAQAAZHJzL2Uyb0RvYy54bWxQSwUGAAAAAAYABgBZAQAA4QUAAAAA&#10;">
                <v:fill on="f" focussize="0,0"/>
                <v:stroke on="f" weight="0.5pt"/>
                <v:imagedata o:title=""/>
                <o:lock v:ext="edit" aspectratio="f"/>
                <v:textbox style="mso-fit-shape-to-text:t;">
                  <w:txbxContent>
                    <w:p w14:paraId="32D0FF13">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color w:val="FF0000"/>
                          <w:sz w:val="21"/>
                          <w:szCs w:val="21"/>
                          <w:highlight w:val="lightGray"/>
                          <w:lang w:val="en-US" w:eastAsia="zh-CN"/>
                        </w:rPr>
                      </w:pPr>
                      <w:r>
                        <w:rPr>
                          <w:rFonts w:hint="eastAsia" w:ascii="Times New Roman" w:hAnsi="Times New Roman" w:eastAsia="宋体" w:cs="Times New Roman"/>
                          <w:b w:val="0"/>
                          <w:bCs w:val="0"/>
                          <w:color w:val="FF0000"/>
                          <w:sz w:val="21"/>
                          <w:szCs w:val="21"/>
                          <w:highlight w:val="lightGray"/>
                          <w:lang w:val="en-US" w:eastAsia="zh-CN"/>
                        </w:rPr>
                        <w:t>建设项目</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9920" behindDoc="0" locked="0" layoutInCell="1" allowOverlap="1">
                <wp:simplePos x="0" y="0"/>
                <wp:positionH relativeFrom="column">
                  <wp:posOffset>3975100</wp:posOffset>
                </wp:positionH>
                <wp:positionV relativeFrom="paragraph">
                  <wp:posOffset>920115</wp:posOffset>
                </wp:positionV>
                <wp:extent cx="539750" cy="914400"/>
                <wp:effectExtent l="0" t="0" r="0" b="0"/>
                <wp:wrapNone/>
                <wp:docPr id="268" name="文本框 268"/>
                <wp:cNvGraphicFramePr/>
                <a:graphic xmlns:a="http://schemas.openxmlformats.org/drawingml/2006/main">
                  <a:graphicData uri="http://schemas.microsoft.com/office/word/2010/wordprocessingShape">
                    <wps:wsp>
                      <wps:cNvSpPr txBox="1"/>
                      <wps:spPr>
                        <a:xfrm>
                          <a:off x="0" y="0"/>
                          <a:ext cx="539750" cy="914400"/>
                        </a:xfrm>
                        <a:prstGeom prst="rect">
                          <a:avLst/>
                        </a:prstGeom>
                        <a:noFill/>
                        <a:ln w="6350">
                          <a:noFill/>
                        </a:ln>
                        <a:effectLst/>
                      </wps:spPr>
                      <wps:txbx>
                        <w:txbxContent>
                          <w:p w14:paraId="04E72E2A">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13pt;margin-top:72.45pt;height:72pt;width:42.5pt;z-index:251729920;mso-width-relative:page;mso-height-relative:page;" filled="f" stroked="f" coordsize="21600,21600" o:gfxdata="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IGaYTHXAAAACwEAAA8AAAAAAAAAAQAg&#10;AAAAIgAAAGRycy9kb3ducmV2LnhtbFBLAQIUABQAAAAIAIdO4kBrWYN8SAIAAIMEAAAOAAAAAAAA&#10;AAEAIAAAACYBAABkcnMvZTJvRG9jLnhtbFBLBQYAAAAABgAGAFkBAADgBQAAAAA=&#10;">
                <v:fill on="f" focussize="0,0"/>
                <v:stroke on="f" weight="0.5pt"/>
                <v:imagedata o:title=""/>
                <o:lock v:ext="edit" aspectratio="f"/>
                <v:textbox style="mso-fit-shape-to-text:t;">
                  <w:txbxContent>
                    <w:p w14:paraId="04E72E2A">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2992" behindDoc="0" locked="0" layoutInCell="1" allowOverlap="1">
                <wp:simplePos x="0" y="0"/>
                <wp:positionH relativeFrom="column">
                  <wp:posOffset>3254375</wp:posOffset>
                </wp:positionH>
                <wp:positionV relativeFrom="paragraph">
                  <wp:posOffset>227965</wp:posOffset>
                </wp:positionV>
                <wp:extent cx="2378710" cy="2263775"/>
                <wp:effectExtent l="4445" t="4445" r="17145" b="17780"/>
                <wp:wrapNone/>
                <wp:docPr id="66" name="任意多边形 146"/>
                <wp:cNvGraphicFramePr/>
                <a:graphic xmlns:a="http://schemas.openxmlformats.org/drawingml/2006/main">
                  <a:graphicData uri="http://schemas.microsoft.com/office/word/2010/wordprocessingShape">
                    <wps:wsp>
                      <wps:cNvSpPr/>
                      <wps:spPr>
                        <a:xfrm>
                          <a:off x="0" y="0"/>
                          <a:ext cx="2378710" cy="2263775"/>
                        </a:xfrm>
                        <a:custGeom>
                          <a:avLst/>
                          <a:gdLst/>
                          <a:ahLst/>
                          <a:cxnLst/>
                          <a:pathLst>
                            <a:path w="3854" h="3565">
                              <a:moveTo>
                                <a:pt x="0" y="33"/>
                              </a:moveTo>
                              <a:lnTo>
                                <a:pt x="2677" y="0"/>
                              </a:lnTo>
                              <a:lnTo>
                                <a:pt x="3854" y="1361"/>
                              </a:lnTo>
                              <a:lnTo>
                                <a:pt x="3497" y="2341"/>
                              </a:lnTo>
                              <a:lnTo>
                                <a:pt x="3300" y="2076"/>
                              </a:lnTo>
                              <a:lnTo>
                                <a:pt x="1177" y="2123"/>
                              </a:lnTo>
                              <a:lnTo>
                                <a:pt x="1200" y="3565"/>
                              </a:lnTo>
                              <a:lnTo>
                                <a:pt x="35" y="3368"/>
                              </a:lnTo>
                              <a:lnTo>
                                <a:pt x="0" y="33"/>
                              </a:lnTo>
                              <a:close/>
                            </a:path>
                          </a:pathLst>
                        </a:custGeom>
                        <a:no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任意多边形 146" o:spid="_x0000_s1026" o:spt="100" style="position:absolute;left:0pt;margin-left:256.25pt;margin-top:17.95pt;height:178.25pt;width:187.3pt;z-index:251732992;mso-width-relative:page;mso-height-relative:page;" filled="f" stroked="t" coordsize="3854,3565" o:gfxdata="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NtS9o2QAAAAoBAAAPAAAAAAAAAAEAIAAAACIAAABk&#10;cnMvZG93bnJldi54bWxQSwECFAAUAAAACACHTuJA/rjM27ACAADxBQAADgAAAAAAAAABACAAAAAo&#10;AQAAZHJzL2Uyb0RvYy54bWxQSwUGAAAAAAYABgBZAQAASgYAAAAA&#10;" path="m0,33l2677,0,3854,1361,3497,2341,3300,2076,1177,2123,1200,3565,35,3368,0,33xe">
                <v:fill on="f" focussize="0,0"/>
                <v:stroke color="#00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1968" behindDoc="0" locked="0" layoutInCell="1" allowOverlap="1">
                <wp:simplePos x="0" y="0"/>
                <wp:positionH relativeFrom="column">
                  <wp:posOffset>4082415</wp:posOffset>
                </wp:positionH>
                <wp:positionV relativeFrom="paragraph">
                  <wp:posOffset>1612900</wp:posOffset>
                </wp:positionV>
                <wp:extent cx="1311910" cy="1031875"/>
                <wp:effectExtent l="9525" t="9525" r="12065" b="25400"/>
                <wp:wrapNone/>
                <wp:docPr id="65" name="任意多边形 145"/>
                <wp:cNvGraphicFramePr/>
                <a:graphic xmlns:a="http://schemas.openxmlformats.org/drawingml/2006/main">
                  <a:graphicData uri="http://schemas.microsoft.com/office/word/2010/wordprocessingShape">
                    <wps:wsp>
                      <wps:cNvSpPr/>
                      <wps:spPr>
                        <a:xfrm>
                          <a:off x="0" y="0"/>
                          <a:ext cx="1311910" cy="1031875"/>
                        </a:xfrm>
                        <a:custGeom>
                          <a:avLst/>
                          <a:gdLst/>
                          <a:ahLst/>
                          <a:cxnLst/>
                          <a:pathLst>
                            <a:path w="2066" h="1625">
                              <a:moveTo>
                                <a:pt x="0" y="1407"/>
                              </a:moveTo>
                              <a:lnTo>
                                <a:pt x="1696" y="1625"/>
                              </a:lnTo>
                              <a:lnTo>
                                <a:pt x="2066" y="195"/>
                              </a:lnTo>
                              <a:lnTo>
                                <a:pt x="1927" y="0"/>
                              </a:lnTo>
                              <a:lnTo>
                                <a:pt x="70" y="22"/>
                              </a:lnTo>
                              <a:lnTo>
                                <a:pt x="0" y="1407"/>
                              </a:lnTo>
                              <a:close/>
                            </a:path>
                          </a:pathLst>
                        </a:custGeom>
                        <a:noFill/>
                        <a:ln w="19050"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45" o:spid="_x0000_s1026" o:spt="100" style="position:absolute;left:0pt;margin-left:321.45pt;margin-top:127pt;height:81.25pt;width:103.3pt;z-index:251731968;mso-width-relative:page;mso-height-relative:page;" filled="f" stroked="t" coordsize="2066,1625" o:gfxdata="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N004J/b&#10;AAAACwEAAA8AAAAAAAAAAQAgAAAAIgAAAGRycy9kb3ducmV2LnhtbFBLAQIUABQAAAAIAIdO4kDN&#10;FtXZjwIAAHUFAAAOAAAAAAAAAAEAIAAAACoBAABkcnMvZTJvRG9jLnhtbFBLBQYAAAAABgAGAFkB&#10;AAArBgAAAAA=&#10;" path="m0,1407l1696,1625,2066,195,1927,0,70,22,0,1407xe">
                <v:fill on="f" focussize="0,0"/>
                <v:stroke weight="1.5pt"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91008" behindDoc="0" locked="0" layoutInCell="1" allowOverlap="1">
            <wp:simplePos x="0" y="0"/>
            <wp:positionH relativeFrom="column">
              <wp:posOffset>19685</wp:posOffset>
            </wp:positionH>
            <wp:positionV relativeFrom="paragraph">
              <wp:posOffset>117475</wp:posOffset>
            </wp:positionV>
            <wp:extent cx="1076325" cy="1009015"/>
            <wp:effectExtent l="0" t="0" r="9525" b="635"/>
            <wp:wrapNone/>
            <wp:docPr id="36" name="图片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886"/>
                    <pic:cNvPicPr>
                      <a:picLocks noChangeAspect="1"/>
                    </pic:cNvPicPr>
                  </pic:nvPicPr>
                  <pic:blipFill>
                    <a:blip r:embed="rId60"/>
                    <a:stretch>
                      <a:fillRect/>
                    </a:stretch>
                  </pic:blipFill>
                  <pic:spPr>
                    <a:xfrm>
                      <a:off x="0" y="0"/>
                      <a:ext cx="1076325" cy="1009015"/>
                    </a:xfrm>
                    <a:prstGeom prst="rect">
                      <a:avLst/>
                    </a:prstGeom>
                    <a:noFill/>
                    <a:ln>
                      <a:noFill/>
                    </a:ln>
                  </pic:spPr>
                </pic:pic>
              </a:graphicData>
            </a:graphic>
          </wp:anchor>
        </w:drawing>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2752" behindDoc="0" locked="0" layoutInCell="1" allowOverlap="1">
                <wp:simplePos x="0" y="0"/>
                <wp:positionH relativeFrom="column">
                  <wp:posOffset>4133850</wp:posOffset>
                </wp:positionH>
                <wp:positionV relativeFrom="paragraph">
                  <wp:posOffset>5144135</wp:posOffset>
                </wp:positionV>
                <wp:extent cx="1044575" cy="527050"/>
                <wp:effectExtent l="0" t="0" r="0" b="0"/>
                <wp:wrapNone/>
                <wp:docPr id="254" name="文本框 254"/>
                <wp:cNvGraphicFramePr/>
                <a:graphic xmlns:a="http://schemas.openxmlformats.org/drawingml/2006/main">
                  <a:graphicData uri="http://schemas.microsoft.com/office/word/2010/wordprocessingShape">
                    <wps:wsp>
                      <wps:cNvSpPr txBox="1"/>
                      <wps:spPr>
                        <a:xfrm>
                          <a:off x="0" y="0"/>
                          <a:ext cx="1044575" cy="527050"/>
                        </a:xfrm>
                        <a:prstGeom prst="rect">
                          <a:avLst/>
                        </a:prstGeom>
                        <a:noFill/>
                        <a:ln w="6350">
                          <a:noFill/>
                        </a:ln>
                        <a:effectLst/>
                      </wps:spPr>
                      <wps:txbx>
                        <w:txbxContent>
                          <w:p w14:paraId="50AC1B08">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sz w:val="21"/>
                                <w:szCs w:val="21"/>
                                <w:highlight w:val="lightGray"/>
                              </w:rPr>
                            </w:pPr>
                            <w:r>
                              <w:rPr>
                                <w:rFonts w:hint="eastAsia" w:ascii="Times New Roman" w:hAnsi="Times New Roman" w:eastAsia="宋体" w:cs="Times New Roman"/>
                                <w:sz w:val="21"/>
                                <w:szCs w:val="21"/>
                                <w:highlight w:val="lightGray"/>
                              </w:rPr>
                              <w:t>冠荣科技(韶关)有限公司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25.5pt;margin-top:405.05pt;height:41.5pt;width:82.25pt;z-index:251722752;mso-width-relative:page;mso-height-relative:page;" filled="f" stroked="f" coordsize="21600,21600" o:gfxdata="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miUFKdwAAAALAQAADwAAAAAA&#10;AAABACAAAAAiAAAAZHJzL2Rvd25yZXYueG1sUEsBAhQAFAAAAAgAh07iQATh8E5IAgAAhAQAAA4A&#10;AAAAAAAAAQAgAAAAKwEAAGRycy9lMm9Eb2MueG1sUEsFBgAAAAAGAAYAWQEAAOUFAAAAAA==&#10;">
                <v:fill on="f" focussize="0,0"/>
                <v:stroke on="f" weight="0.5pt"/>
                <v:imagedata o:title=""/>
                <o:lock v:ext="edit" aspectratio="f"/>
                <v:textbox>
                  <w:txbxContent>
                    <w:p w14:paraId="50AC1B08">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sz w:val="21"/>
                          <w:szCs w:val="21"/>
                          <w:highlight w:val="lightGray"/>
                        </w:rPr>
                      </w:pPr>
                      <w:r>
                        <w:rPr>
                          <w:rFonts w:hint="eastAsia" w:ascii="Times New Roman" w:hAnsi="Times New Roman" w:eastAsia="宋体" w:cs="Times New Roman"/>
                          <w:sz w:val="21"/>
                          <w:szCs w:val="21"/>
                          <w:highlight w:val="lightGray"/>
                        </w:rPr>
                        <w:t>冠荣科技(韶关)有限公司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8896" behindDoc="0" locked="0" layoutInCell="1" allowOverlap="1">
                <wp:simplePos x="0" y="0"/>
                <wp:positionH relativeFrom="column">
                  <wp:posOffset>1729105</wp:posOffset>
                </wp:positionH>
                <wp:positionV relativeFrom="paragraph">
                  <wp:posOffset>3715385</wp:posOffset>
                </wp:positionV>
                <wp:extent cx="1240790" cy="633095"/>
                <wp:effectExtent l="0" t="0" r="0" b="0"/>
                <wp:wrapNone/>
                <wp:docPr id="266" name="文本框 266"/>
                <wp:cNvGraphicFramePr/>
                <a:graphic xmlns:a="http://schemas.openxmlformats.org/drawingml/2006/main">
                  <a:graphicData uri="http://schemas.microsoft.com/office/word/2010/wordprocessingShape">
                    <wps:wsp>
                      <wps:cNvSpPr txBox="1"/>
                      <wps:spPr>
                        <a:xfrm>
                          <a:off x="0" y="0"/>
                          <a:ext cx="1240790" cy="633095"/>
                        </a:xfrm>
                        <a:prstGeom prst="rect">
                          <a:avLst/>
                        </a:prstGeom>
                        <a:noFill/>
                        <a:ln w="6350">
                          <a:noFill/>
                        </a:ln>
                        <a:effectLst/>
                      </wps:spPr>
                      <wps:txbx>
                        <w:txbxContent>
                          <w:p w14:paraId="028088D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仿宋_GB2312" w:hAnsi="Times New Roman" w:eastAsia="仿宋_GB2312" w:cs="Times New Roman"/>
                                <w:b w:val="0"/>
                                <w:bCs w:val="0"/>
                                <w:color w:val="auto"/>
                                <w:sz w:val="21"/>
                                <w:szCs w:val="21"/>
                                <w:highlight w:val="lightGray"/>
                                <w:u w:val="none"/>
                                <w:lang w:val="en-US" w:eastAsia="zh-CN"/>
                              </w:rPr>
                            </w:pPr>
                            <w:r>
                              <w:rPr>
                                <w:rFonts w:hint="eastAsia" w:ascii="仿宋_GB2312" w:hAnsi="Times New Roman" w:eastAsia="仿宋_GB2312" w:cs="Times New Roman"/>
                                <w:b w:val="0"/>
                                <w:bCs w:val="0"/>
                                <w:color w:val="auto"/>
                                <w:sz w:val="21"/>
                                <w:szCs w:val="21"/>
                                <w:highlight w:val="lightGray"/>
                                <w:u w:val="none"/>
                                <w:lang w:val="en-US" w:eastAsia="zh-CN"/>
                              </w:rPr>
                              <w:t>广东骏维新材料科技有限公司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36.15pt;margin-top:292.55pt;height:49.85pt;width:97.7pt;z-index:251728896;mso-width-relative:page;mso-height-relative:page;" filled="f" stroked="f" coordsize="21600,21600" o:gfxdata="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NNxHq3QAAAAsBAAAPAAAA&#10;AAAAAAEAIAAAACIAAABkcnMvZG93bnJldi54bWxQSwECFAAUAAAACACHTuJAxY1xFEkCAACEBAAA&#10;DgAAAAAAAAABACAAAAAsAQAAZHJzL2Uyb0RvYy54bWxQSwUGAAAAAAYABgBZAQAA5wUAAAAA&#10;">
                <v:fill on="f" focussize="0,0"/>
                <v:stroke on="f" weight="0.5pt"/>
                <v:imagedata o:title=""/>
                <o:lock v:ext="edit" aspectratio="f"/>
                <v:textbox>
                  <w:txbxContent>
                    <w:p w14:paraId="028088D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仿宋_GB2312" w:hAnsi="Times New Roman" w:eastAsia="仿宋_GB2312" w:cs="Times New Roman"/>
                          <w:b w:val="0"/>
                          <w:bCs w:val="0"/>
                          <w:color w:val="auto"/>
                          <w:sz w:val="21"/>
                          <w:szCs w:val="21"/>
                          <w:highlight w:val="lightGray"/>
                          <w:u w:val="none"/>
                          <w:lang w:val="en-US" w:eastAsia="zh-CN"/>
                        </w:rPr>
                      </w:pPr>
                      <w:r>
                        <w:rPr>
                          <w:rFonts w:hint="eastAsia" w:ascii="仿宋_GB2312" w:hAnsi="Times New Roman" w:eastAsia="仿宋_GB2312" w:cs="Times New Roman"/>
                          <w:b w:val="0"/>
                          <w:bCs w:val="0"/>
                          <w:color w:val="auto"/>
                          <w:sz w:val="21"/>
                          <w:szCs w:val="21"/>
                          <w:highlight w:val="lightGray"/>
                          <w:u w:val="none"/>
                          <w:lang w:val="en-US" w:eastAsia="zh-CN"/>
                        </w:rPr>
                        <w:t>广东骏维新材料科技有限公司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7872" behindDoc="0" locked="0" layoutInCell="1" allowOverlap="1">
                <wp:simplePos x="0" y="0"/>
                <wp:positionH relativeFrom="column">
                  <wp:posOffset>1687830</wp:posOffset>
                </wp:positionH>
                <wp:positionV relativeFrom="paragraph">
                  <wp:posOffset>3390265</wp:posOffset>
                </wp:positionV>
                <wp:extent cx="1405255" cy="1282700"/>
                <wp:effectExtent l="6350" t="6350" r="17145" b="25400"/>
                <wp:wrapNone/>
                <wp:docPr id="265" name="任意多边形 265"/>
                <wp:cNvGraphicFramePr/>
                <a:graphic xmlns:a="http://schemas.openxmlformats.org/drawingml/2006/main">
                  <a:graphicData uri="http://schemas.microsoft.com/office/word/2010/wordprocessingShape">
                    <wps:wsp>
                      <wps:cNvSpPr/>
                      <wps:spPr>
                        <a:xfrm>
                          <a:off x="2587625" y="4290060"/>
                          <a:ext cx="1405255" cy="1282700"/>
                        </a:xfrm>
                        <a:custGeom>
                          <a:avLst/>
                          <a:gdLst>
                            <a:gd name="connisteX0" fmla="*/ 37465 w 1405255"/>
                            <a:gd name="connsiteY0" fmla="*/ 1273175 h 1282700"/>
                            <a:gd name="connisteX1" fmla="*/ 1376680 w 1405255"/>
                            <a:gd name="connsiteY1" fmla="*/ 1000125 h 1282700"/>
                            <a:gd name="connisteX2" fmla="*/ 1405255 w 1405255"/>
                            <a:gd name="connsiteY2" fmla="*/ 0 h 1282700"/>
                            <a:gd name="connisteX3" fmla="*/ 9525 w 1405255"/>
                            <a:gd name="connsiteY3" fmla="*/ 9525 h 1282700"/>
                            <a:gd name="connisteX4" fmla="*/ 0 w 1405255"/>
                            <a:gd name="connsiteY4" fmla="*/ 1282700 h 1282700"/>
                            <a:gd name="connisteX5" fmla="*/ 37465 w 1405255"/>
                            <a:gd name="connsiteY5" fmla="*/ 1273175 h 12827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405255" h="1282700">
                              <a:moveTo>
                                <a:pt x="37465" y="1273175"/>
                              </a:moveTo>
                              <a:lnTo>
                                <a:pt x="1376680" y="1000125"/>
                              </a:lnTo>
                              <a:lnTo>
                                <a:pt x="1405255" y="0"/>
                              </a:lnTo>
                              <a:lnTo>
                                <a:pt x="9525" y="9525"/>
                              </a:lnTo>
                              <a:lnTo>
                                <a:pt x="0" y="1282700"/>
                              </a:lnTo>
                              <a:lnTo>
                                <a:pt x="37465" y="127317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132.9pt;margin-top:266.95pt;height:101pt;width:110.65pt;z-index:251727872;mso-width-relative:page;mso-height-relative:page;" filled="f" stroked="t" coordsize="1405255,1282700" o:gfxdata="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" path="m37465,1273175l1376680,1000125,1405255,0,9525,9525,0,1282700,37465,1273175xe">
                <v:path o:connectlocs="37465,1273175;1376680,1000125;1405255,0;9525,9525;0,1282700;37465,1273175" o:connectangles="0,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8656" behindDoc="0" locked="0" layoutInCell="1" allowOverlap="1">
                <wp:simplePos x="0" y="0"/>
                <wp:positionH relativeFrom="column">
                  <wp:posOffset>3811270</wp:posOffset>
                </wp:positionH>
                <wp:positionV relativeFrom="paragraph">
                  <wp:posOffset>3288030</wp:posOffset>
                </wp:positionV>
                <wp:extent cx="709295" cy="914400"/>
                <wp:effectExtent l="0" t="0" r="0" b="0"/>
                <wp:wrapNone/>
                <wp:docPr id="234" name="文本框 234"/>
                <wp:cNvGraphicFramePr/>
                <a:graphic xmlns:a="http://schemas.openxmlformats.org/drawingml/2006/main">
                  <a:graphicData uri="http://schemas.microsoft.com/office/word/2010/wordprocessingShape">
                    <wps:wsp>
                      <wps:cNvSpPr txBox="1"/>
                      <wps:spPr>
                        <a:xfrm>
                          <a:off x="0" y="0"/>
                          <a:ext cx="709295" cy="914400"/>
                        </a:xfrm>
                        <a:prstGeom prst="rect">
                          <a:avLst/>
                        </a:prstGeom>
                        <a:noFill/>
                        <a:ln w="6350">
                          <a:noFill/>
                        </a:ln>
                        <a:effectLst/>
                      </wps:spPr>
                      <wps:txbx>
                        <w:txbxContent>
                          <w:p w14:paraId="57501CB9">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00.1pt;margin-top:258.9pt;height:72pt;width:55.85pt;z-index:251718656;mso-width-relative:page;mso-height-relative:page;" filled="f" stroked="f" coordsize="21600,21600" o:gfxdata="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AtmZB9YAAAALAQAADwAAAAAAAAAB&#10;ACAAAAAiAAAAZHJzL2Rvd25yZXYueG1sUEsBAhQAFAAAAAgAh07iQMgqxuJLAgAAgwQAAA4AAAAA&#10;AAAAAQAgAAAAJQEAAGRycy9lMm9Eb2MueG1sUEsFBgAAAAAGAAYAWQEAAOIFAAAAAA==&#10;">
                <v:fill on="f" focussize="0,0"/>
                <v:stroke on="f" weight="0.5pt"/>
                <v:imagedata o:title=""/>
                <o:lock v:ext="edit" aspectratio="f"/>
                <v:textbox style="mso-fit-shape-to-text:t;">
                  <w:txbxContent>
                    <w:p w14:paraId="57501CB9">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6848" behindDoc="0" locked="0" layoutInCell="1" allowOverlap="1">
                <wp:simplePos x="0" y="0"/>
                <wp:positionH relativeFrom="column">
                  <wp:posOffset>940435</wp:posOffset>
                </wp:positionH>
                <wp:positionV relativeFrom="paragraph">
                  <wp:posOffset>4934585</wp:posOffset>
                </wp:positionV>
                <wp:extent cx="1890395" cy="416560"/>
                <wp:effectExtent l="0" t="0" r="0" b="0"/>
                <wp:wrapNone/>
                <wp:docPr id="264" name="文本框 264"/>
                <wp:cNvGraphicFramePr/>
                <a:graphic xmlns:a="http://schemas.openxmlformats.org/drawingml/2006/main">
                  <a:graphicData uri="http://schemas.microsoft.com/office/word/2010/wordprocessingShape">
                    <wps:wsp>
                      <wps:cNvSpPr txBox="1"/>
                      <wps:spPr>
                        <a:xfrm rot="21000000">
                          <a:off x="0" y="0"/>
                          <a:ext cx="1890395" cy="416560"/>
                        </a:xfrm>
                        <a:prstGeom prst="rect">
                          <a:avLst/>
                        </a:prstGeom>
                        <a:noFill/>
                        <a:ln w="6350">
                          <a:noFill/>
                        </a:ln>
                        <a:effectLst/>
                      </wps:spPr>
                      <wps:txbx>
                        <w:txbxContent>
                          <w:p w14:paraId="3845D7CC">
                            <w:pPr>
                              <w:spacing w:line="360" w:lineRule="auto"/>
                              <w:rPr>
                                <w:rFonts w:ascii="Times New Roman" w:hAnsi="Times New Roman" w:eastAsia="宋体" w:cs="Times New Roman"/>
                                <w:sz w:val="24"/>
                              </w:rPr>
                            </w:pPr>
                            <w:r>
                              <w:rPr>
                                <w:rFonts w:hint="eastAsia" w:ascii="仿宋_GB2312" w:hAnsi="Times New Roman" w:eastAsia="仿宋_GB2312" w:cs="Times New Roman"/>
                                <w:b w:val="0"/>
                                <w:bCs w:val="0"/>
                                <w:color w:val="auto"/>
                                <w:sz w:val="21"/>
                                <w:szCs w:val="21"/>
                                <w:highlight w:val="lightGray"/>
                                <w:u w:val="none"/>
                                <w:lang w:val="en-US" w:eastAsia="zh-CN"/>
                              </w:rPr>
                              <w:t>美伦建材（韶关）有限公司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4.05pt;margin-top:388.55pt;height:32.8pt;width:148.85pt;rotation:-655360f;z-index:251726848;mso-width-relative:page;mso-height-relative:page;" filled="f" stroked="f" coordsize="21600,21600" o:gfxdata="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Veke+2QAAAAsB&#10;AAAPAAAAAAAAAAEAIAAAACIAAABkcnMvZG93bnJldi54bWxQSwECFAAUAAAACACHTuJAB2h1XFMC&#10;AACTBAAADgAAAAAAAAABACAAAAAoAQAAZHJzL2Uyb0RvYy54bWxQSwUGAAAAAAYABgBZAQAA7QUA&#10;AAAA&#10;">
                <v:fill on="f" focussize="0,0"/>
                <v:stroke on="f" weight="0.5pt"/>
                <v:imagedata o:title=""/>
                <o:lock v:ext="edit" aspectratio="f"/>
                <v:textbox>
                  <w:txbxContent>
                    <w:p w14:paraId="3845D7CC">
                      <w:pPr>
                        <w:spacing w:line="360" w:lineRule="auto"/>
                        <w:rPr>
                          <w:rFonts w:ascii="Times New Roman" w:hAnsi="Times New Roman" w:eastAsia="宋体" w:cs="Times New Roman"/>
                          <w:sz w:val="24"/>
                        </w:rPr>
                      </w:pPr>
                      <w:r>
                        <w:rPr>
                          <w:rFonts w:hint="eastAsia" w:ascii="仿宋_GB2312" w:hAnsi="Times New Roman" w:eastAsia="仿宋_GB2312" w:cs="Times New Roman"/>
                          <w:b w:val="0"/>
                          <w:bCs w:val="0"/>
                          <w:color w:val="auto"/>
                          <w:sz w:val="21"/>
                          <w:szCs w:val="21"/>
                          <w:highlight w:val="lightGray"/>
                          <w:u w:val="none"/>
                          <w:lang w:val="en-US" w:eastAsia="zh-CN"/>
                        </w:rPr>
                        <w:t>美伦建材（韶关）有限公司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5824" behindDoc="0" locked="0" layoutInCell="1" allowOverlap="1">
                <wp:simplePos x="0" y="0"/>
                <wp:positionH relativeFrom="column">
                  <wp:posOffset>636905</wp:posOffset>
                </wp:positionH>
                <wp:positionV relativeFrom="paragraph">
                  <wp:posOffset>4910455</wp:posOffset>
                </wp:positionV>
                <wp:extent cx="2411730" cy="446405"/>
                <wp:effectExtent l="27940" t="213360" r="36830" b="216535"/>
                <wp:wrapNone/>
                <wp:docPr id="263" name="矩形 263"/>
                <wp:cNvGraphicFramePr/>
                <a:graphic xmlns:a="http://schemas.openxmlformats.org/drawingml/2006/main">
                  <a:graphicData uri="http://schemas.microsoft.com/office/word/2010/wordprocessingShape">
                    <wps:wsp>
                      <wps:cNvSpPr/>
                      <wps:spPr>
                        <a:xfrm rot="21000000">
                          <a:off x="1536700" y="5810250"/>
                          <a:ext cx="2411730" cy="4464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15pt;margin-top:386.65pt;height:35.15pt;width:189.9pt;rotation:-655360f;z-index:251725824;v-text-anchor:middle;mso-width-relative:page;mso-height-relative:page;" filled="f" stroked="t" coordsize="21600,21600" o:gfxdata="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ScENi2QAA&#10;AAsBAAAPAAAAAAAAAAEAIAAAACIAAABkcnMvZG93bnJldi54bWxQSwECFAAUAAAACACHTuJAZ5Kz&#10;/I8CAAAMBQAADgAAAAAAAAABACAAAAAoAQAAZHJzL2Uyb0RvYy54bWxQSwUGAAAAAAYABgBZAQAA&#10;KQYAAAAA&#10;">
                <v:fill on="f" focussize="0,0"/>
                <v:stroke weight="1pt" color="#000000" miterlimit="8" joinstyle="miter"/>
                <v:imagedata o:title=""/>
                <o:lock v:ext="edit" aspectratio="f"/>
              </v:rect>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4800" behindDoc="0" locked="0" layoutInCell="1" allowOverlap="1">
                <wp:simplePos x="0" y="0"/>
                <wp:positionH relativeFrom="column">
                  <wp:posOffset>1485265</wp:posOffset>
                </wp:positionH>
                <wp:positionV relativeFrom="paragraph">
                  <wp:posOffset>5536565</wp:posOffset>
                </wp:positionV>
                <wp:extent cx="1576070" cy="401320"/>
                <wp:effectExtent l="0" t="0" r="0" b="0"/>
                <wp:wrapNone/>
                <wp:docPr id="262" name="文本框 262"/>
                <wp:cNvGraphicFramePr/>
                <a:graphic xmlns:a="http://schemas.openxmlformats.org/drawingml/2006/main">
                  <a:graphicData uri="http://schemas.microsoft.com/office/word/2010/wordprocessingShape">
                    <wps:wsp>
                      <wps:cNvSpPr txBox="1"/>
                      <wps:spPr>
                        <a:xfrm rot="21420000">
                          <a:off x="0" y="0"/>
                          <a:ext cx="1576070" cy="401320"/>
                        </a:xfrm>
                        <a:prstGeom prst="rect">
                          <a:avLst/>
                        </a:prstGeom>
                        <a:noFill/>
                        <a:ln w="6350">
                          <a:noFill/>
                        </a:ln>
                        <a:effectLst/>
                      </wps:spPr>
                      <wps:txbx>
                        <w:txbxContent>
                          <w:p w14:paraId="2008EB62">
                            <w:pPr>
                              <w:spacing w:line="360" w:lineRule="auto"/>
                              <w:rPr>
                                <w:rFonts w:hint="eastAsia" w:ascii="Times New Roman" w:hAnsi="Times New Roman" w:eastAsia="宋体" w:cs="Times New Roman"/>
                                <w:sz w:val="24"/>
                              </w:rPr>
                            </w:pPr>
                            <w:r>
                              <w:rPr>
                                <w:rFonts w:hint="eastAsia" w:ascii="Times New Roman" w:hAnsi="Times New Roman" w:eastAsia="宋体" w:cs="Times New Roman"/>
                                <w:sz w:val="21"/>
                                <w:szCs w:val="21"/>
                                <w:highlight w:val="lightGray"/>
                              </w:rPr>
                              <w:t>广东拓美产业园</w:t>
                            </w:r>
                          </w:p>
                          <w:p w14:paraId="37EAF479">
                            <w:pPr>
                              <w:spacing w:line="360" w:lineRule="auto"/>
                              <w:rPr>
                                <w:rFonts w:ascii="Times New Roman" w:hAnsi="Times New Roman" w:eastAsia="宋体" w:cs="Times New Roman"/>
                                <w:sz w:val="24"/>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6.95pt;margin-top:435.95pt;height:31.6pt;width:124.1pt;rotation:-196608f;z-index:251724800;mso-width-relative:page;mso-height-relative:page;" filled="f" stroked="f" coordsize="21600,21600" o:gfxdata="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pHMwjbAAAA&#10;CwEAAA8AAAAAAAAAAQAgAAAAIgAAAGRycy9kb3ducmV2LnhtbFBLAQIUABQAAAAIAIdO4kBTzMFC&#10;UwIAAJMEAAAOAAAAAAAAAAEAIAAAACoBAABkcnMvZTJvRG9jLnhtbFBLBQYAAAAABgAGAFkBAADv&#10;BQAAAAA=&#10;">
                <v:fill on="f" focussize="0,0"/>
                <v:stroke on="f" weight="0.5pt"/>
                <v:imagedata o:title=""/>
                <o:lock v:ext="edit" aspectratio="f"/>
                <v:textbox>
                  <w:txbxContent>
                    <w:p w14:paraId="2008EB62">
                      <w:pPr>
                        <w:spacing w:line="360" w:lineRule="auto"/>
                        <w:rPr>
                          <w:rFonts w:hint="eastAsia" w:ascii="Times New Roman" w:hAnsi="Times New Roman" w:eastAsia="宋体" w:cs="Times New Roman"/>
                          <w:sz w:val="24"/>
                        </w:rPr>
                      </w:pPr>
                      <w:r>
                        <w:rPr>
                          <w:rFonts w:hint="eastAsia" w:ascii="Times New Roman" w:hAnsi="Times New Roman" w:eastAsia="宋体" w:cs="Times New Roman"/>
                          <w:sz w:val="21"/>
                          <w:szCs w:val="21"/>
                          <w:highlight w:val="lightGray"/>
                        </w:rPr>
                        <w:t>广东拓美产业园</w:t>
                      </w:r>
                    </w:p>
                    <w:p w14:paraId="37EAF479">
                      <w:pPr>
                        <w:spacing w:line="360" w:lineRule="auto"/>
                        <w:rPr>
                          <w:rFonts w:ascii="Times New Roman" w:hAnsi="Times New Roman" w:eastAsia="宋体" w:cs="Times New Roman"/>
                          <w:sz w:val="24"/>
                        </w:rPr>
                      </w:pP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3776" behindDoc="0" locked="0" layoutInCell="1" allowOverlap="1">
                <wp:simplePos x="0" y="0"/>
                <wp:positionH relativeFrom="column">
                  <wp:posOffset>1005840</wp:posOffset>
                </wp:positionH>
                <wp:positionV relativeFrom="paragraph">
                  <wp:posOffset>5450840</wp:posOffset>
                </wp:positionV>
                <wp:extent cx="2051050" cy="549275"/>
                <wp:effectExtent l="6350" t="6985" r="19050" b="15240"/>
                <wp:wrapNone/>
                <wp:docPr id="261" name="任意多边形 261"/>
                <wp:cNvGraphicFramePr/>
                <a:graphic xmlns:a="http://schemas.openxmlformats.org/drawingml/2006/main">
                  <a:graphicData uri="http://schemas.microsoft.com/office/word/2010/wordprocessingShape">
                    <wps:wsp>
                      <wps:cNvSpPr/>
                      <wps:spPr>
                        <a:xfrm>
                          <a:off x="1905635" y="6350635"/>
                          <a:ext cx="2051050" cy="549275"/>
                        </a:xfrm>
                        <a:custGeom>
                          <a:avLst/>
                          <a:gdLst>
                            <a:gd name="connisteX0" fmla="*/ 8890 w 2051050"/>
                            <a:gd name="connsiteY0" fmla="*/ 179705 h 549275"/>
                            <a:gd name="connisteX1" fmla="*/ 2051050 w 2051050"/>
                            <a:gd name="connsiteY1" fmla="*/ 0 h 549275"/>
                            <a:gd name="connisteX2" fmla="*/ 2051050 w 2051050"/>
                            <a:gd name="connsiteY2" fmla="*/ 360680 h 549275"/>
                            <a:gd name="connisteX3" fmla="*/ 0 w 2051050"/>
                            <a:gd name="connsiteY3" fmla="*/ 549275 h 549275"/>
                            <a:gd name="connisteX4" fmla="*/ 8890 w 2051050"/>
                            <a:gd name="connsiteY4" fmla="*/ 179705 h 54927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051050" h="549275">
                              <a:moveTo>
                                <a:pt x="8890" y="179705"/>
                              </a:moveTo>
                              <a:lnTo>
                                <a:pt x="2051050" y="0"/>
                              </a:lnTo>
                              <a:lnTo>
                                <a:pt x="2051050" y="360680"/>
                              </a:lnTo>
                              <a:lnTo>
                                <a:pt x="0" y="549275"/>
                              </a:lnTo>
                              <a:lnTo>
                                <a:pt x="8890" y="17970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79.2pt;margin-top:429.2pt;height:43.25pt;width:161.5pt;z-index:251723776;mso-width-relative:page;mso-height-relative:page;" filled="f" stroked="t" coordsize="2051050,549275" o:gfxdata="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aT5+KtcAAAALAQAADwAAAAAAAAABACAAAAAiAAAAZHJzL2Rvd25yZXYueG1sUEsBAhQAFAAAAAgA&#10;h07iQBRw07JDAwAAsggAAA4AAAAAAAAAAQAgAAAAJgEAAGRycy9lMm9Eb2MueG1sUEsFBgAAAAAG&#10;AAYAWQEAANsGAAAAAA==&#10;" path="m8890,179705l2051050,0,2051050,360680,0,549275,8890,179705xe">
                <v:path o:connectlocs="8890,179705;2051050,0;2051050,360680;0,549275;8890,179705"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7632" behindDoc="0" locked="0" layoutInCell="1" allowOverlap="1">
                <wp:simplePos x="0" y="0"/>
                <wp:positionH relativeFrom="column">
                  <wp:posOffset>3175000</wp:posOffset>
                </wp:positionH>
                <wp:positionV relativeFrom="paragraph">
                  <wp:posOffset>4781550</wp:posOffset>
                </wp:positionV>
                <wp:extent cx="1018540" cy="914400"/>
                <wp:effectExtent l="0" t="0" r="0" b="0"/>
                <wp:wrapNone/>
                <wp:docPr id="220" name="文本框 220"/>
                <wp:cNvGraphicFramePr/>
                <a:graphic xmlns:a="http://schemas.openxmlformats.org/drawingml/2006/main">
                  <a:graphicData uri="http://schemas.microsoft.com/office/word/2010/wordprocessingShape">
                    <wps:wsp>
                      <wps:cNvSpPr txBox="1"/>
                      <wps:spPr>
                        <a:xfrm>
                          <a:off x="4377055" y="5647055"/>
                          <a:ext cx="1018540" cy="914400"/>
                        </a:xfrm>
                        <a:prstGeom prst="rect">
                          <a:avLst/>
                        </a:prstGeom>
                        <a:noFill/>
                        <a:ln w="6350">
                          <a:noFill/>
                        </a:ln>
                        <a:effectLst/>
                      </wps:spPr>
                      <wps:txbx>
                        <w:txbxContent>
                          <w:p w14:paraId="73AF5D97">
                            <w:pPr>
                              <w:keepNext w:val="0"/>
                              <w:keepLines w:val="0"/>
                              <w:pageBreakBefore w:val="0"/>
                              <w:widowControl w:val="0"/>
                              <w:kinsoku/>
                              <w:wordWrap/>
                              <w:overflowPunct/>
                              <w:topLinePunct w:val="0"/>
                              <w:bidi w:val="0"/>
                              <w:adjustRightInd/>
                              <w:snapToGrid/>
                              <w:spacing w:line="240" w:lineRule="auto"/>
                              <w:textAlignment w:val="auto"/>
                              <w:rPr>
                                <w:rFonts w:ascii="Times New Roman" w:hAnsi="Times New Roman" w:eastAsia="宋体" w:cs="Times New Roman"/>
                                <w:b w:val="0"/>
                                <w:bCs w:val="0"/>
                                <w:sz w:val="21"/>
                                <w:szCs w:val="21"/>
                                <w:highlight w:val="lightGray"/>
                              </w:rPr>
                            </w:pPr>
                            <w:r>
                              <w:rPr>
                                <w:rFonts w:hint="eastAsia" w:ascii="Times New Roman" w:hAnsi="Times New Roman" w:eastAsia="宋体" w:cs="Times New Roman"/>
                                <w:b w:val="0"/>
                                <w:bCs w:val="0"/>
                                <w:sz w:val="21"/>
                                <w:szCs w:val="21"/>
                                <w:highlight w:val="lightGray"/>
                              </w:rPr>
                              <w:t>韶关博</w:t>
                            </w:r>
                            <w:r>
                              <w:rPr>
                                <w:rFonts w:hint="eastAsia" w:ascii="Times New Roman" w:hAnsi="Times New Roman" w:eastAsia="宋体" w:cs="Times New Roman"/>
                                <w:b w:val="0"/>
                                <w:bCs w:val="0"/>
                                <w:sz w:val="21"/>
                                <w:szCs w:val="21"/>
                                <w:highlight w:val="lightGray"/>
                                <w:lang w:val="en-US" w:eastAsia="zh-CN"/>
                              </w:rPr>
                              <w:t>鑫</w:t>
                            </w:r>
                            <w:r>
                              <w:rPr>
                                <w:rFonts w:hint="eastAsia" w:ascii="Times New Roman" w:hAnsi="Times New Roman" w:eastAsia="宋体" w:cs="Times New Roman"/>
                                <w:b w:val="0"/>
                                <w:bCs w:val="0"/>
                                <w:sz w:val="21"/>
                                <w:szCs w:val="21"/>
                                <w:highlight w:val="lightGray"/>
                              </w:rPr>
                              <w:t>工程服务有限公司</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0pt;margin-top:376.5pt;height:72pt;width:80.2pt;z-index:251717632;mso-width-relative:page;mso-height-relative:page;" filled="f" stroked="f" coordsize="21600,21600" o:gfxdata="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9yQKJ2AAAAAsB&#10;AAAPAAAAAAAAAAEAIAAAACIAAABkcnMvZG93bnJldi54bWxQSwECFAAUAAAACACHTuJA7xh4H1QC&#10;AACQBAAADgAAAAAAAAABACAAAAAnAQAAZHJzL2Uyb0RvYy54bWxQSwUGAAAAAAYABgBZAQAA7QUA&#10;AAAA&#10;">
                <v:fill on="f" focussize="0,0"/>
                <v:stroke on="f" weight="0.5pt"/>
                <v:imagedata o:title=""/>
                <o:lock v:ext="edit" aspectratio="f"/>
                <v:textbox style="mso-fit-shape-to-text:t;">
                  <w:txbxContent>
                    <w:p w14:paraId="73AF5D97">
                      <w:pPr>
                        <w:keepNext w:val="0"/>
                        <w:keepLines w:val="0"/>
                        <w:pageBreakBefore w:val="0"/>
                        <w:widowControl w:val="0"/>
                        <w:kinsoku/>
                        <w:wordWrap/>
                        <w:overflowPunct/>
                        <w:topLinePunct w:val="0"/>
                        <w:bidi w:val="0"/>
                        <w:adjustRightInd/>
                        <w:snapToGrid/>
                        <w:spacing w:line="240" w:lineRule="auto"/>
                        <w:textAlignment w:val="auto"/>
                        <w:rPr>
                          <w:rFonts w:ascii="Times New Roman" w:hAnsi="Times New Roman" w:eastAsia="宋体" w:cs="Times New Roman"/>
                          <w:b w:val="0"/>
                          <w:bCs w:val="0"/>
                          <w:sz w:val="21"/>
                          <w:szCs w:val="21"/>
                          <w:highlight w:val="lightGray"/>
                        </w:rPr>
                      </w:pPr>
                      <w:r>
                        <w:rPr>
                          <w:rFonts w:hint="eastAsia" w:ascii="Times New Roman" w:hAnsi="Times New Roman" w:eastAsia="宋体" w:cs="Times New Roman"/>
                          <w:b w:val="0"/>
                          <w:bCs w:val="0"/>
                          <w:sz w:val="21"/>
                          <w:szCs w:val="21"/>
                          <w:highlight w:val="lightGray"/>
                        </w:rPr>
                        <w:t>韶关博</w:t>
                      </w:r>
                      <w:r>
                        <w:rPr>
                          <w:rFonts w:hint="eastAsia" w:ascii="Times New Roman" w:hAnsi="Times New Roman" w:eastAsia="宋体" w:cs="Times New Roman"/>
                          <w:b w:val="0"/>
                          <w:bCs w:val="0"/>
                          <w:sz w:val="21"/>
                          <w:szCs w:val="21"/>
                          <w:highlight w:val="lightGray"/>
                          <w:lang w:val="en-US" w:eastAsia="zh-CN"/>
                        </w:rPr>
                        <w:t>鑫</w:t>
                      </w:r>
                      <w:r>
                        <w:rPr>
                          <w:rFonts w:hint="eastAsia" w:ascii="Times New Roman" w:hAnsi="Times New Roman" w:eastAsia="宋体" w:cs="Times New Roman"/>
                          <w:b w:val="0"/>
                          <w:bCs w:val="0"/>
                          <w:sz w:val="21"/>
                          <w:szCs w:val="21"/>
                          <w:highlight w:val="lightGray"/>
                        </w:rPr>
                        <w:t>工程服务有限公司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1728" behindDoc="0" locked="0" layoutInCell="1" allowOverlap="1">
                <wp:simplePos x="0" y="0"/>
                <wp:positionH relativeFrom="column">
                  <wp:posOffset>4215130</wp:posOffset>
                </wp:positionH>
                <wp:positionV relativeFrom="paragraph">
                  <wp:posOffset>5146675</wp:posOffset>
                </wp:positionV>
                <wp:extent cx="746760" cy="498475"/>
                <wp:effectExtent l="6350" t="6350" r="8890" b="9525"/>
                <wp:wrapNone/>
                <wp:docPr id="240" name="任意多边形 240"/>
                <wp:cNvGraphicFramePr/>
                <a:graphic xmlns:a="http://schemas.openxmlformats.org/drawingml/2006/main">
                  <a:graphicData uri="http://schemas.microsoft.com/office/word/2010/wordprocessingShape">
                    <wps:wsp>
                      <wps:cNvSpPr/>
                      <wps:spPr>
                        <a:xfrm>
                          <a:off x="5114925" y="6046470"/>
                          <a:ext cx="746760" cy="498475"/>
                        </a:xfrm>
                        <a:custGeom>
                          <a:avLst/>
                          <a:gdLst>
                            <a:gd name="connisteX0" fmla="*/ 0 w 746760"/>
                            <a:gd name="connsiteY0" fmla="*/ 0 h 498475"/>
                            <a:gd name="connisteX1" fmla="*/ 746760 w 746760"/>
                            <a:gd name="connsiteY1" fmla="*/ 0 h 498475"/>
                            <a:gd name="connisteX2" fmla="*/ 738505 w 746760"/>
                            <a:gd name="connsiteY2" fmla="*/ 438150 h 498475"/>
                            <a:gd name="connisteX3" fmla="*/ 0 w 746760"/>
                            <a:gd name="connsiteY3" fmla="*/ 498475 h 498475"/>
                            <a:gd name="connisteX4" fmla="*/ 0 w 746760"/>
                            <a:gd name="connsiteY4" fmla="*/ 0 h 49847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746760" h="498475">
                              <a:moveTo>
                                <a:pt x="0" y="0"/>
                              </a:moveTo>
                              <a:lnTo>
                                <a:pt x="746760" y="0"/>
                              </a:lnTo>
                              <a:lnTo>
                                <a:pt x="738505" y="438150"/>
                              </a:lnTo>
                              <a:lnTo>
                                <a:pt x="0" y="498475"/>
                              </a:lnTo>
                              <a:lnTo>
                                <a:pt x="0" y="0"/>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331.9pt;margin-top:405.25pt;height:39.25pt;width:58.8pt;z-index:251721728;mso-width-relative:page;mso-height-relative:page;" filled="f" stroked="t" coordsize="746760,498475" o:gfxdata="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ofkqSNkAAAALAQAADwAAAAAAAAABACAAAAAiAAAAZHJzL2Rvd25yZXYueG1sUEsBAhQAFAAAAAgA&#10;h07iQN1KyRdBAwAAhwgAAA4AAAAAAAAAAQAgAAAAKAEAAGRycy9lMm9Eb2MueG1sUEsFBgAAAAAG&#10;AAYAWQEAANsGAAAAAA==&#10;" path="m0,0l746760,0,738505,438150,0,498475,0,0xe">
                <v:path o:connectlocs="0,0;746760,0;738505,438150;0,498475;0,0"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5584" behindDoc="0" locked="0" layoutInCell="1" allowOverlap="1">
                <wp:simplePos x="0" y="0"/>
                <wp:positionH relativeFrom="column">
                  <wp:posOffset>3211195</wp:posOffset>
                </wp:positionH>
                <wp:positionV relativeFrom="paragraph">
                  <wp:posOffset>4412615</wp:posOffset>
                </wp:positionV>
                <wp:extent cx="961390" cy="1355725"/>
                <wp:effectExtent l="6350" t="6985" r="22860" b="8890"/>
                <wp:wrapNone/>
                <wp:docPr id="214" name="任意多边形 214"/>
                <wp:cNvGraphicFramePr/>
                <a:graphic xmlns:a="http://schemas.openxmlformats.org/drawingml/2006/main">
                  <a:graphicData uri="http://schemas.microsoft.com/office/word/2010/wordprocessingShape">
                    <wps:wsp>
                      <wps:cNvSpPr/>
                      <wps:spPr>
                        <a:xfrm>
                          <a:off x="4110990" y="5312410"/>
                          <a:ext cx="961390" cy="1355725"/>
                        </a:xfrm>
                        <a:custGeom>
                          <a:avLst/>
                          <a:gdLst>
                            <a:gd name="connisteX0" fmla="*/ 17145 w 961390"/>
                            <a:gd name="connsiteY0" fmla="*/ 111125 h 1355725"/>
                            <a:gd name="connisteX1" fmla="*/ 961390 w 961390"/>
                            <a:gd name="connsiteY1" fmla="*/ 0 h 1355725"/>
                            <a:gd name="connisteX2" fmla="*/ 935355 w 961390"/>
                            <a:gd name="connsiteY2" fmla="*/ 1235710 h 1355725"/>
                            <a:gd name="connisteX3" fmla="*/ 0 w 961390"/>
                            <a:gd name="connsiteY3" fmla="*/ 1355725 h 1355725"/>
                            <a:gd name="connisteX4" fmla="*/ 17145 w 961390"/>
                            <a:gd name="connsiteY4" fmla="*/ 111125 h 135572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961390" h="1355725">
                              <a:moveTo>
                                <a:pt x="17145" y="111125"/>
                              </a:moveTo>
                              <a:lnTo>
                                <a:pt x="961390" y="0"/>
                              </a:lnTo>
                              <a:lnTo>
                                <a:pt x="935355" y="1235710"/>
                              </a:lnTo>
                              <a:lnTo>
                                <a:pt x="0" y="1355725"/>
                              </a:lnTo>
                              <a:lnTo>
                                <a:pt x="17145" y="11112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252.85pt;margin-top:347.45pt;height:106.75pt;width:75.7pt;z-index:251715584;mso-width-relative:page;mso-height-relative:page;" filled="f" stroked="t" coordsize="961390,1355725" o:gfxdata="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BxSrCPYAAAACwEAAA8AAAAAAAAAAQAgAAAAIgAAAGRycy9kb3ducmV2Lnht&#10;bFBLAQIUABQAAAAIAIdO4kAiZsQaTwMAALYIAAAOAAAAAAAAAAEAIAAAACcBAABkcnMvZTJvRG9j&#10;LnhtbFBLBQYAAAAABgAGAFkBAADoBgAAAAA=&#10;" path="m17145,111125l961390,0,935355,1235710,0,1355725,17145,111125xe">
                <v:path o:connectlocs="17145,111125;961390,0;935355,1235710;0,1355725;17145,111125"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4560" behindDoc="0" locked="0" layoutInCell="1" allowOverlap="1">
                <wp:simplePos x="0" y="0"/>
                <wp:positionH relativeFrom="column">
                  <wp:posOffset>3270250</wp:posOffset>
                </wp:positionH>
                <wp:positionV relativeFrom="paragraph">
                  <wp:posOffset>2486025</wp:posOffset>
                </wp:positionV>
                <wp:extent cx="1913255" cy="1882140"/>
                <wp:effectExtent l="6350" t="7620" r="23495" b="15240"/>
                <wp:wrapNone/>
                <wp:docPr id="208" name="任意多边形 208"/>
                <wp:cNvGraphicFramePr/>
                <a:graphic xmlns:a="http://schemas.openxmlformats.org/drawingml/2006/main">
                  <a:graphicData uri="http://schemas.microsoft.com/office/word/2010/wordprocessingShape">
                    <wps:wsp>
                      <wps:cNvSpPr/>
                      <wps:spPr>
                        <a:xfrm>
                          <a:off x="4170045" y="3385820"/>
                          <a:ext cx="1913255" cy="1882140"/>
                        </a:xfrm>
                        <a:custGeom>
                          <a:avLst/>
                          <a:gdLst>
                            <a:gd name="connisteX0" fmla="*/ 0 w 1913255"/>
                            <a:gd name="connsiteY0" fmla="*/ 0 h 1882140"/>
                            <a:gd name="connisteX1" fmla="*/ 1913255 w 1913255"/>
                            <a:gd name="connsiteY1" fmla="*/ 331470 h 1882140"/>
                            <a:gd name="connisteX2" fmla="*/ 1677035 w 1913255"/>
                            <a:gd name="connsiteY2" fmla="*/ 1574800 h 1882140"/>
                            <a:gd name="connisteX3" fmla="*/ 0 w 1913255"/>
                            <a:gd name="connsiteY3" fmla="*/ 1882140 h 1882140"/>
                            <a:gd name="connisteX4" fmla="*/ 0 w 1913255"/>
                            <a:gd name="connsiteY4" fmla="*/ 0 h 188214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913255" h="1882140">
                              <a:moveTo>
                                <a:pt x="0" y="0"/>
                              </a:moveTo>
                              <a:lnTo>
                                <a:pt x="1913255" y="331470"/>
                              </a:lnTo>
                              <a:lnTo>
                                <a:pt x="1677035" y="1574800"/>
                              </a:lnTo>
                              <a:lnTo>
                                <a:pt x="0" y="1882140"/>
                              </a:lnTo>
                              <a:lnTo>
                                <a:pt x="0" y="0"/>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257.5pt;margin-top:195.75pt;height:148.2pt;width:150.65pt;z-index:251714560;mso-width-relative:page;mso-height-relative:page;" filled="f" stroked="t" coordsize="1913255,1882140" o:gfxdata="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" path="m0,0l1913255,331470,1677035,1574800,0,1882140,0,0xe">
                <v:path o:connectlocs="0,0;1913255,331470;1677035,1574800;0,1882140;0,0"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w:drawing>
          <wp:inline distT="0" distB="0" distL="114300" distR="114300">
            <wp:extent cx="6000750" cy="6515100"/>
            <wp:effectExtent l="12700" t="12700" r="25400" b="25400"/>
            <wp:docPr id="10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77"/>
                    <pic:cNvPicPr>
                      <a:picLocks noChangeAspect="1"/>
                    </pic:cNvPicPr>
                  </pic:nvPicPr>
                  <pic:blipFill>
                    <a:blip r:embed="rId61"/>
                    <a:stretch>
                      <a:fillRect/>
                    </a:stretch>
                  </pic:blipFill>
                  <pic:spPr>
                    <a:xfrm>
                      <a:off x="0" y="0"/>
                      <a:ext cx="6000750" cy="6515100"/>
                    </a:xfrm>
                    <a:prstGeom prst="rect">
                      <a:avLst/>
                    </a:prstGeom>
                    <a:noFill/>
                    <a:ln w="12700" cap="flat" cmpd="sng">
                      <a:solidFill>
                        <a:srgbClr val="000000"/>
                      </a:solidFill>
                      <a:prstDash val="solid"/>
                      <a:round/>
                      <a:headEnd type="none" w="med" len="med"/>
                      <a:tailEnd type="none" w="med" len="med"/>
                    </a:ln>
                  </pic:spPr>
                </pic:pic>
              </a:graphicData>
            </a:graphic>
          </wp:inline>
        </w:drawing>
      </w:r>
    </w:p>
    <w:p w14:paraId="1BC40F1F">
      <w:pPr>
        <w:spacing w:after="0" w:line="240" w:lineRule="auto"/>
        <w:jc w:val="center"/>
        <w:outlineLvl w:val="0"/>
        <w:rPr>
          <w:color w:val="auto"/>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59" w:name="_Toc17747"/>
      <w:r>
        <w:rPr>
          <w:rFonts w:hint="default" w:ascii="Times New Roman" w:hAnsi="Times New Roman" w:eastAsia="宋体" w:cs="Times New Roman"/>
          <w:b/>
          <w:color w:val="auto"/>
          <w:kern w:val="0"/>
          <w:sz w:val="24"/>
          <w:szCs w:val="20"/>
          <w:highlight w:val="none"/>
          <w:lang w:val="en-US" w:eastAsia="zh-CN" w:bidi="ar-SA"/>
        </w:rPr>
        <w:t>附图2 项目卫星四至及实景图</w:t>
      </w:r>
      <w:bookmarkEnd w:id="59"/>
    </w:p>
    <w:tbl>
      <w:tblPr>
        <w:tblStyle w:val="4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1"/>
        <w:gridCol w:w="6841"/>
      </w:tblGrid>
      <w:tr w14:paraId="775E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0" w:hRule="atLeast"/>
          <w:jc w:val="center"/>
        </w:trPr>
        <w:tc>
          <w:tcPr>
            <w:tcW w:w="2573" w:type="pct"/>
            <w:noWrap w:val="0"/>
            <w:vAlign w:val="center"/>
          </w:tcPr>
          <w:p w14:paraId="61CA029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bookmarkStart w:id="60" w:name="_Toc30211"/>
            <w:bookmarkStart w:id="61" w:name="_Toc25378"/>
            <w:bookmarkStart w:id="62" w:name="_Toc3905"/>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3943985" cy="2567305"/>
                  <wp:effectExtent l="0" t="0" r="18415" b="4445"/>
                  <wp:docPr id="108" name="图片 570" descr="9ce7d48652ceff3ffb645e5d65948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570" descr="9ce7d48652ceff3ffb645e5d65948a78"/>
                          <pic:cNvPicPr>
                            <a:picLocks noChangeAspect="1"/>
                          </pic:cNvPicPr>
                        </pic:nvPicPr>
                        <pic:blipFill>
                          <a:blip r:embed="rId62"/>
                          <a:stretch>
                            <a:fillRect/>
                          </a:stretch>
                        </pic:blipFill>
                        <pic:spPr>
                          <a:xfrm>
                            <a:off x="0" y="0"/>
                            <a:ext cx="3943985" cy="2567305"/>
                          </a:xfrm>
                          <a:prstGeom prst="rect">
                            <a:avLst/>
                          </a:prstGeom>
                          <a:noFill/>
                          <a:ln>
                            <a:noFill/>
                          </a:ln>
                        </pic:spPr>
                      </pic:pic>
                    </a:graphicData>
                  </a:graphic>
                </wp:inline>
              </w:drawing>
            </w:r>
          </w:p>
        </w:tc>
        <w:tc>
          <w:tcPr>
            <w:tcW w:w="2426" w:type="pct"/>
            <w:noWrap w:val="0"/>
            <w:vAlign w:val="center"/>
          </w:tcPr>
          <w:p w14:paraId="3534DA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218940" cy="2463800"/>
                  <wp:effectExtent l="0" t="0" r="10160" b="12700"/>
                  <wp:docPr id="109" name="图片 574" descr="2bca4e7733fd6a417c7150c5bf4b20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574" descr="2bca4e7733fd6a417c7150c5bf4b203a"/>
                          <pic:cNvPicPr>
                            <a:picLocks noChangeAspect="1"/>
                          </pic:cNvPicPr>
                        </pic:nvPicPr>
                        <pic:blipFill>
                          <a:blip r:embed="rId63"/>
                          <a:srcRect t="28311" b="17552"/>
                          <a:stretch>
                            <a:fillRect/>
                          </a:stretch>
                        </pic:blipFill>
                        <pic:spPr>
                          <a:xfrm>
                            <a:off x="0" y="0"/>
                            <a:ext cx="4218940" cy="2463800"/>
                          </a:xfrm>
                          <a:prstGeom prst="rect">
                            <a:avLst/>
                          </a:prstGeom>
                          <a:noFill/>
                          <a:ln>
                            <a:noFill/>
                          </a:ln>
                        </pic:spPr>
                      </pic:pic>
                    </a:graphicData>
                  </a:graphic>
                </wp:inline>
              </w:drawing>
            </w:r>
          </w:p>
        </w:tc>
      </w:tr>
      <w:tr w14:paraId="116C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573" w:type="pct"/>
            <w:noWrap w:val="0"/>
            <w:vAlign w:val="center"/>
          </w:tcPr>
          <w:p w14:paraId="52E484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项目东面-平整空地</w:t>
            </w:r>
          </w:p>
        </w:tc>
        <w:tc>
          <w:tcPr>
            <w:tcW w:w="2426" w:type="pct"/>
            <w:noWrap w:val="0"/>
            <w:vAlign w:val="center"/>
          </w:tcPr>
          <w:p w14:paraId="6829F24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w:t>
            </w:r>
            <w:r>
              <w:rPr>
                <w:rFonts w:hint="eastAsia" w:ascii="Times New Roman" w:hAnsi="Times New Roman" w:eastAsia="宋体....." w:cs="Times New Roman"/>
                <w:b/>
                <w:bCs/>
                <w:color w:val="auto"/>
                <w:kern w:val="2"/>
                <w:sz w:val="21"/>
                <w:szCs w:val="21"/>
                <w:highlight w:val="none"/>
                <w:lang w:val="en-US" w:eastAsia="zh-CN" w:bidi="ar-SA"/>
              </w:rPr>
              <w:t>南</w:t>
            </w:r>
            <w:r>
              <w:rPr>
                <w:rFonts w:hint="eastAsia" w:ascii="Times New Roman" w:hAnsi="Times New Roman" w:eastAsia="宋体" w:cs="Times New Roman"/>
                <w:b/>
                <w:bCs/>
                <w:color w:val="auto"/>
                <w:kern w:val="2"/>
                <w:sz w:val="21"/>
                <w:szCs w:val="21"/>
                <w:highlight w:val="none"/>
                <w:lang w:val="en-US" w:eastAsia="zh-CN" w:bidi="ar-SA"/>
              </w:rPr>
              <w:t>面</w:t>
            </w:r>
            <w:r>
              <w:rPr>
                <w:rFonts w:hint="eastAsia" w:ascii="Times New Roman" w:hAnsi="Times New Roman" w:eastAsia="宋体....." w:cs="Times New Roman"/>
                <w:b/>
                <w:bCs/>
                <w:color w:val="auto"/>
                <w:kern w:val="2"/>
                <w:sz w:val="21"/>
                <w:szCs w:val="21"/>
                <w:highlight w:val="none"/>
                <w:lang w:val="en-US" w:eastAsia="zh-CN" w:bidi="ar-SA"/>
              </w:rPr>
              <w:t>-平整空地</w:t>
            </w:r>
          </w:p>
        </w:tc>
      </w:tr>
      <w:tr w14:paraId="2FE6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2573" w:type="pct"/>
            <w:noWrap w:val="0"/>
            <w:vAlign w:val="center"/>
          </w:tcPr>
          <w:p w14:paraId="3638801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206240" cy="2366010"/>
                  <wp:effectExtent l="0" t="0" r="3810" b="15240"/>
                  <wp:docPr id="110" name="图片 572" descr="f13ab5e261df47048984cbb8a9341c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572" descr="f13ab5e261df47048984cbb8a9341c00"/>
                          <pic:cNvPicPr>
                            <a:picLocks noChangeAspect="1"/>
                          </pic:cNvPicPr>
                        </pic:nvPicPr>
                        <pic:blipFill>
                          <a:blip r:embed="rId64"/>
                          <a:stretch>
                            <a:fillRect/>
                          </a:stretch>
                        </pic:blipFill>
                        <pic:spPr>
                          <a:xfrm>
                            <a:off x="0" y="0"/>
                            <a:ext cx="4206240" cy="2366010"/>
                          </a:xfrm>
                          <a:prstGeom prst="rect">
                            <a:avLst/>
                          </a:prstGeom>
                          <a:noFill/>
                          <a:ln>
                            <a:noFill/>
                          </a:ln>
                        </pic:spPr>
                      </pic:pic>
                    </a:graphicData>
                  </a:graphic>
                </wp:inline>
              </w:drawing>
            </w:r>
          </w:p>
        </w:tc>
        <w:tc>
          <w:tcPr>
            <w:tcW w:w="2426" w:type="pct"/>
            <w:noWrap w:val="0"/>
            <w:vAlign w:val="center"/>
          </w:tcPr>
          <w:p w14:paraId="593B8C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169410" cy="2345690"/>
                  <wp:effectExtent l="0" t="0" r="2540" b="16510"/>
                  <wp:docPr id="111" name="图片 573" descr="291db2fb075068544c979d838cbe60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73" descr="291db2fb075068544c979d838cbe609c"/>
                          <pic:cNvPicPr>
                            <a:picLocks noChangeAspect="1"/>
                          </pic:cNvPicPr>
                        </pic:nvPicPr>
                        <pic:blipFill>
                          <a:blip r:embed="rId65"/>
                          <a:stretch>
                            <a:fillRect/>
                          </a:stretch>
                        </pic:blipFill>
                        <pic:spPr>
                          <a:xfrm>
                            <a:off x="0" y="0"/>
                            <a:ext cx="4169410" cy="2345690"/>
                          </a:xfrm>
                          <a:prstGeom prst="rect">
                            <a:avLst/>
                          </a:prstGeom>
                          <a:noFill/>
                          <a:ln>
                            <a:noFill/>
                          </a:ln>
                        </pic:spPr>
                      </pic:pic>
                    </a:graphicData>
                  </a:graphic>
                </wp:inline>
              </w:drawing>
            </w:r>
          </w:p>
        </w:tc>
      </w:tr>
      <w:tr w14:paraId="71D0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573" w:type="pct"/>
            <w:noWrap w:val="0"/>
            <w:vAlign w:val="center"/>
          </w:tcPr>
          <w:p w14:paraId="0306A8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项目西面-平整空地</w:t>
            </w:r>
          </w:p>
        </w:tc>
        <w:tc>
          <w:tcPr>
            <w:tcW w:w="2426" w:type="pct"/>
            <w:noWrap w:val="0"/>
            <w:vAlign w:val="center"/>
          </w:tcPr>
          <w:p w14:paraId="610F608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项目北面-平整空地</w:t>
            </w:r>
          </w:p>
        </w:tc>
      </w:tr>
    </w:tbl>
    <w:p w14:paraId="37274632">
      <w:pPr>
        <w:keepNext w:val="0"/>
        <w:keepLines w:val="0"/>
        <w:pageBreakBefore w:val="0"/>
        <w:widowControl w:val="0"/>
        <w:kinsoku w:val="0"/>
        <w:wordWrap/>
        <w:overflowPunct w:val="0"/>
        <w:topLinePunct w:val="0"/>
        <w:autoSpaceDE/>
        <w:autoSpaceDN/>
        <w:bidi w:val="0"/>
        <w:adjustRightInd w:val="0"/>
        <w:snapToGrid w:val="0"/>
        <w:spacing w:line="120" w:lineRule="exact"/>
        <w:ind w:firstLine="422" w:firstLineChars="200"/>
        <w:jc w:val="center"/>
        <w:textAlignment w:val="auto"/>
        <w:outlineLvl w:val="9"/>
        <w:rPr>
          <w:b/>
          <w:bCs/>
          <w:color w:val="auto"/>
          <w:sz w:val="21"/>
          <w:szCs w:val="21"/>
          <w:highlight w:val="none"/>
        </w:rPr>
      </w:pPr>
      <w:bookmarkStart w:id="63" w:name="_Toc24195"/>
      <w:bookmarkStart w:id="64" w:name="_Toc20038"/>
      <w:bookmarkStart w:id="65" w:name="_Toc28856"/>
      <w:bookmarkStart w:id="66" w:name="_Toc30362"/>
    </w:p>
    <w:p w14:paraId="729DE53B">
      <w:pPr>
        <w:kinsoku w:val="0"/>
        <w:overflowPunct w:val="0"/>
        <w:adjustRightInd w:val="0"/>
        <w:snapToGrid w:val="0"/>
        <w:spacing w:line="360" w:lineRule="auto"/>
        <w:ind w:firstLine="422" w:firstLineChars="200"/>
        <w:jc w:val="center"/>
        <w:outlineLvl w:val="0"/>
        <w:rPr>
          <w:b/>
          <w:bCs/>
          <w:color w:val="auto"/>
          <w:sz w:val="21"/>
          <w:szCs w:val="21"/>
          <w:highlight w:val="none"/>
        </w:rPr>
      </w:pPr>
      <w:bookmarkStart w:id="67" w:name="_Toc31743"/>
      <w:bookmarkStart w:id="68" w:name="_Toc28683"/>
      <w:bookmarkStart w:id="69" w:name="_Toc2303"/>
      <w:r>
        <w:rPr>
          <w:b/>
          <w:bCs/>
          <w:color w:val="auto"/>
          <w:sz w:val="21"/>
          <w:szCs w:val="21"/>
          <w:highlight w:val="none"/>
        </w:rPr>
        <w:t>附图</w:t>
      </w:r>
      <w:r>
        <w:rPr>
          <w:rFonts w:hint="eastAsia" w:ascii="Times New Roman" w:eastAsia="宋体"/>
          <w:b/>
          <w:bCs/>
          <w:color w:val="auto"/>
          <w:sz w:val="21"/>
          <w:szCs w:val="21"/>
          <w:highlight w:val="none"/>
          <w:lang w:val="en-US" w:eastAsia="zh-CN"/>
        </w:rPr>
        <w:t>3</w:t>
      </w:r>
      <w:r>
        <w:rPr>
          <w:b/>
          <w:bCs/>
          <w:color w:val="auto"/>
          <w:sz w:val="21"/>
          <w:szCs w:val="21"/>
          <w:highlight w:val="none"/>
        </w:rPr>
        <w:t xml:space="preserve"> </w:t>
      </w:r>
      <w:r>
        <w:rPr>
          <w:rFonts w:hint="eastAsia" w:ascii="Times New Roman" w:eastAsia="宋体"/>
          <w:b/>
          <w:bCs/>
          <w:color w:val="auto"/>
          <w:sz w:val="21"/>
          <w:szCs w:val="21"/>
          <w:highlight w:val="none"/>
          <w:lang w:val="en-US" w:eastAsia="zh-CN"/>
        </w:rPr>
        <w:t>项目</w:t>
      </w:r>
      <w:r>
        <w:rPr>
          <w:b/>
          <w:bCs/>
          <w:color w:val="auto"/>
          <w:sz w:val="21"/>
          <w:szCs w:val="21"/>
          <w:highlight w:val="none"/>
        </w:rPr>
        <w:t>周边现状</w:t>
      </w:r>
      <w:r>
        <w:rPr>
          <w:rFonts w:hint="eastAsia"/>
          <w:b/>
          <w:bCs/>
          <w:color w:val="auto"/>
          <w:sz w:val="21"/>
          <w:szCs w:val="21"/>
          <w:highlight w:val="none"/>
        </w:rPr>
        <w:t>图</w:t>
      </w:r>
      <w:bookmarkEnd w:id="63"/>
      <w:bookmarkEnd w:id="64"/>
      <w:bookmarkEnd w:id="65"/>
      <w:bookmarkEnd w:id="66"/>
      <w:bookmarkEnd w:id="67"/>
      <w:bookmarkEnd w:id="68"/>
      <w:bookmarkEnd w:id="69"/>
    </w:p>
    <w:p w14:paraId="5796AC16">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p>
    <w:p w14:paraId="7F789645">
      <w:pPr>
        <w:jc w:val="center"/>
        <w:outlineLvl w:val="9"/>
        <w:rPr>
          <w:color w:val="auto"/>
          <w:highlight w:val="none"/>
        </w:rPr>
      </w:pPr>
      <w:bookmarkStart w:id="70" w:name="_Toc25813"/>
      <w:r>
        <w:rPr>
          <w:sz w:val="18"/>
        </w:rPr>
        <mc:AlternateContent>
          <mc:Choice Requires="wps">
            <w:drawing>
              <wp:anchor distT="0" distB="0" distL="114300" distR="114300" simplePos="0" relativeHeight="251687936" behindDoc="0" locked="0" layoutInCell="1" allowOverlap="1">
                <wp:simplePos x="0" y="0"/>
                <wp:positionH relativeFrom="column">
                  <wp:posOffset>4048760</wp:posOffset>
                </wp:positionH>
                <wp:positionV relativeFrom="paragraph">
                  <wp:posOffset>3050540</wp:posOffset>
                </wp:positionV>
                <wp:extent cx="114300" cy="121920"/>
                <wp:effectExtent l="4445" t="4445" r="14605" b="6985"/>
                <wp:wrapNone/>
                <wp:docPr id="31" name="椭圆 1879"/>
                <wp:cNvGraphicFramePr/>
                <a:graphic xmlns:a="http://schemas.openxmlformats.org/drawingml/2006/main">
                  <a:graphicData uri="http://schemas.microsoft.com/office/word/2010/wordprocessingShape">
                    <wps:wsp>
                      <wps:cNvSpPr/>
                      <wps:spPr>
                        <a:xfrm>
                          <a:off x="5128895" y="3842385"/>
                          <a:ext cx="114300" cy="121920"/>
                        </a:xfrm>
                        <a:prstGeom prst="ellipse">
                          <a:avLst/>
                        </a:prstGeom>
                        <a:solidFill>
                          <a:srgbClr val="00B0F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1879" o:spid="_x0000_s1026" o:spt="3" type="#_x0000_t3" style="position:absolute;left:0pt;margin-left:318.8pt;margin-top:240.2pt;height:9.6pt;width:9pt;z-index:251687936;mso-width-relative:page;mso-height-relative:page;" fillcolor="#00B0F0" filled="t" stroked="t" coordsize="21600,21600" o:gfxdata="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qotTLcAAAACwEAAA8AAAAAAAAAAQAgAAAAIgAAAGRycy9kb3ducmV2LnhtbFBL&#10;AQIUABQAAAAIAIdO4kAmQ7J0KwIAAFkEAAAOAAAAAAAAAAEAIAAAACsBAABkcnMvZTJvRG9jLnht&#10;bFBLBQYAAAAABgAGAFkBAADIBQ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72928" behindDoc="0" locked="0" layoutInCell="1" allowOverlap="1">
                <wp:simplePos x="0" y="0"/>
                <wp:positionH relativeFrom="column">
                  <wp:posOffset>1189990</wp:posOffset>
                </wp:positionH>
                <wp:positionV relativeFrom="paragraph">
                  <wp:posOffset>2759075</wp:posOffset>
                </wp:positionV>
                <wp:extent cx="710565" cy="353060"/>
                <wp:effectExtent l="0" t="0" r="0" b="0"/>
                <wp:wrapNone/>
                <wp:docPr id="276" name="文本框 4"/>
                <wp:cNvGraphicFramePr/>
                <a:graphic xmlns:a="http://schemas.openxmlformats.org/drawingml/2006/main">
                  <a:graphicData uri="http://schemas.microsoft.com/office/word/2010/wordprocessingShape">
                    <wps:wsp>
                      <wps:cNvSpPr txBox="1"/>
                      <wps:spPr>
                        <a:xfrm>
                          <a:off x="0" y="0"/>
                          <a:ext cx="710565" cy="353060"/>
                        </a:xfrm>
                        <a:prstGeom prst="rect">
                          <a:avLst/>
                        </a:prstGeom>
                        <a:noFill/>
                        <a:ln>
                          <a:noFill/>
                        </a:ln>
                      </wps:spPr>
                      <wps:txbx>
                        <w:txbxContent>
                          <w:p w14:paraId="3A3C4EE0">
                            <w:pPr>
                              <w:rPr>
                                <w:rFonts w:hint="default" w:eastAsia="宋体"/>
                                <w:b/>
                                <w:bCs/>
                                <w:highlight w:val="yellow"/>
                                <w:lang w:val="en-US" w:eastAsia="zh-CN"/>
                              </w:rPr>
                            </w:pPr>
                            <w:r>
                              <w:rPr>
                                <w:rFonts w:hint="eastAsia" w:ascii="Times New Roman" w:eastAsia="宋体"/>
                                <w:b/>
                                <w:bCs/>
                                <w:highlight w:val="yellow"/>
                                <w:lang w:val="en-US" w:eastAsia="zh-CN"/>
                              </w:rPr>
                              <w:t>YS001</w:t>
                            </w:r>
                          </w:p>
                        </w:txbxContent>
                      </wps:txbx>
                      <wps:bodyPr vert="horz" wrap="square" anchor="t" anchorCtr="0" upright="1"/>
                    </wps:wsp>
                  </a:graphicData>
                </a:graphic>
              </wp:anchor>
            </w:drawing>
          </mc:Choice>
          <mc:Fallback>
            <w:pict>
              <v:shape id="文本框 4" o:spid="_x0000_s1026" o:spt="202" type="#_x0000_t202" style="position:absolute;left:0pt;margin-left:93.7pt;margin-top:217.25pt;height:27.8pt;width:55.95pt;z-index:251772928;mso-width-relative:page;mso-height-relative:page;" filled="f" stroked="f" coordsize="21600,21600" o:gfxdata="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GgPY+2AAAAAsBAAAPAAAAAAAAAAEAIAAAACIAAABk&#10;cnMvZG93bnJldi54bWxQSwECFAAUAAAACACHTuJAoEw8cs0BAACCAwAADgAAAAAAAAABACAAAAAn&#10;AQAAZHJzL2Uyb0RvYy54bWxQSwUGAAAAAAYABgBZAQAAZgUAAAAA&#10;">
                <v:fill on="f" focussize="0,0"/>
                <v:stroke on="f"/>
                <v:imagedata o:title=""/>
                <o:lock v:ext="edit" aspectratio="f"/>
                <v:textbox>
                  <w:txbxContent>
                    <w:p w14:paraId="3A3C4EE0">
                      <w:pPr>
                        <w:rPr>
                          <w:rFonts w:hint="default" w:eastAsia="宋体"/>
                          <w:b/>
                          <w:bCs/>
                          <w:highlight w:val="yellow"/>
                          <w:lang w:val="en-US" w:eastAsia="zh-CN"/>
                        </w:rPr>
                      </w:pPr>
                      <w:r>
                        <w:rPr>
                          <w:rFonts w:hint="eastAsia" w:ascii="Times New Roman" w:eastAsia="宋体"/>
                          <w:b/>
                          <w:bCs/>
                          <w:highlight w:val="yellow"/>
                          <w:lang w:val="en-US" w:eastAsia="zh-CN"/>
                        </w:rPr>
                        <w:t>YS001</w:t>
                      </w:r>
                    </w:p>
                  </w:txbxContent>
                </v:textbox>
              </v:shape>
            </w:pict>
          </mc:Fallback>
        </mc:AlternateContent>
      </w:r>
      <w:r>
        <w:rPr>
          <w:color w:val="auto"/>
          <w:sz w:val="18"/>
          <w:highlight w:val="none"/>
        </w:rPr>
        <mc:AlternateContent>
          <mc:Choice Requires="wps">
            <w:drawing>
              <wp:anchor distT="0" distB="0" distL="114300" distR="114300" simplePos="0" relativeHeight="251771904" behindDoc="0" locked="0" layoutInCell="1" allowOverlap="1">
                <wp:simplePos x="0" y="0"/>
                <wp:positionH relativeFrom="column">
                  <wp:posOffset>1751965</wp:posOffset>
                </wp:positionH>
                <wp:positionV relativeFrom="paragraph">
                  <wp:posOffset>2978150</wp:posOffset>
                </wp:positionV>
                <wp:extent cx="114300" cy="121920"/>
                <wp:effectExtent l="4445" t="4445" r="14605" b="6985"/>
                <wp:wrapNone/>
                <wp:docPr id="275" name="椭圆 2"/>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5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2" o:spid="_x0000_s1026" o:spt="3" type="#_x0000_t3" style="position:absolute;left:0pt;margin-left:137.95pt;margin-top:234.5pt;height:9.6pt;width:9pt;z-index:251771904;mso-width-relative:page;mso-height-relative:page;" fillcolor="#00B050" filled="t" stroked="t" coordsize="21600,21600" o:gfxdata="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I27KTZAAAA&#10;CwEAAA8AAAAAAAAAAQAgAAAAIgAAAGRycy9kb3ducmV2LnhtbFBLAQIUABQAAAAIAIdO4kC/DR1Z&#10;HAIAAEsEAAAOAAAAAAAAAAEAIAAAACgBAABkcnMvZTJvRG9jLnhtbFBLBQYAAAAABgAGAFkBAAC2&#10;BQAAAAA=&#10;">
                <v:fill on="t" focussize="0,0"/>
                <v:stroke color="#000000" joinstyle="round"/>
                <v:imagedata o:title=""/>
                <o:lock v:ext="edit" aspectratio="f"/>
              </v:shape>
            </w:pict>
          </mc:Fallback>
        </mc:AlternateContent>
      </w:r>
      <w:r>
        <w:rPr>
          <w:sz w:val="18"/>
        </w:rPr>
        <mc:AlternateContent>
          <mc:Choice Requires="wps">
            <w:drawing>
              <wp:anchor distT="0" distB="0" distL="114300" distR="114300" simplePos="0" relativeHeight="251770880" behindDoc="0" locked="0" layoutInCell="1" allowOverlap="1">
                <wp:simplePos x="0" y="0"/>
                <wp:positionH relativeFrom="column">
                  <wp:posOffset>1764030</wp:posOffset>
                </wp:positionH>
                <wp:positionV relativeFrom="paragraph">
                  <wp:posOffset>1757680</wp:posOffset>
                </wp:positionV>
                <wp:extent cx="925830" cy="2164080"/>
                <wp:effectExtent l="0" t="12700" r="7620" b="13970"/>
                <wp:wrapNone/>
                <wp:docPr id="274" name="任意多边形 274"/>
                <wp:cNvGraphicFramePr/>
                <a:graphic xmlns:a="http://schemas.openxmlformats.org/drawingml/2006/main">
                  <a:graphicData uri="http://schemas.microsoft.com/office/word/2010/wordprocessingShape">
                    <wps:wsp>
                      <wps:cNvSpPr/>
                      <wps:spPr>
                        <a:xfrm>
                          <a:off x="2895600" y="2549525"/>
                          <a:ext cx="925830" cy="2164080"/>
                        </a:xfrm>
                        <a:custGeom>
                          <a:avLst/>
                          <a:gdLst>
                            <a:gd name="connisteX0" fmla="*/ 0 w 519430"/>
                            <a:gd name="connsiteY0" fmla="*/ 0 h 2120900"/>
                            <a:gd name="connisteX1" fmla="*/ 95250 w 519430"/>
                            <a:gd name="connsiteY1" fmla="*/ 0 h 2120900"/>
                            <a:gd name="connisteX2" fmla="*/ 95250 w 519430"/>
                            <a:gd name="connsiteY2" fmla="*/ 2025650 h 2120900"/>
                            <a:gd name="connisteX3" fmla="*/ 519430 w 519430"/>
                            <a:gd name="connsiteY3" fmla="*/ 2120900 h 2120900"/>
                          </a:gdLst>
                          <a:ahLst/>
                          <a:cxnLst>
                            <a:cxn ang="0">
                              <a:pos x="connisteX0" y="connsiteY0"/>
                            </a:cxn>
                            <a:cxn ang="0">
                              <a:pos x="connisteX1" y="connsiteY1"/>
                            </a:cxn>
                            <a:cxn ang="0">
                              <a:pos x="connisteX2" y="connsiteY2"/>
                            </a:cxn>
                            <a:cxn ang="0">
                              <a:pos x="connisteX3" y="connsiteY3"/>
                            </a:cxn>
                          </a:cxnLst>
                          <a:rect l="l" t="t" r="r" b="b"/>
                          <a:pathLst>
                            <a:path w="519430" h="2120900">
                              <a:moveTo>
                                <a:pt x="0" y="0"/>
                              </a:moveTo>
                              <a:lnTo>
                                <a:pt x="95250" y="0"/>
                              </a:lnTo>
                              <a:lnTo>
                                <a:pt x="95250" y="2025650"/>
                              </a:lnTo>
                              <a:lnTo>
                                <a:pt x="519430" y="2120900"/>
                              </a:lnTo>
                            </a:path>
                          </a:pathLst>
                        </a:custGeom>
                        <a:noFill/>
                        <a:ln w="254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38.9pt;margin-top:138.4pt;height:170.4pt;width:72.9pt;z-index:251770880;mso-width-relative:page;mso-height-relative:page;" filled="f" stroked="t" coordsize="519430,2120900" o:gfxdata="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" path="m0,0l95250,0,95250,2025650,519430,2120900e">
                <v:path o:connectlocs="0,0;169773,0;169773,2066890;925830,2164080" o:connectangles="0,0,0,0"/>
                <v:fill on="f" focussize="0,0"/>
                <v:stroke weight="2pt" color="#1005F9 [2404]"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04320" behindDoc="0" locked="0" layoutInCell="1" allowOverlap="1">
                <wp:simplePos x="0" y="0"/>
                <wp:positionH relativeFrom="column">
                  <wp:posOffset>1989455</wp:posOffset>
                </wp:positionH>
                <wp:positionV relativeFrom="paragraph">
                  <wp:posOffset>616585</wp:posOffset>
                </wp:positionV>
                <wp:extent cx="886460" cy="338455"/>
                <wp:effectExtent l="4445" t="4445" r="23495" b="19050"/>
                <wp:wrapNone/>
                <wp:docPr id="51" name="文本框 1860"/>
                <wp:cNvGraphicFramePr/>
                <a:graphic xmlns:a="http://schemas.openxmlformats.org/drawingml/2006/main">
                  <a:graphicData uri="http://schemas.microsoft.com/office/word/2010/wordprocessingShape">
                    <wps:wsp>
                      <wps:cNvSpPr txBox="1"/>
                      <wps:spPr>
                        <a:xfrm>
                          <a:off x="0" y="0"/>
                          <a:ext cx="886460"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6F2A18">
                            <w:pPr>
                              <w:rPr>
                                <w:rFonts w:hint="default" w:eastAsia="宋体"/>
                                <w:b/>
                                <w:bCs/>
                                <w:highlight w:val="yellow"/>
                                <w:lang w:val="en-US" w:eastAsia="zh-CN"/>
                              </w:rPr>
                            </w:pPr>
                            <w:r>
                              <w:rPr>
                                <w:rFonts w:hint="eastAsia" w:ascii="Times New Roman" w:eastAsia="宋体"/>
                                <w:b/>
                                <w:bCs/>
                                <w:highlight w:val="yellow"/>
                                <w:lang w:val="en-US" w:eastAsia="zh-CN"/>
                              </w:rPr>
                              <w:t>事故应急池</w:t>
                            </w:r>
                          </w:p>
                        </w:txbxContent>
                      </wps:txbx>
                      <wps:bodyPr vert="horz" wrap="square" anchor="t" anchorCtr="0" upright="1"/>
                    </wps:wsp>
                  </a:graphicData>
                </a:graphic>
              </wp:anchor>
            </w:drawing>
          </mc:Choice>
          <mc:Fallback>
            <w:pict>
              <v:shape id="文本框 1860" o:spid="_x0000_s1026" o:spt="202" type="#_x0000_t202" style="position:absolute;left:0pt;margin-left:156.65pt;margin-top:48.55pt;height:26.65pt;width:69.8pt;z-index:251704320;mso-width-relative:page;mso-height-relative:page;" fillcolor="#FFFFFF" filled="t" stroked="t" coordsize="21600,21600" o:gfxdata="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d6d/Z2gAAAAoBAAAPAAAAAAAAAAEAIAAAACIAAABkcnMvZG93bnJldi54bWxQSwEC&#10;FAAUAAAACACHTuJAEDTrcSsCAABsBAAADgAAAAAAAAABACAAAAApAQAAZHJzL2Uyb0RvYy54bWxQ&#10;SwUGAAAAAAYABgBZAQAAxgUAAAAA&#10;">
                <v:fill on="t" focussize="0,0"/>
                <v:stroke color="#000000" joinstyle="miter"/>
                <v:imagedata o:title=""/>
                <o:lock v:ext="edit" aspectratio="f"/>
                <v:textbox>
                  <w:txbxContent>
                    <w:p w14:paraId="5A6F2A18">
                      <w:pPr>
                        <w:rPr>
                          <w:rFonts w:hint="default" w:eastAsia="宋体"/>
                          <w:b/>
                          <w:bCs/>
                          <w:highlight w:val="yellow"/>
                          <w:lang w:val="en-US" w:eastAsia="zh-CN"/>
                        </w:rPr>
                      </w:pPr>
                      <w:r>
                        <w:rPr>
                          <w:rFonts w:hint="eastAsia" w:ascii="Times New Roman" w:eastAsia="宋体"/>
                          <w:b/>
                          <w:bCs/>
                          <w:highlight w:val="yellow"/>
                          <w:lang w:val="en-US" w:eastAsia="zh-CN"/>
                        </w:rPr>
                        <w:t>事故应急池</w:t>
                      </w:r>
                    </w:p>
                  </w:txbxContent>
                </v:textbox>
              </v:shape>
            </w:pict>
          </mc:Fallback>
        </mc:AlternateContent>
      </w:r>
      <w:r>
        <w:rPr>
          <w:color w:val="auto"/>
          <w:highlight w:val="none"/>
        </w:rPr>
        <w:drawing>
          <wp:anchor distT="0" distB="0" distL="114300" distR="114300" simplePos="0" relativeHeight="251768832" behindDoc="0" locked="0" layoutInCell="1" allowOverlap="1">
            <wp:simplePos x="0" y="0"/>
            <wp:positionH relativeFrom="column">
              <wp:posOffset>523240</wp:posOffset>
            </wp:positionH>
            <wp:positionV relativeFrom="paragraph">
              <wp:posOffset>121920</wp:posOffset>
            </wp:positionV>
            <wp:extent cx="1076325" cy="1009015"/>
            <wp:effectExtent l="0" t="0" r="9525" b="635"/>
            <wp:wrapNone/>
            <wp:docPr id="272" name="图片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1886"/>
                    <pic:cNvPicPr>
                      <a:picLocks noChangeAspect="1"/>
                    </pic:cNvPicPr>
                  </pic:nvPicPr>
                  <pic:blipFill>
                    <a:blip r:embed="rId60"/>
                    <a:stretch>
                      <a:fillRect/>
                    </a:stretch>
                  </pic:blipFill>
                  <pic:spPr>
                    <a:xfrm>
                      <a:off x="0" y="0"/>
                      <a:ext cx="1076325" cy="1009015"/>
                    </a:xfrm>
                    <a:prstGeom prst="rect">
                      <a:avLst/>
                    </a:prstGeom>
                    <a:noFill/>
                    <a:ln>
                      <a:noFill/>
                    </a:ln>
                  </pic:spPr>
                </pic:pic>
              </a:graphicData>
            </a:graphic>
          </wp:anchor>
        </w:drawing>
      </w:r>
      <w:r>
        <w:rPr>
          <w:sz w:val="18"/>
        </w:rPr>
        <mc:AlternateContent>
          <mc:Choice Requires="wps">
            <w:drawing>
              <wp:anchor distT="0" distB="0" distL="114300" distR="114300" simplePos="0" relativeHeight="251764736" behindDoc="0" locked="0" layoutInCell="1" allowOverlap="1">
                <wp:simplePos x="0" y="0"/>
                <wp:positionH relativeFrom="column">
                  <wp:posOffset>3035300</wp:posOffset>
                </wp:positionH>
                <wp:positionV relativeFrom="paragraph">
                  <wp:posOffset>348615</wp:posOffset>
                </wp:positionV>
                <wp:extent cx="3940810" cy="311785"/>
                <wp:effectExtent l="4445" t="4445" r="17145" b="7620"/>
                <wp:wrapNone/>
                <wp:docPr id="267" name="文本框 267"/>
                <wp:cNvGraphicFramePr/>
                <a:graphic xmlns:a="http://schemas.openxmlformats.org/drawingml/2006/main">
                  <a:graphicData uri="http://schemas.microsoft.com/office/word/2010/wordprocessingShape">
                    <wps:wsp>
                      <wps:cNvSpPr txBox="1"/>
                      <wps:spPr>
                        <a:xfrm>
                          <a:off x="6125210" y="1140460"/>
                          <a:ext cx="3940810" cy="31178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BD39B6">
                            <w:pPr>
                              <w:rPr>
                                <w:rFonts w:hint="default" w:eastAsia="宋体"/>
                                <w:lang w:val="en-US" w:eastAsia="zh-CN"/>
                              </w:rPr>
                            </w:pPr>
                            <w:r>
                              <w:rPr>
                                <w:rFonts w:hint="eastAsia" w:ascii="Times New Roman" w:eastAsia="宋体"/>
                                <w:lang w:val="en-US" w:eastAsia="zh-CN"/>
                              </w:rPr>
                              <w:t>图例：项目红线          雨水管网       污水管网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pt;margin-top:27.45pt;height:24.55pt;width:310.3pt;z-index:251764736;mso-width-relative:page;mso-height-relative:page;" fillcolor="#FFFFFF" filled="t" stroked="t" coordsize="21600,21600" o:gfxdata="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J+7e7YAAAACwEAAA8AAAAAAAAAAQAgAAAAIgAAAGRycy9kb3ducmV2Lnht&#10;bFBLAQIUABQAAAAIAIdO4kAI233fawIAANUEAAAOAAAAAAAAAAEAIAAAACcBAABkcnMvZTJvRG9j&#10;LnhtbFBLBQYAAAAABgAGAFkBAAAEBgAAAAA=&#10;">
                <v:fill on="t" focussize="0,0"/>
                <v:stroke weight="0.5pt" color="#000000 [3204]" joinstyle="round"/>
                <v:imagedata o:title=""/>
                <o:lock v:ext="edit" aspectratio="f"/>
                <v:textbox>
                  <w:txbxContent>
                    <w:p w14:paraId="49BD39B6">
                      <w:pPr>
                        <w:rPr>
                          <w:rFonts w:hint="default" w:eastAsia="宋体"/>
                          <w:lang w:val="en-US" w:eastAsia="zh-CN"/>
                        </w:rPr>
                      </w:pPr>
                      <w:r>
                        <w:rPr>
                          <w:rFonts w:hint="eastAsia" w:ascii="Times New Roman" w:eastAsia="宋体"/>
                          <w:lang w:val="en-US" w:eastAsia="zh-CN"/>
                        </w:rPr>
                        <w:t>图例：项目红线          雨水管网       污水管网</w:t>
                      </w:r>
                    </w:p>
                  </w:txbxContent>
                </v:textbox>
              </v:shape>
            </w:pict>
          </mc:Fallback>
        </mc:AlternateContent>
      </w:r>
      <w:r>
        <w:rPr>
          <w:sz w:val="18"/>
        </w:rPr>
        <mc:AlternateContent>
          <mc:Choice Requires="wps">
            <w:drawing>
              <wp:anchor distT="0" distB="0" distL="114300" distR="114300" simplePos="0" relativeHeight="251767808" behindDoc="0" locked="0" layoutInCell="1" allowOverlap="1">
                <wp:simplePos x="0" y="0"/>
                <wp:positionH relativeFrom="column">
                  <wp:posOffset>4126865</wp:posOffset>
                </wp:positionH>
                <wp:positionV relativeFrom="paragraph">
                  <wp:posOffset>521970</wp:posOffset>
                </wp:positionV>
                <wp:extent cx="303530" cy="635"/>
                <wp:effectExtent l="0" t="12700" r="1270" b="15240"/>
                <wp:wrapNone/>
                <wp:docPr id="271" name="直接连接符 271"/>
                <wp:cNvGraphicFramePr/>
                <a:graphic xmlns:a="http://schemas.openxmlformats.org/drawingml/2006/main">
                  <a:graphicData uri="http://schemas.microsoft.com/office/word/2010/wordprocessingShape">
                    <wps:wsp>
                      <wps:cNvCnPr/>
                      <wps:spPr>
                        <a:xfrm flipV="1">
                          <a:off x="0" y="0"/>
                          <a:ext cx="303530" cy="635"/>
                        </a:xfrm>
                        <a:prstGeom prst="line">
                          <a:avLst/>
                        </a:prstGeom>
                        <a:noFill/>
                        <a:ln w="25400" cap="flat" cmpd="sng" algn="ctr">
                          <a:solidFill>
                            <a:srgbClr val="C0000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24.95pt;margin-top:41.1pt;height:0.05pt;width:23.9pt;z-index:251767808;mso-width-relative:page;mso-height-relative:page;" filled="f" stroked="t" coordsize="21600,21600" o:gfxdata="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5ufy9sAAAAJAQAADwAAAAAAAAABACAAAAAiAAAAZHJzL2Rvd25yZXYueG1sUEsBAhQAFAAAAAgA&#10;h07iQNj0U07pAQAAuAMAAA4AAAAAAAAAAQAgAAAAKgEAAGRycy9lMm9Eb2MueG1sUEsFBgAAAAAG&#10;AAYAWQEAAIUFAAAAAA==&#10;">
                <v:fill on="f" focussize="0,0"/>
                <v:stroke weight="2pt" color="#C00000 [3204]" joinstyle="round"/>
                <v:imagedata o:title=""/>
                <o:lock v:ext="edit" aspectratio="f"/>
              </v:line>
            </w:pict>
          </mc:Fallback>
        </mc:AlternateContent>
      </w:r>
      <w:r>
        <w:rPr>
          <w:sz w:val="18"/>
        </w:rPr>
        <mc:AlternateContent>
          <mc:Choice Requires="wps">
            <w:drawing>
              <wp:anchor distT="0" distB="0" distL="114300" distR="114300" simplePos="0" relativeHeight="251765760" behindDoc="0" locked="0" layoutInCell="1" allowOverlap="1">
                <wp:simplePos x="0" y="0"/>
                <wp:positionH relativeFrom="column">
                  <wp:posOffset>5348605</wp:posOffset>
                </wp:positionH>
                <wp:positionV relativeFrom="paragraph">
                  <wp:posOffset>539115</wp:posOffset>
                </wp:positionV>
                <wp:extent cx="303530" cy="635"/>
                <wp:effectExtent l="0" t="12700" r="1270" b="15240"/>
                <wp:wrapNone/>
                <wp:docPr id="269" name="直接连接符 269"/>
                <wp:cNvGraphicFramePr/>
                <a:graphic xmlns:a="http://schemas.openxmlformats.org/drawingml/2006/main">
                  <a:graphicData uri="http://schemas.microsoft.com/office/word/2010/wordprocessingShape">
                    <wps:wsp>
                      <wps:cNvCnPr/>
                      <wps:spPr>
                        <a:xfrm flipV="1">
                          <a:off x="5415280" y="1313815"/>
                          <a:ext cx="303530" cy="635"/>
                        </a:xfrm>
                        <a:prstGeom prst="line">
                          <a:avLst/>
                        </a:prstGeom>
                        <a:noFill/>
                        <a:ln w="25400" cap="flat" cmpd="sng" algn="ctr">
                          <a:solidFill>
                            <a:srgbClr val="00B05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21.15pt;margin-top:42.45pt;height:0.05pt;width:23.9pt;z-index:251765760;mso-width-relative:page;mso-height-relative:page;" filled="f" stroked="t" coordsize="21600,21600" o:gfxdata="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f90h21gAAAAkBAAAPAAAAAAAAAAEAIAAAACIAAABkcnMvZG93bnJldi54bWxQ&#10;SwECFAAUAAAACACHTuJA6KRWvPkBAADEAwAADgAAAAAAAAABACAAAAAlAQAAZHJzL2Uyb0RvYy54&#10;bWxQSwUGAAAAAAYABgBZAQAAkAUAAAAA&#10;">
                <v:fill on="f" focussize="0,0"/>
                <v:stroke weight="2pt" color="#00B050 [3204]" joinstyle="round"/>
                <v:imagedata o:title=""/>
                <o:lock v:ext="edit" aspectratio="f"/>
              </v:line>
            </w:pict>
          </mc:Fallback>
        </mc:AlternateContent>
      </w:r>
      <w:r>
        <w:rPr>
          <w:sz w:val="18"/>
        </w:rPr>
        <mc:AlternateContent>
          <mc:Choice Requires="wps">
            <w:drawing>
              <wp:anchor distT="0" distB="0" distL="114300" distR="114300" simplePos="0" relativeHeight="251766784" behindDoc="0" locked="0" layoutInCell="1" allowOverlap="1">
                <wp:simplePos x="0" y="0"/>
                <wp:positionH relativeFrom="column">
                  <wp:posOffset>6452870</wp:posOffset>
                </wp:positionH>
                <wp:positionV relativeFrom="paragraph">
                  <wp:posOffset>527050</wp:posOffset>
                </wp:positionV>
                <wp:extent cx="303530" cy="635"/>
                <wp:effectExtent l="0" t="12700" r="1270" b="15240"/>
                <wp:wrapNone/>
                <wp:docPr id="270" name="直接连接符 270"/>
                <wp:cNvGraphicFramePr/>
                <a:graphic xmlns:a="http://schemas.openxmlformats.org/drawingml/2006/main">
                  <a:graphicData uri="http://schemas.microsoft.com/office/word/2010/wordprocessingShape">
                    <wps:wsp>
                      <wps:cNvCnPr/>
                      <wps:spPr>
                        <a:xfrm flipV="1">
                          <a:off x="0" y="0"/>
                          <a:ext cx="303530" cy="635"/>
                        </a:xfrm>
                        <a:prstGeom prst="line">
                          <a:avLst/>
                        </a:prstGeom>
                        <a:noFill/>
                        <a:ln w="25400" cap="flat" cmpd="sng" algn="ctr">
                          <a:solidFill>
                            <a:srgbClr val="FFFF0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508.1pt;margin-top:41.5pt;height:0.05pt;width:23.9pt;z-index:251766784;mso-width-relative:page;mso-height-relative:page;" filled="f" stroked="t" coordsize="21600,21600" o:gfxdata="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wnw1XX&#10;AAAACwEAAA8AAAAAAAAAAQAgAAAAIgAAAGRycy9kb3ducmV2LnhtbFBLAQIUABQAAAAIAIdO4kDr&#10;3fRz6AEAALgDAAAOAAAAAAAAAAEAIAAAACYBAABkcnMvZTJvRG9jLnhtbFBLBQYAAAAABgAGAFkB&#10;AACABQAAAAA=&#10;">
                <v:fill on="f" focussize="0,0"/>
                <v:stroke weight="2pt" color="#FFFF00 [3204]" joinstyle="round"/>
                <v:imagedata o:title=""/>
                <o:lock v:ext="edit" aspectratio="f"/>
              </v:line>
            </w:pict>
          </mc:Fallback>
        </mc:AlternateContent>
      </w:r>
      <w:r>
        <w:rPr>
          <w:sz w:val="18"/>
        </w:rPr>
        <mc:AlternateContent>
          <mc:Choice Requires="wps">
            <w:drawing>
              <wp:anchor distT="0" distB="0" distL="114300" distR="114300" simplePos="0" relativeHeight="251760640" behindDoc="0" locked="0" layoutInCell="1" allowOverlap="1">
                <wp:simplePos x="0" y="0"/>
                <wp:positionH relativeFrom="column">
                  <wp:posOffset>1824990</wp:posOffset>
                </wp:positionH>
                <wp:positionV relativeFrom="paragraph">
                  <wp:posOffset>1656080</wp:posOffset>
                </wp:positionV>
                <wp:extent cx="2631440" cy="181610"/>
                <wp:effectExtent l="0" t="12700" r="16510" b="15240"/>
                <wp:wrapNone/>
                <wp:docPr id="257" name="任意多边形 257"/>
                <wp:cNvGraphicFramePr/>
                <a:graphic xmlns:a="http://schemas.openxmlformats.org/drawingml/2006/main">
                  <a:graphicData uri="http://schemas.microsoft.com/office/word/2010/wordprocessingShape">
                    <wps:wsp>
                      <wps:cNvSpPr/>
                      <wps:spPr>
                        <a:xfrm flipH="1" flipV="1">
                          <a:off x="4982210" y="2153920"/>
                          <a:ext cx="2631440" cy="181610"/>
                        </a:xfrm>
                        <a:custGeom>
                          <a:avLst/>
                          <a:gdLst>
                            <a:gd name="connisteX0" fmla="*/ 1264285 w 1264285"/>
                            <a:gd name="connsiteY0" fmla="*/ 155575 h 155575"/>
                            <a:gd name="connisteX1" fmla="*/ 0 w 1264285"/>
                            <a:gd name="connsiteY1" fmla="*/ 138430 h 155575"/>
                            <a:gd name="connisteX2" fmla="*/ 0 w 1264285"/>
                            <a:gd name="connsiteY2" fmla="*/ 0 h 155575"/>
                          </a:gdLst>
                          <a:ahLst/>
                          <a:cxnLst>
                            <a:cxn ang="0">
                              <a:pos x="connisteX0" y="connsiteY0"/>
                            </a:cxn>
                            <a:cxn ang="0">
                              <a:pos x="connisteX1" y="connsiteY1"/>
                            </a:cxn>
                            <a:cxn ang="0">
                              <a:pos x="connisteX2" y="connsiteY2"/>
                            </a:cxn>
                          </a:cxnLst>
                          <a:rect l="l" t="t" r="r" b="b"/>
                          <a:pathLst>
                            <a:path w="1264285" h="155575">
                              <a:moveTo>
                                <a:pt x="1264285" y="155575"/>
                              </a:moveTo>
                              <a:lnTo>
                                <a:pt x="0" y="138430"/>
                              </a:lnTo>
                              <a:lnTo>
                                <a:pt x="0" y="0"/>
                              </a:lnTo>
                            </a:path>
                          </a:pathLst>
                        </a:custGeom>
                        <a:noFill/>
                        <a:ln w="254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flip:x y;margin-left:143.7pt;margin-top:130.4pt;height:14.3pt;width:207.2pt;z-index:251760640;mso-width-relative:page;mso-height-relative:page;" filled="f" stroked="t" coordsize="1264285,155575" o:gfxdata="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IHUNRtgAAAALAQAADwAAAAAAAAABACAAAAAiAAAAZHJzL2Rvd25yZXYu&#10;eG1sUEsBAhQAFAAAAAgAh07iQJMSnvHfAgAAtgYAAA4AAAAAAAAAAQAgAAAAJwEAAGRycy9lMm9E&#10;b2MueG1sUEsFBgAAAAAGAAYAWQEAAHgGAAAAAA==&#10;" path="m1264285,155575l0,138430,0,0e">
                <v:path o:connectlocs="2631440,181610;0,161595;0,0" o:connectangles="0,0,0"/>
                <v:fill on="f" focussize="0,0"/>
                <v:stroke weight="2pt" color="#1005F9 [2404]" joinstyle="round"/>
                <v:imagedata o:title=""/>
                <o:lock v:ext="edit" aspectratio="f"/>
              </v:shape>
            </w:pict>
          </mc:Fallback>
        </mc:AlternateContent>
      </w:r>
      <w:r>
        <w:rPr>
          <w:sz w:val="18"/>
        </w:rPr>
        <mc:AlternateContent>
          <mc:Choice Requires="wps">
            <w:drawing>
              <wp:anchor distT="0" distB="0" distL="114300" distR="114300" simplePos="0" relativeHeight="251763712" behindDoc="0" locked="0" layoutInCell="1" allowOverlap="1">
                <wp:simplePos x="0" y="0"/>
                <wp:positionH relativeFrom="column">
                  <wp:posOffset>5711825</wp:posOffset>
                </wp:positionH>
                <wp:positionV relativeFrom="paragraph">
                  <wp:posOffset>1292860</wp:posOffset>
                </wp:positionV>
                <wp:extent cx="26035" cy="2779395"/>
                <wp:effectExtent l="12700" t="0" r="18415" b="1905"/>
                <wp:wrapNone/>
                <wp:docPr id="260" name="任意多边形 260"/>
                <wp:cNvGraphicFramePr/>
                <a:graphic xmlns:a="http://schemas.openxmlformats.org/drawingml/2006/main">
                  <a:graphicData uri="http://schemas.microsoft.com/office/word/2010/wordprocessingShape">
                    <wps:wsp>
                      <wps:cNvSpPr/>
                      <wps:spPr>
                        <a:xfrm>
                          <a:off x="6791960" y="2084705"/>
                          <a:ext cx="26035" cy="2779395"/>
                        </a:xfrm>
                        <a:custGeom>
                          <a:avLst/>
                          <a:gdLst>
                            <a:gd name="connisteX0" fmla="*/ 0 w 26035"/>
                            <a:gd name="connsiteY0" fmla="*/ 2779395 h 2779395"/>
                            <a:gd name="connisteX1" fmla="*/ 26035 w 26035"/>
                            <a:gd name="connsiteY1" fmla="*/ 0 h 2779395"/>
                          </a:gdLst>
                          <a:ahLst/>
                          <a:cxnLst>
                            <a:cxn ang="0">
                              <a:pos x="connisteX0" y="connsiteY0"/>
                            </a:cxn>
                            <a:cxn ang="0">
                              <a:pos x="connisteX1" y="connsiteY1"/>
                            </a:cxn>
                          </a:cxnLst>
                          <a:rect l="l" t="t" r="r" b="b"/>
                          <a:pathLst>
                            <a:path w="26035" h="2779395">
                              <a:moveTo>
                                <a:pt x="0" y="2779395"/>
                              </a:moveTo>
                              <a:lnTo>
                                <a:pt x="26035" y="0"/>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49.75pt;margin-top:101.8pt;height:218.85pt;width:2.05pt;z-index:251763712;mso-width-relative:page;mso-height-relative:page;" filled="f" stroked="t" coordsize="26035,2779395" o:gfxdata="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ySIl32AAAAAsBAAAPAAAAAAAAAAEAIAAAACIAAABkcnMvZG93bnJldi54bWxQ&#10;SwECFAAUAAAACACHTuJAuY93saICAADUBQAADgAAAAAAAAABACAAAAAnAQAAZHJzL2Uyb0RvYy54&#10;bWxQSwUGAAAAAAYABgBZAQAAOwYAAAAA&#10;" path="m0,2779395l26035,0e">
                <v:path o:connectlocs="0,2779395;26035,0" o:connectangles="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62688" behindDoc="0" locked="0" layoutInCell="1" allowOverlap="1">
                <wp:simplePos x="0" y="0"/>
                <wp:positionH relativeFrom="column">
                  <wp:posOffset>1893570</wp:posOffset>
                </wp:positionH>
                <wp:positionV relativeFrom="paragraph">
                  <wp:posOffset>3032760</wp:posOffset>
                </wp:positionV>
                <wp:extent cx="4805680" cy="17145"/>
                <wp:effectExtent l="0" t="0" r="0" b="0"/>
                <wp:wrapNone/>
                <wp:docPr id="259" name="任意多边形 259"/>
                <wp:cNvGraphicFramePr/>
                <a:graphic xmlns:a="http://schemas.openxmlformats.org/drawingml/2006/main">
                  <a:graphicData uri="http://schemas.microsoft.com/office/word/2010/wordprocessingShape">
                    <wps:wsp>
                      <wps:cNvSpPr/>
                      <wps:spPr>
                        <a:xfrm>
                          <a:off x="2973705" y="3824605"/>
                          <a:ext cx="4805680" cy="17145"/>
                        </a:xfrm>
                        <a:custGeom>
                          <a:avLst/>
                          <a:gdLst>
                            <a:gd name="connisteX0" fmla="*/ 4805680 w 4805680"/>
                            <a:gd name="connsiteY0" fmla="*/ 0 h 17145"/>
                            <a:gd name="connisteX1" fmla="*/ 0 w 4805680"/>
                            <a:gd name="connsiteY1" fmla="*/ 17145 h 17145"/>
                          </a:gdLst>
                          <a:ahLst/>
                          <a:cxnLst>
                            <a:cxn ang="0">
                              <a:pos x="connisteX0" y="connsiteY0"/>
                            </a:cxn>
                            <a:cxn ang="0">
                              <a:pos x="connisteX1" y="connsiteY1"/>
                            </a:cxn>
                          </a:cxnLst>
                          <a:rect l="l" t="t" r="r" b="b"/>
                          <a:pathLst>
                            <a:path w="4805680" h="17145">
                              <a:moveTo>
                                <a:pt x="4805680" y="0"/>
                              </a:moveTo>
                              <a:lnTo>
                                <a:pt x="0" y="17145"/>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9.1pt;margin-top:238.8pt;height:1.35pt;width:378.4pt;z-index:251762688;mso-width-relative:page;mso-height-relative:page;" filled="f" stroked="t" coordsize="4805680,17145" o:gfxdata="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Fug6+PaAAAADAEAAA8AAAAAAAAAAQAgAAAAIgAAAGRycy9kb3ducmV2&#10;LnhtbFBLAQIUABQAAAAIAIdO4kBcXXRVpQIAANQFAAAOAAAAAAAAAAEAIAAAACkBAABkcnMvZTJv&#10;RG9jLnhtbFBLBQYAAAAABgAGAFkBAABABgAAAAA=&#10;" path="m4805680,0l0,17145e">
                <v:path o:connectlocs="4805680,0;0,17145" o:connectangles="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61664" behindDoc="0" locked="0" layoutInCell="1" allowOverlap="1">
                <wp:simplePos x="0" y="0"/>
                <wp:positionH relativeFrom="column">
                  <wp:posOffset>3729355</wp:posOffset>
                </wp:positionH>
                <wp:positionV relativeFrom="paragraph">
                  <wp:posOffset>1924685</wp:posOffset>
                </wp:positionV>
                <wp:extent cx="34290" cy="2251075"/>
                <wp:effectExtent l="12700" t="635" r="29210" b="15240"/>
                <wp:wrapNone/>
                <wp:docPr id="258" name="任意多边形 258"/>
                <wp:cNvGraphicFramePr/>
                <a:graphic xmlns:a="http://schemas.openxmlformats.org/drawingml/2006/main">
                  <a:graphicData uri="http://schemas.microsoft.com/office/word/2010/wordprocessingShape">
                    <wps:wsp>
                      <wps:cNvSpPr/>
                      <wps:spPr>
                        <a:xfrm>
                          <a:off x="4809490" y="2716530"/>
                          <a:ext cx="34290" cy="2251075"/>
                        </a:xfrm>
                        <a:custGeom>
                          <a:avLst/>
                          <a:gdLst>
                            <a:gd name="connisteX0" fmla="*/ 0 w 34290"/>
                            <a:gd name="connsiteY0" fmla="*/ 0 h 2251075"/>
                            <a:gd name="connisteX1" fmla="*/ 34290 w 34290"/>
                            <a:gd name="connsiteY1" fmla="*/ 1108075 h 2251075"/>
                            <a:gd name="connisteX2" fmla="*/ 8255 w 34290"/>
                            <a:gd name="connsiteY2" fmla="*/ 2025650 h 2251075"/>
                            <a:gd name="connisteX3" fmla="*/ 34290 w 34290"/>
                            <a:gd name="connsiteY3" fmla="*/ 2251075 h 2251075"/>
                          </a:gdLst>
                          <a:ahLst/>
                          <a:cxnLst>
                            <a:cxn ang="0">
                              <a:pos x="connisteX0" y="connsiteY0"/>
                            </a:cxn>
                            <a:cxn ang="0">
                              <a:pos x="connisteX1" y="connsiteY1"/>
                            </a:cxn>
                            <a:cxn ang="0">
                              <a:pos x="connisteX2" y="connsiteY2"/>
                            </a:cxn>
                            <a:cxn ang="0">
                              <a:pos x="connisteX3" y="connsiteY3"/>
                            </a:cxn>
                          </a:cxnLst>
                          <a:rect l="l" t="t" r="r" b="b"/>
                          <a:pathLst>
                            <a:path w="34290" h="2251075">
                              <a:moveTo>
                                <a:pt x="0" y="0"/>
                              </a:moveTo>
                              <a:lnTo>
                                <a:pt x="34290" y="1108075"/>
                              </a:lnTo>
                              <a:lnTo>
                                <a:pt x="8255" y="2025650"/>
                              </a:lnTo>
                              <a:lnTo>
                                <a:pt x="34290" y="2251075"/>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93.65pt;margin-top:151.55pt;height:177.25pt;width:2.7pt;z-index:251761664;mso-width-relative:page;mso-height-relative:page;" filled="f" stroked="t" coordsize="34290,2251075" o:gfxdata="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" path="m0,0l34290,1108075,8255,2025650,34290,2251075e">
                <v:path o:connectlocs="0,0;34290,1108075;8255,2025650;34290,2251075" o:connectangles="0,0,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59616" behindDoc="0" locked="0" layoutInCell="1" allowOverlap="1">
                <wp:simplePos x="0" y="0"/>
                <wp:positionH relativeFrom="column">
                  <wp:posOffset>5850890</wp:posOffset>
                </wp:positionH>
                <wp:positionV relativeFrom="paragraph">
                  <wp:posOffset>1795145</wp:posOffset>
                </wp:positionV>
                <wp:extent cx="207645" cy="2380615"/>
                <wp:effectExtent l="19050" t="0" r="1905" b="19685"/>
                <wp:wrapNone/>
                <wp:docPr id="256" name="任意多边形 256"/>
                <wp:cNvGraphicFramePr/>
                <a:graphic xmlns:a="http://schemas.openxmlformats.org/drawingml/2006/main">
                  <a:graphicData uri="http://schemas.microsoft.com/office/word/2010/wordprocessingShape">
                    <wps:wsp>
                      <wps:cNvSpPr/>
                      <wps:spPr>
                        <a:xfrm>
                          <a:off x="6931025" y="4154170"/>
                          <a:ext cx="207645" cy="2380615"/>
                        </a:xfrm>
                        <a:custGeom>
                          <a:avLst/>
                          <a:gdLst>
                            <a:gd name="connisteX0" fmla="*/ 0 w 207645"/>
                            <a:gd name="connsiteY0" fmla="*/ 0 h 813435"/>
                            <a:gd name="connisteX1" fmla="*/ 8255 w 207645"/>
                            <a:gd name="connsiteY1" fmla="*/ 813435 h 813435"/>
                            <a:gd name="connisteX2" fmla="*/ 207645 w 207645"/>
                            <a:gd name="connsiteY2" fmla="*/ 813435 h 813435"/>
                          </a:gdLst>
                          <a:ahLst/>
                          <a:cxnLst>
                            <a:cxn ang="0">
                              <a:pos x="connisteX0" y="connsiteY0"/>
                            </a:cxn>
                            <a:cxn ang="0">
                              <a:pos x="connisteX1" y="connsiteY1"/>
                            </a:cxn>
                            <a:cxn ang="0">
                              <a:pos x="connisteX2" y="connsiteY2"/>
                            </a:cxn>
                          </a:cxnLst>
                          <a:rect l="l" t="t" r="r" b="b"/>
                          <a:pathLst>
                            <a:path w="207645" h="813435">
                              <a:moveTo>
                                <a:pt x="0" y="0"/>
                              </a:moveTo>
                              <a:lnTo>
                                <a:pt x="8255" y="813435"/>
                              </a:lnTo>
                              <a:lnTo>
                                <a:pt x="207645" y="813435"/>
                              </a:lnTo>
                            </a:path>
                          </a:pathLst>
                        </a:custGeom>
                        <a:noFill/>
                        <a:ln w="381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60.7pt;margin-top:141.35pt;height:187.45pt;width:16.35pt;z-index:251759616;mso-width-relative:page;mso-height-relative:page;" filled="f" stroked="t" coordsize="207645,813435" o:gfxdata="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MtfX3DYAAAACwEAAA8AAAAAAAAAAQAgAAAAIgAAAGRycy9kb3ducmV2LnhtbFBLAQIUABQAAAAI&#10;AIdO4kBwBVS90QIAAKIGAAAOAAAAAAAAAAEAIAAAACcBAABkcnMvZTJvRG9jLnhtbFBLBQYAAAAA&#10;BgAGAFkBAABqBgAAAAA=&#10;" path="m0,0l8255,813435,207645,813435e">
                <v:path o:connectlocs="0,0;8255,2380615;207645,2380615" o:connectangles="0,0,0"/>
                <v:fill on="f" focussize="0,0"/>
                <v:stroke weight="3pt" color="#1005F9 [2404]" joinstyle="round"/>
                <v:imagedata o:title=""/>
                <o:lock v:ext="edit" aspectratio="f"/>
              </v:shape>
            </w:pict>
          </mc:Fallback>
        </mc:AlternateContent>
      </w:r>
      <w:r>
        <w:rPr>
          <w:sz w:val="18"/>
        </w:rPr>
        <mc:AlternateContent>
          <mc:Choice Requires="wpg">
            <w:drawing>
              <wp:anchor distT="0" distB="0" distL="114300" distR="114300" simplePos="0" relativeHeight="251751424" behindDoc="0" locked="0" layoutInCell="1" allowOverlap="1">
                <wp:simplePos x="0" y="0"/>
                <wp:positionH relativeFrom="column">
                  <wp:posOffset>3788410</wp:posOffset>
                </wp:positionH>
                <wp:positionV relativeFrom="paragraph">
                  <wp:posOffset>2146935</wp:posOffset>
                </wp:positionV>
                <wp:extent cx="751840" cy="353060"/>
                <wp:effectExtent l="4445" t="0" r="0" b="0"/>
                <wp:wrapNone/>
                <wp:docPr id="3" name="组合 20"/>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88"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89" name="文本框 1881"/>
                        <wps:cNvSpPr txBox="1"/>
                        <wps:spPr>
                          <a:xfrm>
                            <a:off x="8924" y="1984447"/>
                            <a:ext cx="939" cy="556"/>
                          </a:xfrm>
                          <a:prstGeom prst="rect">
                            <a:avLst/>
                          </a:prstGeom>
                          <a:noFill/>
                          <a:ln>
                            <a:noFill/>
                          </a:ln>
                        </wps:spPr>
                        <wps:txbx>
                          <w:txbxContent>
                            <w:p w14:paraId="20879805">
                              <w:pPr>
                                <w:rPr>
                                  <w:rFonts w:hint="default" w:eastAsia="宋体"/>
                                  <w:b/>
                                  <w:bCs/>
                                  <w:highlight w:val="yellow"/>
                                  <w:lang w:val="en-US" w:eastAsia="zh-CN"/>
                                </w:rPr>
                              </w:pPr>
                              <w:r>
                                <w:rPr>
                                  <w:rFonts w:hint="eastAsia"/>
                                  <w:b/>
                                  <w:bCs/>
                                  <w:highlight w:val="yellow"/>
                                  <w:lang w:val="en-US" w:eastAsia="zh-CN"/>
                                </w:rPr>
                                <w:t>DA001</w:t>
                              </w:r>
                            </w:p>
                          </w:txbxContent>
                        </wps:txbx>
                        <wps:bodyPr upright="1"/>
                      </wps:wsp>
                    </wpg:wgp>
                  </a:graphicData>
                </a:graphic>
              </wp:anchor>
            </w:drawing>
          </mc:Choice>
          <mc:Fallback>
            <w:pict>
              <v:group id="组合 20" o:spid="_x0000_s1026" o:spt="203" style="position:absolute;left:0pt;margin-left:298.3pt;margin-top:169.05pt;height:27.8pt;width:59.2pt;z-index:251751424;mso-width-relative:page;mso-height-relative:page;" coordorigin="8678,1984447" coordsize="1184,556" o:gfxdata="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By&#10;b0+e2wAAAAsBAAAPAAAAAAAAAAEAIAAAACIAAABkcnMvZG93bnJldi54bWxQSwECFAAUAAAACACH&#10;TuJA2sABE8wCAADFBgAADgAAAAAAAAABACAAAAAqAQAAZHJzL2Uyb0RvYy54bWxQSwUGAAAAAAYA&#10;BgBZAQAAaAYAAAAA&#10;">
                <o:lock v:ext="edit" aspectratio="f"/>
                <v:shape id="椭圆 1879" o:spid="_x0000_s1026" o:spt="3" type="#_x0000_t3" style="position:absolute;left:8678;top:1984667;height:192;width:180;" fillcolor="#00B0F0" filled="t" stroked="t" coordsize="21600,21600" o:gfxdata="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oN3W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0879805">
                        <w:pPr>
                          <w:rPr>
                            <w:rFonts w:hint="default" w:eastAsia="宋体"/>
                            <w:b/>
                            <w:bCs/>
                            <w:highlight w:val="yellow"/>
                            <w:lang w:val="en-US" w:eastAsia="zh-CN"/>
                          </w:rPr>
                        </w:pPr>
                        <w:r>
                          <w:rPr>
                            <w:rFonts w:hint="eastAsia"/>
                            <w:b/>
                            <w:bCs/>
                            <w:highlight w:val="yellow"/>
                            <w:lang w:val="en-US" w:eastAsia="zh-CN"/>
                          </w:rPr>
                          <w:t>DA001</w:t>
                        </w:r>
                      </w:p>
                    </w:txbxContent>
                  </v:textbox>
                </v:shape>
              </v:group>
            </w:pict>
          </mc:Fallback>
        </mc:AlternateContent>
      </w:r>
      <w:r>
        <w:rPr>
          <w:sz w:val="18"/>
        </w:rPr>
        <mc:AlternateContent>
          <mc:Choice Requires="wpg">
            <w:drawing>
              <wp:anchor distT="0" distB="0" distL="114300" distR="114300" simplePos="0" relativeHeight="251750400" behindDoc="0" locked="0" layoutInCell="1" allowOverlap="1">
                <wp:simplePos x="0" y="0"/>
                <wp:positionH relativeFrom="column">
                  <wp:posOffset>3788410</wp:posOffset>
                </wp:positionH>
                <wp:positionV relativeFrom="paragraph">
                  <wp:posOffset>2650490</wp:posOffset>
                </wp:positionV>
                <wp:extent cx="751840" cy="353060"/>
                <wp:effectExtent l="4445" t="0" r="0" b="0"/>
                <wp:wrapNone/>
                <wp:docPr id="4" name="组合 12"/>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85"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86" name="文本框 1881"/>
                        <wps:cNvSpPr txBox="1"/>
                        <wps:spPr>
                          <a:xfrm>
                            <a:off x="8924" y="1984447"/>
                            <a:ext cx="939" cy="556"/>
                          </a:xfrm>
                          <a:prstGeom prst="rect">
                            <a:avLst/>
                          </a:prstGeom>
                          <a:noFill/>
                          <a:ln>
                            <a:noFill/>
                          </a:ln>
                        </wps:spPr>
                        <wps:txbx>
                          <w:txbxContent>
                            <w:p w14:paraId="01FAB9B3">
                              <w:pPr>
                                <w:rPr>
                                  <w:rFonts w:hint="default" w:eastAsia="宋体"/>
                                  <w:b/>
                                  <w:bCs/>
                                  <w:highlight w:val="yellow"/>
                                  <w:lang w:val="en-US" w:eastAsia="zh-CN"/>
                                </w:rPr>
                              </w:pPr>
                              <w:r>
                                <w:rPr>
                                  <w:rFonts w:hint="eastAsia"/>
                                  <w:b/>
                                  <w:bCs/>
                                  <w:highlight w:val="yellow"/>
                                  <w:lang w:val="en-US" w:eastAsia="zh-CN"/>
                                </w:rPr>
                                <w:t>DA002</w:t>
                              </w:r>
                            </w:p>
                          </w:txbxContent>
                        </wps:txbx>
                        <wps:bodyPr upright="1"/>
                      </wps:wsp>
                    </wpg:wgp>
                  </a:graphicData>
                </a:graphic>
              </wp:anchor>
            </w:drawing>
          </mc:Choice>
          <mc:Fallback>
            <w:pict>
              <v:group id="组合 12" o:spid="_x0000_s1026" o:spt="203" style="position:absolute;left:0pt;margin-left:298.3pt;margin-top:208.7pt;height:27.8pt;width:59.2pt;z-index:251750400;mso-width-relative:page;mso-height-relative:page;" coordorigin="8678,1984447" coordsize="1184,556" o:gfxdata="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W&#10;dNJK2wAAAAsBAAAPAAAAAAAAAAEAIAAAACIAAABkcnMvZG93bnJldi54bWxQSwECFAAUAAAACACH&#10;TuJACxQI6MwCAADFBgAADgAAAAAAAAABACAAAAAqAQAAZHJzL2Uyb0RvYy54bWxQSwUGAAAAAAYA&#10;BgBZAQAAaAYAAAAA&#10;">
                <o:lock v:ext="edit" aspectratio="f"/>
                <v:shape id="椭圆 1879" o:spid="_x0000_s1026" o:spt="3" type="#_x0000_t3" style="position:absolute;left:8678;top:1984667;height:192;width:180;" fillcolor="#00B0F0" filled="t" stroked="t" coordsize="21600,21600" o:gfxdata="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4pmOu/&#10;AAAA2wAAAA8AAAAAAAAAAQAgAAAAIgAAAGRycy9kb3ducmV2LnhtbFBLAQIUABQAAAAIAIdO4kAz&#10;LwWeOwAAADkAAAAQAAAAAAAAAAEAIAAAAA4BAABkcnMvc2hhcGV4bWwueG1sUEsFBgAAAAAGAAYA&#10;WwEAALg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Sxwunr0AAADb&#10;AAAADwAAAGRycy9kb3ducmV2LnhtbEWPzWrDMBCE74W8g9hCbo3k0oTUsexDSqGnhPwVclusjW1q&#10;rYylxs7bR4FCj8PMfMNkxWhbcaXeN441JDMFgrh0puFKw/Hw+bIE4QOywdYxabiRhyKfPGWYGjfw&#10;jq77UIkIYZ+ihjqELpXSlzVZ9DPXEUfv4nqLIcq+kqbHIcJtK1+VWkiLDceFGjta11T+7H+thtPm&#10;cv5+U9vqw867wY1Ksn2XWk+fE7UCEWgM/+G/9pfRsFzA40v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HC6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1FAB9B3">
                        <w:pPr>
                          <w:rPr>
                            <w:rFonts w:hint="default" w:eastAsia="宋体"/>
                            <w:b/>
                            <w:bCs/>
                            <w:highlight w:val="yellow"/>
                            <w:lang w:val="en-US" w:eastAsia="zh-CN"/>
                          </w:rPr>
                        </w:pPr>
                        <w:r>
                          <w:rPr>
                            <w:rFonts w:hint="eastAsia"/>
                            <w:b/>
                            <w:bCs/>
                            <w:highlight w:val="yellow"/>
                            <w:lang w:val="en-US" w:eastAsia="zh-CN"/>
                          </w:rPr>
                          <w:t>DA002</w:t>
                        </w:r>
                      </w:p>
                    </w:txbxContent>
                  </v:textbox>
                </v:shape>
              </v:group>
            </w:pict>
          </mc:Fallback>
        </mc:AlternateContent>
      </w:r>
      <w:r>
        <w:rPr>
          <w:sz w:val="21"/>
        </w:rPr>
        <mc:AlternateContent>
          <mc:Choice Requires="wpg">
            <w:drawing>
              <wp:anchor distT="0" distB="0" distL="114300" distR="114300" simplePos="0" relativeHeight="251749376" behindDoc="0" locked="0" layoutInCell="1" allowOverlap="1">
                <wp:simplePos x="0" y="0"/>
                <wp:positionH relativeFrom="column">
                  <wp:posOffset>4274820</wp:posOffset>
                </wp:positionH>
                <wp:positionV relativeFrom="paragraph">
                  <wp:posOffset>2148840</wp:posOffset>
                </wp:positionV>
                <wp:extent cx="974090" cy="464820"/>
                <wp:effectExtent l="0" t="0" r="16510" b="11430"/>
                <wp:wrapNone/>
                <wp:docPr id="5" name="组合 10"/>
                <wp:cNvGraphicFramePr/>
                <a:graphic xmlns:a="http://schemas.openxmlformats.org/drawingml/2006/main">
                  <a:graphicData uri="http://schemas.microsoft.com/office/word/2010/wordprocessingGroup">
                    <wpg:wgp>
                      <wpg:cNvGrpSpPr/>
                      <wpg:grpSpPr>
                        <a:xfrm>
                          <a:off x="0" y="0"/>
                          <a:ext cx="974090" cy="464820"/>
                          <a:chOff x="9034" y="1983295"/>
                          <a:chExt cx="1534" cy="744"/>
                        </a:xfrm>
                      </wpg:grpSpPr>
                      <wps:wsp>
                        <wps:cNvPr id="82" name="文本框 7"/>
                        <wps:cNvSpPr txBox="1"/>
                        <wps:spPr>
                          <a:xfrm>
                            <a:off x="9054" y="1983295"/>
                            <a:ext cx="1514" cy="709"/>
                          </a:xfrm>
                          <a:prstGeom prst="rect">
                            <a:avLst/>
                          </a:prstGeom>
                          <a:solidFill>
                            <a:srgbClr val="FFFFFF"/>
                          </a:solidFill>
                          <a:ln w="9525">
                            <a:noFill/>
                          </a:ln>
                        </wps:spPr>
                        <wps:txbx>
                          <w:txbxContent>
                            <w:p w14:paraId="4CA49501">
                              <w:pPr>
                                <w:keepNext w:val="0"/>
                                <w:keepLines w:val="0"/>
                                <w:pageBreakBefore w:val="0"/>
                                <w:widowControl w:val="0"/>
                                <w:kinsoku/>
                                <w:wordWrap/>
                                <w:overflowPunct/>
                                <w:topLinePunct w:val="0"/>
                                <w:bidi w:val="0"/>
                                <w:snapToGrid/>
                                <w:spacing w:line="240" w:lineRule="atLeast"/>
                                <w:textAlignment w:val="auto"/>
                                <w:rPr>
                                  <w:rFonts w:hint="default"/>
                                  <w:b/>
                                  <w:bCs/>
                                  <w:color w:val="C00000"/>
                                  <w:sz w:val="15"/>
                                  <w:szCs w:val="15"/>
                                  <w:lang w:val="en-US" w:eastAsia="zh-CN"/>
                                </w:rPr>
                              </w:pPr>
                              <w:r>
                                <w:rPr>
                                  <w:rFonts w:hint="eastAsia" w:ascii="Times New Roman" w:eastAsia="宋体"/>
                                  <w:b/>
                                  <w:bCs/>
                                  <w:color w:val="C00000"/>
                                  <w:sz w:val="15"/>
                                  <w:szCs w:val="15"/>
                                  <w:lang w:val="en-US" w:eastAsia="zh-CN"/>
                                </w:rPr>
                                <w:t>四号车间</w:t>
                              </w:r>
                            </w:p>
                          </w:txbxContent>
                        </wps:txbx>
                        <wps:bodyPr vert="horz" anchor="t" anchorCtr="0" upright="1"/>
                      </wps:wsp>
                      <wps:wsp>
                        <wps:cNvPr id="83" name="文本框 9"/>
                        <wps:cNvSpPr txBox="1"/>
                        <wps:spPr>
                          <a:xfrm>
                            <a:off x="9034" y="1983561"/>
                            <a:ext cx="1514" cy="478"/>
                          </a:xfrm>
                          <a:prstGeom prst="rect">
                            <a:avLst/>
                          </a:prstGeom>
                          <a:noFill/>
                          <a:ln w="9525">
                            <a:noFill/>
                          </a:ln>
                        </wps:spPr>
                        <wps:txbx>
                          <w:txbxContent>
                            <w:p w14:paraId="4FE95A7B">
                              <w:pPr>
                                <w:keepNext w:val="0"/>
                                <w:keepLines w:val="0"/>
                                <w:pageBreakBefore w:val="0"/>
                                <w:widowControl w:val="0"/>
                                <w:kinsoku/>
                                <w:wordWrap/>
                                <w:overflowPunct/>
                                <w:topLinePunct w:val="0"/>
                                <w:autoSpaceDE w:val="0"/>
                                <w:autoSpaceDN w:val="0"/>
                                <w:bidi w:val="0"/>
                                <w:adjustRightInd w:val="0"/>
                                <w:snapToGrid/>
                                <w:spacing w:line="240" w:lineRule="atLeast"/>
                                <w:jc w:val="both"/>
                                <w:textAlignment w:val="auto"/>
                                <w:rPr>
                                  <w:rFonts w:hint="default" w:ascii="宋体....." w:hAnsi="Times New Roman" w:eastAsia="宋体....." w:cs="宋体....."/>
                                  <w:b/>
                                  <w:bCs/>
                                  <w:color w:val="C00000"/>
                                  <w:kern w:val="2"/>
                                  <w:sz w:val="15"/>
                                  <w:szCs w:val="15"/>
                                  <w:lang w:val="en-US" w:eastAsia="zh-CN" w:bidi="ar-SA"/>
                                </w:rPr>
                              </w:pPr>
                              <w:r>
                                <w:rPr>
                                  <w:rFonts w:hint="eastAsia" w:ascii="宋体....." w:hAnsi="Times New Roman" w:eastAsia="宋体....." w:cs="宋体....."/>
                                  <w:b/>
                                  <w:bCs/>
                                  <w:color w:val="C00000"/>
                                  <w:kern w:val="2"/>
                                  <w:sz w:val="15"/>
                                  <w:szCs w:val="15"/>
                                  <w:lang w:val="en-US" w:eastAsia="zh-CN" w:bidi="ar-SA"/>
                                </w:rPr>
                                <w:t>漆粉涂装车间</w:t>
                              </w:r>
                            </w:p>
                          </w:txbxContent>
                        </wps:txbx>
                        <wps:bodyPr vert="horz" anchor="t" anchorCtr="0" upright="1"/>
                      </wps:wsp>
                    </wpg:wgp>
                  </a:graphicData>
                </a:graphic>
              </wp:anchor>
            </w:drawing>
          </mc:Choice>
          <mc:Fallback>
            <w:pict>
              <v:group id="组合 10" o:spid="_x0000_s1026" o:spt="203" style="position:absolute;left:0pt;margin-left:336.6pt;margin-top:169.2pt;height:36.6pt;width:76.7pt;z-index:251749376;mso-width-relative:page;mso-height-relative:page;" coordorigin="9034,1983295" coordsize="1534,744" o:gfxdata="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BVGDlTbAAAACwEAAA8AAAAAAAAAAQAgAAAAIgAA&#10;AGRycy9kb3ducmV2LnhtbFBLAQIUABQAAAAIAIdO4kCM115KdwIAAH0GAAAOAAAAAAAAAAEAIAAA&#10;ACoBAABkcnMvZTJvRG9jLnhtbFBLBQYAAAAABgAGAFkBAAATBgAAAAA=&#10;">
                <o:lock v:ext="edit" aspectratio="f"/>
                <v:shape id="文本框 7" o:spid="_x0000_s1026" o:spt="202" type="#_x0000_t202" style="position:absolute;left:9054;top:1983295;height:709;width:1514;" fillcolor="#FFFFFF" filled="t" stroked="f" coordsize="21600,21600" o:gfxdata="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cYGG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4CA49501">
                        <w:pPr>
                          <w:keepNext w:val="0"/>
                          <w:keepLines w:val="0"/>
                          <w:pageBreakBefore w:val="0"/>
                          <w:widowControl w:val="0"/>
                          <w:kinsoku/>
                          <w:wordWrap/>
                          <w:overflowPunct/>
                          <w:topLinePunct w:val="0"/>
                          <w:bidi w:val="0"/>
                          <w:snapToGrid/>
                          <w:spacing w:line="240" w:lineRule="atLeast"/>
                          <w:textAlignment w:val="auto"/>
                          <w:rPr>
                            <w:rFonts w:hint="default"/>
                            <w:b/>
                            <w:bCs/>
                            <w:color w:val="C00000"/>
                            <w:sz w:val="15"/>
                            <w:szCs w:val="15"/>
                            <w:lang w:val="en-US" w:eastAsia="zh-CN"/>
                          </w:rPr>
                        </w:pPr>
                        <w:r>
                          <w:rPr>
                            <w:rFonts w:hint="eastAsia" w:ascii="Times New Roman" w:eastAsia="宋体"/>
                            <w:b/>
                            <w:bCs/>
                            <w:color w:val="C00000"/>
                            <w:sz w:val="15"/>
                            <w:szCs w:val="15"/>
                            <w:lang w:val="en-US" w:eastAsia="zh-CN"/>
                          </w:rPr>
                          <w:t>四号车间</w:t>
                        </w:r>
                      </w:p>
                    </w:txbxContent>
                  </v:textbox>
                </v:shape>
                <v:shape id="文本框 9" o:spid="_x0000_s1026" o:spt="202" type="#_x0000_t202" style="position:absolute;left:9034;top:1983561;height:478;width:1514;" filled="f" stroked="f" coordsize="21600,21600" o:gfxdata="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rjQa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FE95A7B">
                        <w:pPr>
                          <w:keepNext w:val="0"/>
                          <w:keepLines w:val="0"/>
                          <w:pageBreakBefore w:val="0"/>
                          <w:widowControl w:val="0"/>
                          <w:kinsoku/>
                          <w:wordWrap/>
                          <w:overflowPunct/>
                          <w:topLinePunct w:val="0"/>
                          <w:autoSpaceDE w:val="0"/>
                          <w:autoSpaceDN w:val="0"/>
                          <w:bidi w:val="0"/>
                          <w:adjustRightInd w:val="0"/>
                          <w:snapToGrid/>
                          <w:spacing w:line="240" w:lineRule="atLeast"/>
                          <w:jc w:val="both"/>
                          <w:textAlignment w:val="auto"/>
                          <w:rPr>
                            <w:rFonts w:hint="default" w:ascii="宋体....." w:hAnsi="Times New Roman" w:eastAsia="宋体....." w:cs="宋体....."/>
                            <w:b/>
                            <w:bCs/>
                            <w:color w:val="C00000"/>
                            <w:kern w:val="2"/>
                            <w:sz w:val="15"/>
                            <w:szCs w:val="15"/>
                            <w:lang w:val="en-US" w:eastAsia="zh-CN" w:bidi="ar-SA"/>
                          </w:rPr>
                        </w:pPr>
                        <w:r>
                          <w:rPr>
                            <w:rFonts w:hint="eastAsia" w:ascii="宋体....." w:hAnsi="Times New Roman" w:eastAsia="宋体....." w:cs="宋体....."/>
                            <w:b/>
                            <w:bCs/>
                            <w:color w:val="C00000"/>
                            <w:kern w:val="2"/>
                            <w:sz w:val="15"/>
                            <w:szCs w:val="15"/>
                            <w:lang w:val="en-US" w:eastAsia="zh-CN" w:bidi="ar-SA"/>
                          </w:rPr>
                          <w:t>漆粉涂装车间</w:t>
                        </w:r>
                      </w:p>
                    </w:txbxContent>
                  </v:textbox>
                </v:shape>
              </v:group>
            </w:pict>
          </mc:Fallback>
        </mc:AlternateContent>
      </w:r>
      <w:r>
        <w:rPr>
          <w:color w:val="auto"/>
          <w:sz w:val="21"/>
          <w:highlight w:val="none"/>
        </w:rPr>
        <mc:AlternateContent>
          <mc:Choice Requires="wps">
            <w:drawing>
              <wp:anchor distT="0" distB="0" distL="114300" distR="114300" simplePos="0" relativeHeight="251748352" behindDoc="0" locked="0" layoutInCell="1" allowOverlap="1">
                <wp:simplePos x="0" y="0"/>
                <wp:positionH relativeFrom="column">
                  <wp:posOffset>2929255</wp:posOffset>
                </wp:positionH>
                <wp:positionV relativeFrom="paragraph">
                  <wp:posOffset>3103245</wp:posOffset>
                </wp:positionV>
                <wp:extent cx="1087755" cy="316230"/>
                <wp:effectExtent l="0" t="0" r="0" b="0"/>
                <wp:wrapNone/>
                <wp:docPr id="81" name="文本框 176"/>
                <wp:cNvGraphicFramePr/>
                <a:graphic xmlns:a="http://schemas.openxmlformats.org/drawingml/2006/main">
                  <a:graphicData uri="http://schemas.microsoft.com/office/word/2010/wordprocessingShape">
                    <wps:wsp>
                      <wps:cNvSpPr txBox="1"/>
                      <wps:spPr>
                        <a:xfrm>
                          <a:off x="0" y="0"/>
                          <a:ext cx="1087755" cy="316230"/>
                        </a:xfrm>
                        <a:prstGeom prst="rect">
                          <a:avLst/>
                        </a:prstGeom>
                        <a:noFill/>
                        <a:ln w="12700">
                          <a:noFill/>
                        </a:ln>
                      </wps:spPr>
                      <wps:txbx>
                        <w:txbxContent>
                          <w:p w14:paraId="62C3292C">
                            <w:pPr>
                              <w:rPr>
                                <w:rFonts w:hint="default" w:ascii="Times New Roman" w:hAnsi="Times New Roman" w:eastAsia="宋体" w:cs="Times New Roman"/>
                                <w:b/>
                                <w:bCs/>
                                <w:color w:val="FF0000"/>
                                <w:sz w:val="11"/>
                                <w:szCs w:val="11"/>
                                <w:highlight w:val="lightGray"/>
                                <w:lang w:val="en-US" w:eastAsia="zh-CN"/>
                              </w:rPr>
                            </w:pPr>
                            <w:r>
                              <w:rPr>
                                <w:rFonts w:hint="eastAsia" w:ascii="Times New Roman" w:hAnsi="Times New Roman" w:eastAsia="宋体" w:cs="Times New Roman"/>
                                <w:b/>
                                <w:bCs/>
                                <w:color w:val="FF0000"/>
                                <w:sz w:val="11"/>
                                <w:szCs w:val="11"/>
                                <w:highlight w:val="none"/>
                                <w:lang w:val="en-US" w:eastAsia="zh-CN"/>
                              </w:rPr>
                              <w:t>（开料、冲压车间）</w:t>
                            </w:r>
                          </w:p>
                        </w:txbxContent>
                      </wps:txbx>
                      <wps:bodyPr vert="horz" wrap="square" anchor="t" anchorCtr="0" upright="0"/>
                    </wps:wsp>
                  </a:graphicData>
                </a:graphic>
              </wp:anchor>
            </w:drawing>
          </mc:Choice>
          <mc:Fallback>
            <w:pict>
              <v:shape id="文本框 176" o:spid="_x0000_s1026" o:spt="202" type="#_x0000_t202" style="position:absolute;left:0pt;margin-left:230.65pt;margin-top:244.35pt;height:24.9pt;width:85.65pt;z-index:251748352;mso-width-relative:page;mso-height-relative:page;" filled="f" stroked="f" coordsize="21600,21600" o:gfxdata="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U5Jsw2gAAAAsBAAAPAAAAAAAA&#10;AAEAIAAAACIAAABkcnMvZG93bnJldi54bWxQSwECFAAUAAAACACHTuJAVOrfkNcBAACOAwAADgAA&#10;AAAAAAABACAAAAApAQAAZHJzL2Uyb0RvYy54bWxQSwUGAAAAAAYABgBZAQAAcgUAAAAA&#10;">
                <v:fill on="f" focussize="0,0"/>
                <v:stroke on="f" weight="1pt"/>
                <v:imagedata o:title=""/>
                <o:lock v:ext="edit" aspectratio="f"/>
                <v:textbox>
                  <w:txbxContent>
                    <w:p w14:paraId="62C3292C">
                      <w:pPr>
                        <w:rPr>
                          <w:rFonts w:hint="default" w:ascii="Times New Roman" w:hAnsi="Times New Roman" w:eastAsia="宋体" w:cs="Times New Roman"/>
                          <w:b/>
                          <w:bCs/>
                          <w:color w:val="FF0000"/>
                          <w:sz w:val="11"/>
                          <w:szCs w:val="11"/>
                          <w:highlight w:val="lightGray"/>
                          <w:lang w:val="en-US" w:eastAsia="zh-CN"/>
                        </w:rPr>
                      </w:pPr>
                      <w:r>
                        <w:rPr>
                          <w:rFonts w:hint="eastAsia" w:ascii="Times New Roman" w:hAnsi="Times New Roman" w:eastAsia="宋体" w:cs="Times New Roman"/>
                          <w:b/>
                          <w:bCs/>
                          <w:color w:val="FF0000"/>
                          <w:sz w:val="11"/>
                          <w:szCs w:val="11"/>
                          <w:highlight w:val="none"/>
                          <w:lang w:val="en-US" w:eastAsia="zh-CN"/>
                        </w:rPr>
                        <w:t>（开料、冲压车间）</w:t>
                      </w:r>
                    </w:p>
                  </w:txbxContent>
                </v:textbox>
              </v:shape>
            </w:pict>
          </mc:Fallback>
        </mc:AlternateContent>
      </w:r>
      <w:r>
        <w:rPr>
          <w:color w:val="auto"/>
          <w:sz w:val="21"/>
          <w:highlight w:val="none"/>
        </w:rPr>
        <mc:AlternateContent>
          <mc:Choice Requires="wps">
            <w:drawing>
              <wp:anchor distT="0" distB="0" distL="114300" distR="114300" simplePos="0" relativeHeight="251734016" behindDoc="0" locked="0" layoutInCell="1" allowOverlap="1">
                <wp:simplePos x="0" y="0"/>
                <wp:positionH relativeFrom="column">
                  <wp:posOffset>4454525</wp:posOffset>
                </wp:positionH>
                <wp:positionV relativeFrom="paragraph">
                  <wp:posOffset>1600835</wp:posOffset>
                </wp:positionV>
                <wp:extent cx="1688465" cy="316230"/>
                <wp:effectExtent l="0" t="0" r="0" b="0"/>
                <wp:wrapNone/>
                <wp:docPr id="67" name="文本框 149"/>
                <wp:cNvGraphicFramePr/>
                <a:graphic xmlns:a="http://schemas.openxmlformats.org/drawingml/2006/main">
                  <a:graphicData uri="http://schemas.microsoft.com/office/word/2010/wordprocessingShape">
                    <wps:wsp>
                      <wps:cNvSpPr txBox="1"/>
                      <wps:spPr>
                        <a:xfrm>
                          <a:off x="0" y="0"/>
                          <a:ext cx="1688465" cy="316230"/>
                        </a:xfrm>
                        <a:prstGeom prst="rect">
                          <a:avLst/>
                        </a:prstGeom>
                        <a:noFill/>
                        <a:ln w="12700">
                          <a:noFill/>
                        </a:ln>
                      </wps:spPr>
                      <wps:txbx>
                        <w:txbxContent>
                          <w:p w14:paraId="63B04C96">
                            <w:pPr>
                              <w:rPr>
                                <w:rFonts w:hint="default" w:ascii="Times New Roman" w:hAnsi="Times New Roman" w:eastAsia="宋体" w:cs="Times New Roman"/>
                                <w:b/>
                                <w:bCs/>
                                <w:color w:val="FF0000"/>
                                <w:sz w:val="15"/>
                                <w:szCs w:val="15"/>
                                <w:lang w:val="en-US" w:eastAsia="zh-CN"/>
                              </w:rPr>
                            </w:pPr>
                            <w:r>
                              <w:rPr>
                                <w:rFonts w:hint="eastAsia" w:ascii="Times New Roman" w:eastAsia="宋体"/>
                                <w:b/>
                                <w:bCs/>
                                <w:color w:val="FF0000"/>
                                <w:sz w:val="15"/>
                                <w:szCs w:val="15"/>
                                <w:lang w:val="en-US" w:eastAsia="zh-CN"/>
                              </w:rPr>
                              <w:t>五号车间</w:t>
                            </w:r>
                            <w:r>
                              <w:rPr>
                                <w:rFonts w:hint="default" w:ascii="Times New Roman" w:hAnsi="Times New Roman" w:eastAsia="宋体" w:cs="Times New Roman"/>
                                <w:b/>
                                <w:bCs/>
                                <w:color w:val="FF0000"/>
                                <w:sz w:val="15"/>
                                <w:szCs w:val="15"/>
                                <w:lang w:val="en-US" w:eastAsia="zh-CN"/>
                              </w:rPr>
                              <w:t>表面预处理车</w:t>
                            </w:r>
                            <w:r>
                              <w:rPr>
                                <w:rFonts w:hint="eastAsia" w:ascii="Times New Roman" w:hAnsi="Times New Roman" w:eastAsia="宋体" w:cs="Times New Roman"/>
                                <w:b/>
                                <w:bCs/>
                                <w:color w:val="FF0000"/>
                                <w:sz w:val="15"/>
                                <w:szCs w:val="15"/>
                                <w:lang w:val="en-US" w:eastAsia="zh-CN"/>
                              </w:rPr>
                              <w:t>间</w:t>
                            </w:r>
                          </w:p>
                        </w:txbxContent>
                      </wps:txbx>
                      <wps:bodyPr vert="horz" wrap="square" anchor="t" anchorCtr="0" upright="0"/>
                    </wps:wsp>
                  </a:graphicData>
                </a:graphic>
              </wp:anchor>
            </w:drawing>
          </mc:Choice>
          <mc:Fallback>
            <w:pict>
              <v:shape id="文本框 149" o:spid="_x0000_s1026" o:spt="202" type="#_x0000_t202" style="position:absolute;left:0pt;margin-left:350.75pt;margin-top:126.05pt;height:24.9pt;width:132.95pt;z-index:251734016;mso-width-relative:page;mso-height-relative:page;" filled="f" stroked="f" coordsize="21600,21600" o:gfxdata="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x0suNoAAAALAQAADwAAAAAA&#10;AAABACAAAAAiAAAAZHJzL2Rvd25yZXYueG1sUEsBAhQAFAAAAAgAh07iQOzTFRzYAQAAjgMAAA4A&#10;AAAAAAAAAQAgAAAAKQEAAGRycy9lMm9Eb2MueG1sUEsFBgAAAAAGAAYAWQEAAHMFAAAAAA==&#10;">
                <v:fill on="f" focussize="0,0"/>
                <v:stroke on="f" weight="1pt"/>
                <v:imagedata o:title=""/>
                <o:lock v:ext="edit" aspectratio="f"/>
                <v:textbox>
                  <w:txbxContent>
                    <w:p w14:paraId="63B04C96">
                      <w:pPr>
                        <w:rPr>
                          <w:rFonts w:hint="default" w:ascii="Times New Roman" w:hAnsi="Times New Roman" w:eastAsia="宋体" w:cs="Times New Roman"/>
                          <w:b/>
                          <w:bCs/>
                          <w:color w:val="FF0000"/>
                          <w:sz w:val="15"/>
                          <w:szCs w:val="15"/>
                          <w:lang w:val="en-US" w:eastAsia="zh-CN"/>
                        </w:rPr>
                      </w:pPr>
                      <w:r>
                        <w:rPr>
                          <w:rFonts w:hint="eastAsia" w:ascii="Times New Roman" w:eastAsia="宋体"/>
                          <w:b/>
                          <w:bCs/>
                          <w:color w:val="FF0000"/>
                          <w:sz w:val="15"/>
                          <w:szCs w:val="15"/>
                          <w:lang w:val="en-US" w:eastAsia="zh-CN"/>
                        </w:rPr>
                        <w:t>五号车间</w:t>
                      </w:r>
                      <w:r>
                        <w:rPr>
                          <w:rFonts w:hint="default" w:ascii="Times New Roman" w:hAnsi="Times New Roman" w:eastAsia="宋体" w:cs="Times New Roman"/>
                          <w:b/>
                          <w:bCs/>
                          <w:color w:val="FF0000"/>
                          <w:sz w:val="15"/>
                          <w:szCs w:val="15"/>
                          <w:lang w:val="en-US" w:eastAsia="zh-CN"/>
                        </w:rPr>
                        <w:t>表面预处理车</w:t>
                      </w:r>
                      <w:r>
                        <w:rPr>
                          <w:rFonts w:hint="eastAsia" w:ascii="Times New Roman" w:hAnsi="Times New Roman" w:eastAsia="宋体" w:cs="Times New Roman"/>
                          <w:b/>
                          <w:bCs/>
                          <w:color w:val="FF0000"/>
                          <w:sz w:val="15"/>
                          <w:szCs w:val="15"/>
                          <w:lang w:val="en-US" w:eastAsia="zh-CN"/>
                        </w:rPr>
                        <w:t>间</w:t>
                      </w:r>
                    </w:p>
                  </w:txbxContent>
                </v:textbox>
              </v:shape>
            </w:pict>
          </mc:Fallback>
        </mc:AlternateContent>
      </w:r>
      <w:r>
        <w:rPr>
          <w:color w:val="auto"/>
          <w:sz w:val="18"/>
          <w:highlight w:val="none"/>
        </w:rPr>
        <mc:AlternateContent>
          <mc:Choice Requires="wps">
            <w:drawing>
              <wp:anchor distT="0" distB="0" distL="114300" distR="114300" simplePos="0" relativeHeight="251706368" behindDoc="0" locked="0" layoutInCell="1" allowOverlap="1">
                <wp:simplePos x="0" y="0"/>
                <wp:positionH relativeFrom="column">
                  <wp:posOffset>4060190</wp:posOffset>
                </wp:positionH>
                <wp:positionV relativeFrom="paragraph">
                  <wp:posOffset>4524375</wp:posOffset>
                </wp:positionV>
                <wp:extent cx="920115" cy="345440"/>
                <wp:effectExtent l="4445" t="4445" r="8890" b="12065"/>
                <wp:wrapNone/>
                <wp:docPr id="53" name="文本框 1862"/>
                <wp:cNvGraphicFramePr/>
                <a:graphic xmlns:a="http://schemas.openxmlformats.org/drawingml/2006/main">
                  <a:graphicData uri="http://schemas.microsoft.com/office/word/2010/wordprocessingShape">
                    <wps:wsp>
                      <wps:cNvSpPr txBox="1"/>
                      <wps:spPr>
                        <a:xfrm>
                          <a:off x="0" y="0"/>
                          <a:ext cx="920115" cy="345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D3143E">
                            <w:pPr>
                              <w:rPr>
                                <w:rFonts w:hint="default" w:eastAsia="宋体"/>
                                <w:b/>
                                <w:bCs/>
                                <w:highlight w:val="yellow"/>
                                <w:lang w:val="en-US" w:eastAsia="zh-CN"/>
                              </w:rPr>
                            </w:pPr>
                            <w:r>
                              <w:rPr>
                                <w:rFonts w:hint="eastAsia" w:eastAsia="宋体"/>
                                <w:b/>
                                <w:bCs/>
                                <w:highlight w:val="yellow"/>
                                <w:lang w:val="en-US" w:eastAsia="zh-CN"/>
                              </w:rPr>
                              <w:t>接市政管网</w:t>
                            </w:r>
                          </w:p>
                        </w:txbxContent>
                      </wps:txbx>
                      <wps:bodyPr vert="horz" wrap="square" anchor="t" anchorCtr="0" upright="1"/>
                    </wps:wsp>
                  </a:graphicData>
                </a:graphic>
              </wp:anchor>
            </w:drawing>
          </mc:Choice>
          <mc:Fallback>
            <w:pict>
              <v:shape id="文本框 1862" o:spid="_x0000_s1026" o:spt="202" type="#_x0000_t202" style="position:absolute;left:0pt;margin-left:319.7pt;margin-top:356.25pt;height:27.2pt;width:72.45pt;z-index:251706368;mso-width-relative:page;mso-height-relative:page;" fillcolor="#FFFFFF" filled="t" stroked="t" coordsize="21600,21600" o:gfxdata="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500N02wAAAAsBAAAPAAAAAAAAAAEAIAAAACIAAABkcnMvZG93bnJldi54bWxQ&#10;SwECFAAUAAAACACHTuJAXVVrXS0CAABsBAAADgAAAAAAAAABACAAAAAqAQAAZHJzL2Uyb0RvYy54&#10;bWxQSwUGAAAAAAYABgBZAQAAyQUAAAAA&#10;">
                <v:fill on="t" focussize="0,0"/>
                <v:stroke color="#000000" joinstyle="miter"/>
                <v:imagedata o:title=""/>
                <o:lock v:ext="edit" aspectratio="f"/>
                <v:textbox>
                  <w:txbxContent>
                    <w:p w14:paraId="79D3143E">
                      <w:pPr>
                        <w:rPr>
                          <w:rFonts w:hint="default" w:eastAsia="宋体"/>
                          <w:b/>
                          <w:bCs/>
                          <w:highlight w:val="yellow"/>
                          <w:lang w:val="en-US" w:eastAsia="zh-CN"/>
                        </w:rPr>
                      </w:pPr>
                      <w:r>
                        <w:rPr>
                          <w:rFonts w:hint="eastAsia" w:eastAsia="宋体"/>
                          <w:b/>
                          <w:bCs/>
                          <w:highlight w:val="yellow"/>
                          <w:lang w:val="en-US" w:eastAsia="zh-CN"/>
                        </w:rPr>
                        <w:t>接市政管网</w:t>
                      </w:r>
                    </w:p>
                  </w:txbxContent>
                </v:textbox>
              </v:shape>
            </w:pict>
          </mc:Fallback>
        </mc:AlternateContent>
      </w:r>
      <w:r>
        <w:rPr>
          <w:color w:val="auto"/>
          <w:sz w:val="18"/>
          <w:highlight w:val="none"/>
        </w:rPr>
        <mc:AlternateContent>
          <mc:Choice Requires="wps">
            <w:drawing>
              <wp:anchor distT="0" distB="0" distL="114300" distR="114300" simplePos="0" relativeHeight="251705344" behindDoc="0" locked="0" layoutInCell="1" allowOverlap="1">
                <wp:simplePos x="0" y="0"/>
                <wp:positionH relativeFrom="column">
                  <wp:posOffset>3898900</wp:posOffset>
                </wp:positionH>
                <wp:positionV relativeFrom="paragraph">
                  <wp:posOffset>4587240</wp:posOffset>
                </wp:positionV>
                <wp:extent cx="180975" cy="190500"/>
                <wp:effectExtent l="4445" t="4445" r="5080" b="14605"/>
                <wp:wrapNone/>
                <wp:docPr id="52" name="自选图形 8"/>
                <wp:cNvGraphicFramePr/>
                <a:graphic xmlns:a="http://schemas.openxmlformats.org/drawingml/2006/main">
                  <a:graphicData uri="http://schemas.microsoft.com/office/word/2010/wordprocessingShape">
                    <wps:wsp>
                      <wps:cNvSpPr/>
                      <wps:spPr>
                        <a:xfrm>
                          <a:off x="0" y="0"/>
                          <a:ext cx="180975" cy="1905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自选图形 8" o:spid="_x0000_s1026" o:spt="100" style="position:absolute;left:0pt;margin-left:307pt;margin-top:361.2pt;height:15pt;width:14.25pt;z-index:251705344;mso-width-relative:page;mso-height-relative:page;" fillcolor="#FF0000" filled="t" stroked="t" coordsize="21600,21600" o:gfxdata="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JvmG2XYAAAACwEAAA8AAAAAAAAAAQAg&#10;AAAAIgAAAGRycy9kb3ducmV2LnhtbFBLAQIUABQAAAAIAIdO4kAiI18KZAMAAHgJAAAOAAAAAAAA&#10;AAEAIAAAACcBAABkcnMvZTJvRG9jLnhtbFBLBQYAAAAABgAGAFkBAAD9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39136" behindDoc="0" locked="0" layoutInCell="1" allowOverlap="1">
                <wp:simplePos x="0" y="0"/>
                <wp:positionH relativeFrom="column">
                  <wp:posOffset>5069205</wp:posOffset>
                </wp:positionH>
                <wp:positionV relativeFrom="paragraph">
                  <wp:posOffset>1155065</wp:posOffset>
                </wp:positionV>
                <wp:extent cx="190500" cy="180975"/>
                <wp:effectExtent l="3175" t="3175" r="15875" b="6350"/>
                <wp:wrapNone/>
                <wp:docPr id="72" name="直线 155"/>
                <wp:cNvGraphicFramePr/>
                <a:graphic xmlns:a="http://schemas.openxmlformats.org/drawingml/2006/main">
                  <a:graphicData uri="http://schemas.microsoft.com/office/word/2010/wordprocessingShape">
                    <wps:wsp>
                      <wps:cNvCnPr/>
                      <wps:spPr>
                        <a:xfrm>
                          <a:off x="0" y="0"/>
                          <a:ext cx="190500" cy="1809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5" o:spid="_x0000_s1026" o:spt="20" style="position:absolute;left:0pt;margin-left:399.15pt;margin-top:90.95pt;height:14.25pt;width:15pt;z-index:251739136;mso-width-relative:page;mso-height-relative:page;" filled="f" stroked="t" coordsize="21600,21600" o:gfxdata="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geLs9gAAAALAQAADwAAAAAAAAABACAAAAAiAAAAZHJzL2Rvd25yZXYueG1sUEsBAhQAFAAA&#10;AAgAh07iQFnMrSnvAQAA4gMAAA4AAAAAAAAAAQAgAAAAJwEAAGRycy9lMm9Eb2MueG1sUEsFBgAA&#10;AAAGAAYAWQEAAIgFA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699200" behindDoc="0" locked="0" layoutInCell="1" allowOverlap="1">
                <wp:simplePos x="0" y="0"/>
                <wp:positionH relativeFrom="column">
                  <wp:posOffset>4645025</wp:posOffset>
                </wp:positionH>
                <wp:positionV relativeFrom="paragraph">
                  <wp:posOffset>847090</wp:posOffset>
                </wp:positionV>
                <wp:extent cx="596265" cy="307975"/>
                <wp:effectExtent l="4445" t="4445" r="8890" b="11430"/>
                <wp:wrapNone/>
                <wp:docPr id="46" name="文本框 1862"/>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B5CF8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wps:txbx>
                      <wps:bodyPr wrap="square" upright="1"/>
                    </wps:wsp>
                  </a:graphicData>
                </a:graphic>
              </wp:anchor>
            </w:drawing>
          </mc:Choice>
          <mc:Fallback>
            <w:pict>
              <v:shape id="文本框 1862" o:spid="_x0000_s1026" o:spt="202" type="#_x0000_t202" style="position:absolute;left:0pt;margin-left:365.75pt;margin-top:66.7pt;height:24.25pt;width:46.95pt;z-index:251699200;mso-width-relative:page;mso-height-relative:page;" fillcolor="#FFFFFF" filled="t" stroked="t" coordsize="21600,21600" o:gfxdata="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ZyoITaAAAACwEA&#10;AA8AAAAAAAAAAQAgAAAAIgAAAGRycy9kb3ducmV2LnhtbFBLAQIUABQAAAAIAIdO4kDUdYm4GAIA&#10;AEcEAAAOAAAAAAAAAAEAIAAAACkBAABkcnMvZTJvRG9jLnhtbFBLBQYAAAAABgAGAFkBAACzBQAA&#10;AAA=&#10;">
                <v:fill on="t" focussize="0,0"/>
                <v:stroke color="#000000" joinstyle="miter"/>
                <v:imagedata o:title=""/>
                <o:lock v:ext="edit" aspectratio="f"/>
                <v:textbox>
                  <w:txbxContent>
                    <w:p w14:paraId="05B5CF8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v:textbox>
              </v:shape>
            </w:pict>
          </mc:Fallback>
        </mc:AlternateContent>
      </w:r>
      <w:r>
        <w:rPr>
          <w:color w:val="auto"/>
          <w:sz w:val="18"/>
          <w:highlight w:val="none"/>
        </w:rPr>
        <mc:AlternateContent>
          <mc:Choice Requires="wps">
            <w:drawing>
              <wp:anchor distT="0" distB="0" distL="114300" distR="114300" simplePos="0" relativeHeight="251676672" behindDoc="0" locked="0" layoutInCell="1" allowOverlap="1">
                <wp:simplePos x="0" y="0"/>
                <wp:positionH relativeFrom="column">
                  <wp:posOffset>5384165</wp:posOffset>
                </wp:positionH>
                <wp:positionV relativeFrom="paragraph">
                  <wp:posOffset>930275</wp:posOffset>
                </wp:positionV>
                <wp:extent cx="596265" cy="307975"/>
                <wp:effectExtent l="4445" t="4445" r="8890" b="11430"/>
                <wp:wrapNone/>
                <wp:docPr id="20" name="文本框 1862"/>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09014B">
                            <w:pPr>
                              <w:rPr>
                                <w:rFonts w:hint="default" w:eastAsia="宋体"/>
                                <w:b/>
                                <w:bCs/>
                                <w:highlight w:val="yellow"/>
                                <w:lang w:val="en-US" w:eastAsia="zh-CN"/>
                              </w:rPr>
                            </w:pPr>
                            <w:r>
                              <w:rPr>
                                <w:rFonts w:hint="eastAsia" w:ascii="Times New Roman" w:eastAsia="宋体"/>
                                <w:b/>
                                <w:bCs/>
                                <w:highlight w:val="yellow"/>
                                <w:lang w:val="en-US" w:eastAsia="zh-CN"/>
                              </w:rPr>
                              <w:t>危废仓</w:t>
                            </w:r>
                            <w:r>
                              <w:rPr>
                                <w:color w:val="auto"/>
                              </w:rPr>
                              <w:drawing>
                                <wp:inline distT="0" distB="0" distL="114300" distR="114300">
                                  <wp:extent cx="12313285" cy="8655050"/>
                                  <wp:effectExtent l="0" t="0" r="12065" b="12700"/>
                                  <wp:docPr id="112"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50"/>
                                          <pic:cNvPicPr>
                                            <a:picLocks noChangeAspect="1"/>
                                          </pic:cNvPicPr>
                                        </pic:nvPicPr>
                                        <pic:blipFill>
                                          <a:blip r:embed="rId66"/>
                                          <a:stretch>
                                            <a:fillRect/>
                                          </a:stretch>
                                        </pic:blipFill>
                                        <pic:spPr>
                                          <a:xfrm>
                                            <a:off x="0" y="0"/>
                                            <a:ext cx="12313285" cy="8655050"/>
                                          </a:xfrm>
                                          <a:prstGeom prst="rect">
                                            <a:avLst/>
                                          </a:prstGeom>
                                          <a:noFill/>
                                          <a:ln>
                                            <a:noFill/>
                                          </a:ln>
                                        </pic:spPr>
                                      </pic:pic>
                                    </a:graphicData>
                                  </a:graphic>
                                </wp:inline>
                              </w:drawing>
                            </w:r>
                          </w:p>
                        </w:txbxContent>
                      </wps:txbx>
                      <wps:bodyPr vert="horz" wrap="square" anchor="t" anchorCtr="0" upright="1"/>
                    </wps:wsp>
                  </a:graphicData>
                </a:graphic>
              </wp:anchor>
            </w:drawing>
          </mc:Choice>
          <mc:Fallback>
            <w:pict>
              <v:shape id="文本框 1862" o:spid="_x0000_s1026" o:spt="202" type="#_x0000_t202" style="position:absolute;left:0pt;margin-left:423.95pt;margin-top:73.25pt;height:24.25pt;width:46.95pt;z-index:251676672;mso-width-relative:page;mso-height-relative:page;" fillcolor="#FFFFFF" filled="t" stroked="t" coordsize="21600,21600" o:gfxdata="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x12f/2QAAAAsBAAAPAAAAAAAAAAEAIAAAACIAAABkcnMvZG93bnJldi54bWxQSwEC&#10;FAAUAAAACACHTuJAk3DewCwCAABsBAAADgAAAAAAAAABACAAAAAoAQAAZHJzL2Uyb0RvYy54bWxQ&#10;SwUGAAAAAAYABgBZAQAAxgUAAAAA&#10;">
                <v:fill on="t" focussize="0,0"/>
                <v:stroke color="#000000" joinstyle="miter"/>
                <v:imagedata o:title=""/>
                <o:lock v:ext="edit" aspectratio="f"/>
                <v:textbox>
                  <w:txbxContent>
                    <w:p w14:paraId="5F09014B">
                      <w:pPr>
                        <w:rPr>
                          <w:rFonts w:hint="default" w:eastAsia="宋体"/>
                          <w:b/>
                          <w:bCs/>
                          <w:highlight w:val="yellow"/>
                          <w:lang w:val="en-US" w:eastAsia="zh-CN"/>
                        </w:rPr>
                      </w:pPr>
                      <w:r>
                        <w:rPr>
                          <w:rFonts w:hint="eastAsia" w:ascii="Times New Roman" w:eastAsia="宋体"/>
                          <w:b/>
                          <w:bCs/>
                          <w:highlight w:val="yellow"/>
                          <w:lang w:val="en-US" w:eastAsia="zh-CN"/>
                        </w:rPr>
                        <w:t>危废仓</w:t>
                      </w:r>
                      <w:r>
                        <w:rPr>
                          <w:color w:val="auto"/>
                        </w:rPr>
                        <w:drawing>
                          <wp:inline distT="0" distB="0" distL="114300" distR="114300">
                            <wp:extent cx="12313285" cy="8655050"/>
                            <wp:effectExtent l="0" t="0" r="12065" b="12700"/>
                            <wp:docPr id="112"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50"/>
                                    <pic:cNvPicPr>
                                      <a:picLocks noChangeAspect="1"/>
                                    </pic:cNvPicPr>
                                  </pic:nvPicPr>
                                  <pic:blipFill>
                                    <a:blip r:embed="rId66"/>
                                    <a:stretch>
                                      <a:fillRect/>
                                    </a:stretch>
                                  </pic:blipFill>
                                  <pic:spPr>
                                    <a:xfrm>
                                      <a:off x="0" y="0"/>
                                      <a:ext cx="12313285" cy="8655050"/>
                                    </a:xfrm>
                                    <a:prstGeom prst="rect">
                                      <a:avLst/>
                                    </a:prstGeom>
                                    <a:noFill/>
                                    <a:ln>
                                      <a:noFill/>
                                    </a:ln>
                                  </pic:spPr>
                                </pic:pic>
                              </a:graphicData>
                            </a:graphic>
                          </wp:inline>
                        </w:drawing>
                      </w:r>
                    </w:p>
                  </w:txbxContent>
                </v:textbox>
              </v:shape>
            </w:pict>
          </mc:Fallback>
        </mc:AlternateContent>
      </w:r>
      <w:r>
        <w:rPr>
          <w:color w:val="auto"/>
          <w:sz w:val="18"/>
          <w:highlight w:val="none"/>
        </w:rPr>
        <mc:AlternateContent>
          <mc:Choice Requires="wps">
            <w:drawing>
              <wp:anchor distT="0" distB="0" distL="114300" distR="114300" simplePos="0" relativeHeight="251738112" behindDoc="0" locked="0" layoutInCell="1" allowOverlap="1">
                <wp:simplePos x="0" y="0"/>
                <wp:positionH relativeFrom="column">
                  <wp:posOffset>5261610</wp:posOffset>
                </wp:positionH>
                <wp:positionV relativeFrom="paragraph">
                  <wp:posOffset>1338580</wp:posOffset>
                </wp:positionV>
                <wp:extent cx="146685" cy="104775"/>
                <wp:effectExtent l="5080" t="4445" r="19685" b="5080"/>
                <wp:wrapNone/>
                <wp:docPr id="71" name="矩形 1861"/>
                <wp:cNvGraphicFramePr/>
                <a:graphic xmlns:a="http://schemas.openxmlformats.org/drawingml/2006/main">
                  <a:graphicData uri="http://schemas.microsoft.com/office/word/2010/wordprocessingShape">
                    <wps:wsp>
                      <wps:cNvSpPr/>
                      <wps:spPr>
                        <a:xfrm>
                          <a:off x="0" y="0"/>
                          <a:ext cx="146685" cy="104775"/>
                        </a:xfrm>
                        <a:prstGeom prst="rect">
                          <a:avLst/>
                        </a:prstGeom>
                        <a:solidFill>
                          <a:srgbClr val="00B0F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1" o:spid="_x0000_s1026" o:spt="1" style="position:absolute;left:0pt;margin-left:414.3pt;margin-top:105.4pt;height:8.25pt;width:11.55pt;z-index:251738112;mso-width-relative:page;mso-height-relative:page;" fillcolor="#00B0F0" filled="t" stroked="t" coordsize="21600,21600" o:gfxdata="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i+dxH9cA&#10;AAALAQAADwAAAAAAAAABACAAAAAiAAAAZHJzL2Rvd25yZXYueG1sUEsBAhQAFAAAAAgAh07iQKoI&#10;DVUgAgAAVAQAAA4AAAAAAAAAAQAgAAAAJgEAAGRycy9lMm9Eb2MueG1sUEsFBgAAAAAGAAYAWQEA&#10;ALgFA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737088" behindDoc="0" locked="0" layoutInCell="1" allowOverlap="1">
                <wp:simplePos x="0" y="0"/>
                <wp:positionH relativeFrom="column">
                  <wp:posOffset>5423535</wp:posOffset>
                </wp:positionH>
                <wp:positionV relativeFrom="paragraph">
                  <wp:posOffset>1351915</wp:posOffset>
                </wp:positionV>
                <wp:extent cx="168910" cy="97790"/>
                <wp:effectExtent l="4445" t="4445" r="17145" b="12065"/>
                <wp:wrapNone/>
                <wp:docPr id="70" name="矩形 1861"/>
                <wp:cNvGraphicFramePr/>
                <a:graphic xmlns:a="http://schemas.openxmlformats.org/drawingml/2006/main">
                  <a:graphicData uri="http://schemas.microsoft.com/office/word/2010/wordprocessingShape">
                    <wps:wsp>
                      <wps:cNvSpPr/>
                      <wps:spPr>
                        <a:xfrm>
                          <a:off x="0" y="0"/>
                          <a:ext cx="168910" cy="97790"/>
                        </a:xfrm>
                        <a:prstGeom prst="rect">
                          <a:avLst/>
                        </a:prstGeom>
                        <a:solidFill>
                          <a:srgbClr val="00B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1" o:spid="_x0000_s1026" o:spt="1" style="position:absolute;left:0pt;margin-left:427.05pt;margin-top:106.45pt;height:7.7pt;width:13.3pt;z-index:251737088;mso-width-relative:page;mso-height-relative:page;" fillcolor="#00B050" filled="t" stroked="t" coordsize="21600,21600" o:gfxdata="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1VeuPXAAAA&#10;CwEAAA8AAAAAAAAAAQAgAAAAIgAAAGRycy9kb3ducmV2LnhtbFBLAQIUABQAAAAIAIdO4kCI+nCY&#10;HgIAAFMEAAAOAAAAAAAAAAEAIAAAACYBAABkcnMvZTJvRG9jLnhtbFBLBQYAAAAABgAGAFkBAAC2&#10;BQ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693056" behindDoc="0" locked="0" layoutInCell="1" allowOverlap="1">
                <wp:simplePos x="0" y="0"/>
                <wp:positionH relativeFrom="column">
                  <wp:posOffset>2656205</wp:posOffset>
                </wp:positionH>
                <wp:positionV relativeFrom="paragraph">
                  <wp:posOffset>3882390</wp:posOffset>
                </wp:positionV>
                <wp:extent cx="114300" cy="121920"/>
                <wp:effectExtent l="4445" t="4445" r="14605" b="6985"/>
                <wp:wrapNone/>
                <wp:docPr id="38" name="椭圆 2"/>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2" o:spid="_x0000_s1026" o:spt="3" type="#_x0000_t3" style="position:absolute;left:0pt;margin-left:209.15pt;margin-top:305.7pt;height:9.6pt;width:9pt;z-index:251693056;mso-width-relative:page;mso-height-relative:page;" fillcolor="#FF0000" filled="t" stroked="t" coordsize="21600,21600" o:gfxdata="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Za0eT2AAAAAsBAAAP&#10;AAAAAAAAAAEAIAAAACIAAABkcnMvZG93bnJldi54bWxQSwECFAAUAAAACACHTuJACPEVkxgCAABK&#10;BAAADgAAAAAAAAABACAAAAAnAQAAZHJzL2Uyb0RvYy54bWxQSwUGAAAAAAYABgBZAQAAsQU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95104" behindDoc="0" locked="0" layoutInCell="1" allowOverlap="1">
                <wp:simplePos x="0" y="0"/>
                <wp:positionH relativeFrom="column">
                  <wp:posOffset>2319020</wp:posOffset>
                </wp:positionH>
                <wp:positionV relativeFrom="paragraph">
                  <wp:posOffset>3966210</wp:posOffset>
                </wp:positionV>
                <wp:extent cx="710565" cy="353060"/>
                <wp:effectExtent l="0" t="0" r="0" b="0"/>
                <wp:wrapNone/>
                <wp:docPr id="40" name="文本框 4"/>
                <wp:cNvGraphicFramePr/>
                <a:graphic xmlns:a="http://schemas.openxmlformats.org/drawingml/2006/main">
                  <a:graphicData uri="http://schemas.microsoft.com/office/word/2010/wordprocessingShape">
                    <wps:wsp>
                      <wps:cNvSpPr txBox="1"/>
                      <wps:spPr>
                        <a:xfrm>
                          <a:off x="0" y="0"/>
                          <a:ext cx="710565" cy="353060"/>
                        </a:xfrm>
                        <a:prstGeom prst="rect">
                          <a:avLst/>
                        </a:prstGeom>
                        <a:noFill/>
                        <a:ln>
                          <a:noFill/>
                        </a:ln>
                      </wps:spPr>
                      <wps:txbx>
                        <w:txbxContent>
                          <w:p w14:paraId="7FDC4952">
                            <w:pPr>
                              <w:rPr>
                                <w:rFonts w:hint="default" w:eastAsia="宋体"/>
                                <w:b/>
                                <w:bCs/>
                                <w:highlight w:val="yellow"/>
                                <w:lang w:val="en-US" w:eastAsia="zh-CN"/>
                              </w:rPr>
                            </w:pPr>
                            <w:r>
                              <w:rPr>
                                <w:rFonts w:hint="eastAsia" w:ascii="Times New Roman" w:eastAsia="宋体"/>
                                <w:b/>
                                <w:bCs/>
                                <w:highlight w:val="yellow"/>
                                <w:lang w:val="en-US" w:eastAsia="zh-CN"/>
                              </w:rPr>
                              <w:t>DW002</w:t>
                            </w:r>
                          </w:p>
                        </w:txbxContent>
                      </wps:txbx>
                      <wps:bodyPr vert="horz" wrap="square" anchor="t" anchorCtr="0" upright="1"/>
                    </wps:wsp>
                  </a:graphicData>
                </a:graphic>
              </wp:anchor>
            </w:drawing>
          </mc:Choice>
          <mc:Fallback>
            <w:pict>
              <v:shape id="文本框 4" o:spid="_x0000_s1026" o:spt="202" type="#_x0000_t202" style="position:absolute;left:0pt;margin-left:182.6pt;margin-top:312.3pt;height:27.8pt;width:55.95pt;z-index:251695104;mso-width-relative:page;mso-height-relative:page;" filled="f" stroked="f" coordsize="21600,21600" o:gfxdata="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iCVh2QAAAAsBAAAPAAAAAAAAAAEAIAAAACIAAABk&#10;cnMvZG93bnJldi54bWxQSwECFAAUAAAACACHTuJALQliVcwBAACBAwAADgAAAAAAAAABACAAAAAo&#10;AQAAZHJzL2Uyb0RvYy54bWxQSwUGAAAAAAYABgBZAQAAZgUAAAAA&#10;">
                <v:fill on="f" focussize="0,0"/>
                <v:stroke on="f"/>
                <v:imagedata o:title=""/>
                <o:lock v:ext="edit" aspectratio="f"/>
                <v:textbox>
                  <w:txbxContent>
                    <w:p w14:paraId="7FDC4952">
                      <w:pPr>
                        <w:rPr>
                          <w:rFonts w:hint="default" w:eastAsia="宋体"/>
                          <w:b/>
                          <w:bCs/>
                          <w:highlight w:val="yellow"/>
                          <w:lang w:val="en-US" w:eastAsia="zh-CN"/>
                        </w:rPr>
                      </w:pPr>
                      <w:r>
                        <w:rPr>
                          <w:rFonts w:hint="eastAsia" w:ascii="Times New Roman" w:eastAsia="宋体"/>
                          <w:b/>
                          <w:bCs/>
                          <w:highlight w:val="yellow"/>
                          <w:lang w:val="en-US" w:eastAsia="zh-CN"/>
                        </w:rPr>
                        <w:t>DW002</w:t>
                      </w:r>
                    </w:p>
                  </w:txbxContent>
                </v:textbox>
              </v:shape>
            </w:pict>
          </mc:Fallback>
        </mc:AlternateContent>
      </w:r>
      <w:r>
        <w:rPr>
          <w:color w:val="auto"/>
          <w:sz w:val="18"/>
          <w:highlight w:val="none"/>
        </w:rPr>
        <mc:AlternateContent>
          <mc:Choice Requires="wps">
            <w:drawing>
              <wp:anchor distT="0" distB="0" distL="114300" distR="114300" simplePos="0" relativeHeight="251685888" behindDoc="0" locked="0" layoutInCell="1" allowOverlap="1">
                <wp:simplePos x="0" y="0"/>
                <wp:positionH relativeFrom="column">
                  <wp:posOffset>6132195</wp:posOffset>
                </wp:positionH>
                <wp:positionV relativeFrom="paragraph">
                  <wp:posOffset>4094480</wp:posOffset>
                </wp:positionV>
                <wp:extent cx="674370" cy="314325"/>
                <wp:effectExtent l="0" t="0" r="0" b="0"/>
                <wp:wrapNone/>
                <wp:docPr id="29" name="文本框 1882"/>
                <wp:cNvGraphicFramePr/>
                <a:graphic xmlns:a="http://schemas.openxmlformats.org/drawingml/2006/main">
                  <a:graphicData uri="http://schemas.microsoft.com/office/word/2010/wordprocessingShape">
                    <wps:wsp>
                      <wps:cNvSpPr txBox="1"/>
                      <wps:spPr>
                        <a:xfrm>
                          <a:off x="0" y="0"/>
                          <a:ext cx="674370" cy="314325"/>
                        </a:xfrm>
                        <a:prstGeom prst="rect">
                          <a:avLst/>
                        </a:prstGeom>
                        <a:noFill/>
                        <a:ln>
                          <a:noFill/>
                        </a:ln>
                      </wps:spPr>
                      <wps:txbx>
                        <w:txbxContent>
                          <w:p w14:paraId="42DF7F60">
                            <w:pPr>
                              <w:rPr>
                                <w:rFonts w:hint="default" w:eastAsia="宋体"/>
                                <w:b/>
                                <w:bCs/>
                                <w:highlight w:val="yellow"/>
                                <w:lang w:val="en-US" w:eastAsia="zh-CN"/>
                              </w:rPr>
                            </w:pPr>
                            <w:r>
                              <w:rPr>
                                <w:rFonts w:hint="eastAsia" w:ascii="Times New Roman" w:eastAsia="宋体"/>
                                <w:b/>
                                <w:bCs/>
                                <w:highlight w:val="yellow"/>
                                <w:lang w:val="en-US" w:eastAsia="zh-CN"/>
                              </w:rPr>
                              <w:t>DW001</w:t>
                            </w:r>
                          </w:p>
                        </w:txbxContent>
                      </wps:txbx>
                      <wps:bodyPr vert="horz" wrap="square" anchor="t" anchorCtr="0" upright="1"/>
                    </wps:wsp>
                  </a:graphicData>
                </a:graphic>
              </wp:anchor>
            </w:drawing>
          </mc:Choice>
          <mc:Fallback>
            <w:pict>
              <v:shape id="文本框 1882" o:spid="_x0000_s1026" o:spt="202" type="#_x0000_t202" style="position:absolute;left:0pt;margin-left:482.85pt;margin-top:322.4pt;height:24.75pt;width:53.1pt;z-index:251685888;mso-width-relative:page;mso-height-relative:page;" filled="f" stroked="f" coordsize="21600,21600" o:gfxdata="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ZI1y02QAAAAwBAAAPAAAAAAAAAAEAIAAAACIA&#10;AABkcnMvZG93bnJldi54bWxQSwECFAAUAAAACACHTuJAUCe97s8BAACEAwAADgAAAAAAAAABACAA&#10;AAAoAQAAZHJzL2Uyb0RvYy54bWxQSwUGAAAAAAYABgBZAQAAaQUAAAAA&#10;">
                <v:fill on="f" focussize="0,0"/>
                <v:stroke on="f"/>
                <v:imagedata o:title=""/>
                <o:lock v:ext="edit" aspectratio="f"/>
                <v:textbox>
                  <w:txbxContent>
                    <w:p w14:paraId="42DF7F60">
                      <w:pPr>
                        <w:rPr>
                          <w:rFonts w:hint="default" w:eastAsia="宋体"/>
                          <w:b/>
                          <w:bCs/>
                          <w:highlight w:val="yellow"/>
                          <w:lang w:val="en-US" w:eastAsia="zh-CN"/>
                        </w:rPr>
                      </w:pPr>
                      <w:r>
                        <w:rPr>
                          <w:rFonts w:hint="eastAsia" w:ascii="Times New Roman" w:eastAsia="宋体"/>
                          <w:b/>
                          <w:bCs/>
                          <w:highlight w:val="yellow"/>
                          <w:lang w:val="en-US" w:eastAsia="zh-CN"/>
                        </w:rPr>
                        <w:t>DW001</w:t>
                      </w:r>
                    </w:p>
                  </w:txbxContent>
                </v:textbox>
              </v:shape>
            </w:pict>
          </mc:Fallback>
        </mc:AlternateContent>
      </w:r>
      <w:r>
        <w:rPr>
          <w:color w:val="auto"/>
          <w:sz w:val="18"/>
          <w:highlight w:val="none"/>
        </w:rPr>
        <mc:AlternateContent>
          <mc:Choice Requires="wps">
            <w:drawing>
              <wp:anchor distT="0" distB="0" distL="114300" distR="114300" simplePos="0" relativeHeight="251694080" behindDoc="0" locked="0" layoutInCell="1" allowOverlap="1">
                <wp:simplePos x="0" y="0"/>
                <wp:positionH relativeFrom="column">
                  <wp:posOffset>5998845</wp:posOffset>
                </wp:positionH>
                <wp:positionV relativeFrom="paragraph">
                  <wp:posOffset>4148455</wp:posOffset>
                </wp:positionV>
                <wp:extent cx="114300" cy="121920"/>
                <wp:effectExtent l="4445" t="4445" r="14605" b="6985"/>
                <wp:wrapNone/>
                <wp:docPr id="39" name="椭圆 3"/>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FF0000"/>
                        </a:solidFill>
                        <a:ln w="9525" cap="flat" cmpd="sng">
                          <a:solidFill>
                            <a:srgbClr val="000000"/>
                          </a:solidFill>
                          <a:prstDash val="solid"/>
                          <a:headEnd type="none" w="med" len="med"/>
                          <a:tailEnd type="none" w="med" len="med"/>
                        </a:ln>
                      </wps:spPr>
                      <wps:bodyPr wrap="square" upright="1"/>
                    </wps:wsp>
                  </a:graphicData>
                </a:graphic>
              </wp:anchor>
            </w:drawing>
          </mc:Choice>
          <mc:Fallback>
            <w:pict>
              <v:shape id="椭圆 3" o:spid="_x0000_s1026" o:spt="3" type="#_x0000_t3" style="position:absolute;left:0pt;margin-left:472.35pt;margin-top:326.65pt;height:9.6pt;width:9pt;z-index:251694080;mso-width-relative:page;mso-height-relative:page;" fillcolor="#FF0000" filled="t" stroked="t" coordsize="21600,21600" o:gfxdata="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&#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0aO4x2gAAAAsBAAAPAAAAAAAAAAEAIAAAACIAAABk&#10;cnMvZG93bnJldi54bWxQSwECFAAUAAAACACHTuJAHmIqNQQCAAAlBAAADgAAAAAAAAABACAAAAAp&#10;AQAAZHJzL2Uyb0RvYy54bWxQSwUGAAAAAAYABgBZAQAAnwU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75648" behindDoc="0" locked="0" layoutInCell="1" allowOverlap="1">
                <wp:simplePos x="0" y="0"/>
                <wp:positionH relativeFrom="column">
                  <wp:posOffset>695960</wp:posOffset>
                </wp:positionH>
                <wp:positionV relativeFrom="paragraph">
                  <wp:posOffset>2012315</wp:posOffset>
                </wp:positionV>
                <wp:extent cx="1151255" cy="338455"/>
                <wp:effectExtent l="4445" t="4445" r="6350" b="19050"/>
                <wp:wrapNone/>
                <wp:docPr id="19" name="文本框 1860"/>
                <wp:cNvGraphicFramePr/>
                <a:graphic xmlns:a="http://schemas.openxmlformats.org/drawingml/2006/main">
                  <a:graphicData uri="http://schemas.microsoft.com/office/word/2010/wordprocessingShape">
                    <wps:wsp>
                      <wps:cNvSpPr txBox="1"/>
                      <wps:spPr>
                        <a:xfrm>
                          <a:off x="0" y="0"/>
                          <a:ext cx="1151255"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077B46">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wps:txbx>
                      <wps:bodyPr vert="horz" wrap="square" anchor="t" anchorCtr="0" upright="1"/>
                    </wps:wsp>
                  </a:graphicData>
                </a:graphic>
              </wp:anchor>
            </w:drawing>
          </mc:Choice>
          <mc:Fallback>
            <w:pict>
              <v:shape id="文本框 1860" o:spid="_x0000_s1026" o:spt="202" type="#_x0000_t202" style="position:absolute;left:0pt;margin-left:54.8pt;margin-top:158.45pt;height:26.65pt;width:90.65pt;z-index:251675648;mso-width-relative:page;mso-height-relative:page;" fillcolor="#FFFFFF" filled="t" stroked="t" coordsize="21600,21600" o:gfxdata="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JuxU9kAAAALAQAADwAAAAAAAAABACAAAAAiAAAAZHJzL2Rvd25yZXYueG1sUEsBAhQA&#10;FAAAAAgAh07iQDVDveIqAgAAbQQAAA4AAAAAAAAAAQAgAAAAKAEAAGRycy9lMm9Eb2MueG1sUEsF&#10;BgAAAAAGAAYAWQEAAMQFAAAAAA==&#10;">
                <v:fill on="t" focussize="0,0"/>
                <v:stroke color="#000000" joinstyle="miter"/>
                <v:imagedata o:title=""/>
                <o:lock v:ext="edit" aspectratio="f"/>
                <v:textbox>
                  <w:txbxContent>
                    <w:p w14:paraId="13077B46">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v:textbox>
              </v:shape>
            </w:pict>
          </mc:Fallback>
        </mc:AlternateContent>
      </w:r>
      <w:r>
        <w:rPr>
          <w:color w:val="auto"/>
          <w:sz w:val="18"/>
          <w:highlight w:val="none"/>
        </w:rPr>
        <mc:AlternateContent>
          <mc:Choice Requires="wps">
            <w:drawing>
              <wp:anchor distT="0" distB="0" distL="114300" distR="114300" simplePos="0" relativeHeight="251742208" behindDoc="0" locked="0" layoutInCell="1" allowOverlap="1">
                <wp:simplePos x="0" y="0"/>
                <wp:positionH relativeFrom="column">
                  <wp:posOffset>1517650</wp:posOffset>
                </wp:positionH>
                <wp:positionV relativeFrom="paragraph">
                  <wp:posOffset>1799590</wp:posOffset>
                </wp:positionV>
                <wp:extent cx="177800" cy="217170"/>
                <wp:effectExtent l="3810" t="3175" r="8890" b="8255"/>
                <wp:wrapNone/>
                <wp:docPr id="75" name="直线 158"/>
                <wp:cNvGraphicFramePr/>
                <a:graphic xmlns:a="http://schemas.openxmlformats.org/drawingml/2006/main">
                  <a:graphicData uri="http://schemas.microsoft.com/office/word/2010/wordprocessingShape">
                    <wps:wsp>
                      <wps:cNvCnPr/>
                      <wps:spPr>
                        <a:xfrm flipH="1">
                          <a:off x="0" y="0"/>
                          <a:ext cx="177800" cy="21717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8" o:spid="_x0000_s1026" o:spt="20" style="position:absolute;left:0pt;flip:x;margin-left:119.5pt;margin-top:141.7pt;height:17.1pt;width:14pt;z-index:251742208;mso-width-relative:page;mso-height-relative:page;" filled="f" stroked="t" coordsize="21600,21600" o:gfxdata="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diuhdkAAAALAQAADwAAAAAAAAABACAAAAAiAAAAZHJzL2Rvd25yZXYueG1s&#10;UEsBAhQAFAAAAAgAh07iQPHVodr3AQAA7AMAAA4AAAAAAAAAAQAgAAAAKAEAAGRycy9lMm9Eb2Mu&#10;eG1sUEsFBgAAAAAGAAYAWQEAAJEFA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674624" behindDoc="0" locked="0" layoutInCell="1" allowOverlap="1">
                <wp:simplePos x="0" y="0"/>
                <wp:positionH relativeFrom="column">
                  <wp:posOffset>1675765</wp:posOffset>
                </wp:positionH>
                <wp:positionV relativeFrom="paragraph">
                  <wp:posOffset>1530350</wp:posOffset>
                </wp:positionV>
                <wp:extent cx="149860" cy="272415"/>
                <wp:effectExtent l="5080" t="4445" r="16510" b="8890"/>
                <wp:wrapNone/>
                <wp:docPr id="18" name="矩形 1858"/>
                <wp:cNvGraphicFramePr/>
                <a:graphic xmlns:a="http://schemas.openxmlformats.org/drawingml/2006/main">
                  <a:graphicData uri="http://schemas.microsoft.com/office/word/2010/wordprocessingShape">
                    <wps:wsp>
                      <wps:cNvSpPr/>
                      <wps:spPr>
                        <a:xfrm>
                          <a:off x="0" y="0"/>
                          <a:ext cx="149860" cy="272415"/>
                        </a:xfrm>
                        <a:prstGeom prst="rect">
                          <a:avLst/>
                        </a:prstGeom>
                        <a:solidFill>
                          <a:srgbClr val="0070C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58" o:spid="_x0000_s1026" o:spt="1" style="position:absolute;left:0pt;margin-left:131.95pt;margin-top:120.5pt;height:21.45pt;width:11.8pt;z-index:251674624;mso-width-relative:page;mso-height-relative:page;" fillcolor="#0070C0" filled="t" stroked="t" coordsize="21600,21600" o:gfxdata="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0D&#10;zo/aAAAACwEAAA8AAAAAAAAAAQAgAAAAIgAAAGRycy9kb3ducmV2LnhtbFBLAQIUABQAAAAIAIdO&#10;4kAj0Q8dIQIAAFQEAAAOAAAAAAAAAAEAIAAAACkBAABkcnMvZTJvRG9jLnhtbFBLBQYAAAAABgAG&#10;AFkBAAC8BQ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688960" behindDoc="0" locked="0" layoutInCell="1" allowOverlap="1">
                <wp:simplePos x="0" y="0"/>
                <wp:positionH relativeFrom="column">
                  <wp:posOffset>6124575</wp:posOffset>
                </wp:positionH>
                <wp:positionV relativeFrom="paragraph">
                  <wp:posOffset>2791460</wp:posOffset>
                </wp:positionV>
                <wp:extent cx="596265" cy="314325"/>
                <wp:effectExtent l="0" t="0" r="0" b="0"/>
                <wp:wrapNone/>
                <wp:docPr id="34" name="文本框 1884"/>
                <wp:cNvGraphicFramePr/>
                <a:graphic xmlns:a="http://schemas.openxmlformats.org/drawingml/2006/main">
                  <a:graphicData uri="http://schemas.microsoft.com/office/word/2010/wordprocessingShape">
                    <wps:wsp>
                      <wps:cNvSpPr txBox="1"/>
                      <wps:spPr>
                        <a:xfrm>
                          <a:off x="0" y="0"/>
                          <a:ext cx="596265" cy="314325"/>
                        </a:xfrm>
                        <a:prstGeom prst="rect">
                          <a:avLst/>
                        </a:prstGeom>
                        <a:noFill/>
                        <a:ln>
                          <a:noFill/>
                        </a:ln>
                      </wps:spPr>
                      <wps:txbx>
                        <w:txbxContent>
                          <w:p w14:paraId="70122388">
                            <w:pPr>
                              <w:rPr>
                                <w:rFonts w:hint="default" w:eastAsia="宋体"/>
                                <w:b/>
                                <w:bCs/>
                                <w:highlight w:val="yellow"/>
                                <w:lang w:val="en-US" w:eastAsia="zh-CN"/>
                              </w:rPr>
                            </w:pPr>
                            <w:r>
                              <w:rPr>
                                <w:rFonts w:hint="eastAsia"/>
                                <w:b/>
                                <w:bCs/>
                                <w:highlight w:val="yellow"/>
                                <w:lang w:val="en-US" w:eastAsia="zh-CN"/>
                              </w:rPr>
                              <w:t>DA003</w:t>
                            </w:r>
                          </w:p>
                        </w:txbxContent>
                      </wps:txbx>
                      <wps:bodyPr wrap="square" upright="1"/>
                    </wps:wsp>
                  </a:graphicData>
                </a:graphic>
              </wp:anchor>
            </w:drawing>
          </mc:Choice>
          <mc:Fallback>
            <w:pict>
              <v:shape id="文本框 1884" o:spid="_x0000_s1026" o:spt="202" type="#_x0000_t202" style="position:absolute;left:0pt;margin-left:482.25pt;margin-top:219.8pt;height:24.75pt;width:46.95pt;z-index:251688960;mso-width-relative:page;mso-height-relative:page;" filled="f" stroked="f" coordsize="21600,21600" o:gfxdata="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kfJy/NgAAAAMAQAADwAAAAAAAAABACAAAAAiAAAAZHJzL2Rvd25yZXYueG1sUEsBAhQA&#10;FAAAAAgAh07iQHTVRSq5AQAAXwMAAA4AAAAAAAAAAQAgAAAAJwEAAGRycy9lMm9Eb2MueG1sUEsF&#10;BgAAAAAGAAYAWQEAAFIFAAAAAA==&#10;">
                <v:fill on="f" focussize="0,0"/>
                <v:stroke on="f"/>
                <v:imagedata o:title=""/>
                <o:lock v:ext="edit" aspectratio="f"/>
                <v:textbox>
                  <w:txbxContent>
                    <w:p w14:paraId="70122388">
                      <w:pPr>
                        <w:rPr>
                          <w:rFonts w:hint="default" w:eastAsia="宋体"/>
                          <w:b/>
                          <w:bCs/>
                          <w:highlight w:val="yellow"/>
                          <w:lang w:val="en-US" w:eastAsia="zh-CN"/>
                        </w:rPr>
                      </w:pPr>
                      <w:r>
                        <w:rPr>
                          <w:rFonts w:hint="eastAsia"/>
                          <w:b/>
                          <w:bCs/>
                          <w:highlight w:val="yellow"/>
                          <w:lang w:val="en-US" w:eastAsia="zh-CN"/>
                        </w:rPr>
                        <w:t>DA003</w:t>
                      </w:r>
                    </w:p>
                  </w:txbxContent>
                </v:textbox>
              </v:shape>
            </w:pict>
          </mc:Fallback>
        </mc:AlternateContent>
      </w:r>
      <w:r>
        <w:rPr>
          <w:color w:val="auto"/>
          <w:sz w:val="18"/>
          <w:highlight w:val="none"/>
        </w:rPr>
        <mc:AlternateContent>
          <mc:Choice Requires="wps">
            <w:drawing>
              <wp:anchor distT="0" distB="0" distL="114300" distR="114300" simplePos="0" relativeHeight="251684864" behindDoc="0" locked="0" layoutInCell="1" allowOverlap="1">
                <wp:simplePos x="0" y="0"/>
                <wp:positionH relativeFrom="column">
                  <wp:posOffset>6169660</wp:posOffset>
                </wp:positionH>
                <wp:positionV relativeFrom="paragraph">
                  <wp:posOffset>3062605</wp:posOffset>
                </wp:positionV>
                <wp:extent cx="114300" cy="121920"/>
                <wp:effectExtent l="4445" t="4445" r="14605" b="6985"/>
                <wp:wrapNone/>
                <wp:docPr id="28" name="椭圆 1880"/>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F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1880" o:spid="_x0000_s1026" o:spt="3" type="#_x0000_t3" style="position:absolute;left:0pt;margin-left:485.8pt;margin-top:241.15pt;height:9.6pt;width:9pt;z-index:251684864;mso-width-relative:page;mso-height-relative:page;" fillcolor="#00B0F0" filled="t" stroked="t" coordsize="21600,21600" o:gfxdata="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yq6Ofd&#10;AAAACwEAAA8AAAAAAAAAAQAgAAAAIgAAAGRycy9kb3ducmV2LnhtbFBLAQIUABQAAAAIAIdO4kCF&#10;+MMqGwIAAE0EAAAOAAAAAAAAAAEAIAAAACwBAABkcnMvZTJvRG9jLnhtbFBLBQYAAAAABgAGAFkB&#10;AAC5BQ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86912" behindDoc="0" locked="0" layoutInCell="1" allowOverlap="1">
                <wp:simplePos x="0" y="0"/>
                <wp:positionH relativeFrom="column">
                  <wp:posOffset>3859530</wp:posOffset>
                </wp:positionH>
                <wp:positionV relativeFrom="paragraph">
                  <wp:posOffset>1261745</wp:posOffset>
                </wp:positionV>
                <wp:extent cx="114300" cy="121920"/>
                <wp:effectExtent l="4445" t="4445" r="14605" b="6985"/>
                <wp:wrapNone/>
                <wp:docPr id="30" name="椭圆 1883"/>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F0"/>
                        </a:solidFill>
                        <a:ln w="9525" cap="flat" cmpd="sng">
                          <a:solidFill>
                            <a:srgbClr val="000000"/>
                          </a:solidFill>
                          <a:prstDash val="solid"/>
                          <a:headEnd type="none" w="med" len="med"/>
                          <a:tailEnd type="none" w="med" len="med"/>
                        </a:ln>
                      </wps:spPr>
                      <wps:bodyPr wrap="square" upright="1"/>
                    </wps:wsp>
                  </a:graphicData>
                </a:graphic>
              </wp:anchor>
            </w:drawing>
          </mc:Choice>
          <mc:Fallback>
            <w:pict>
              <v:shape id="椭圆 1883" o:spid="_x0000_s1026" o:spt="3" type="#_x0000_t3" style="position:absolute;left:0pt;margin-left:303.9pt;margin-top:99.35pt;height:9.6pt;width:9pt;z-index:251686912;mso-width-relative:page;mso-height-relative:page;" fillcolor="#00B0F0" filled="t" stroked="t" coordsize="21600,21600" o:gfxdata="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cwUi9wAAAALAQAADwAAAAAAAAABACAA&#10;AAAiAAAAZHJzL2Rvd25yZXYueG1sUEsBAhQAFAAAAAgAh07iQHnp6lcJAgAAKAQAAA4AAAAAAAAA&#10;AQAgAAAAKwEAAGRycy9lMm9Eb2MueG1sUEsFBgAAAAAGAAYAWQEAAKYFA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41184" behindDoc="0" locked="0" layoutInCell="1" allowOverlap="1">
                <wp:simplePos x="0" y="0"/>
                <wp:positionH relativeFrom="column">
                  <wp:posOffset>2324735</wp:posOffset>
                </wp:positionH>
                <wp:positionV relativeFrom="paragraph">
                  <wp:posOffset>956310</wp:posOffset>
                </wp:positionV>
                <wp:extent cx="190500" cy="180975"/>
                <wp:effectExtent l="3175" t="3175" r="15875" b="6350"/>
                <wp:wrapNone/>
                <wp:docPr id="74" name="直线 157"/>
                <wp:cNvGraphicFramePr/>
                <a:graphic xmlns:a="http://schemas.openxmlformats.org/drawingml/2006/main">
                  <a:graphicData uri="http://schemas.microsoft.com/office/word/2010/wordprocessingShape">
                    <wps:wsp>
                      <wps:cNvCnPr/>
                      <wps:spPr>
                        <a:xfrm>
                          <a:off x="0" y="0"/>
                          <a:ext cx="190500" cy="1809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7" o:spid="_x0000_s1026" o:spt="20" style="position:absolute;left:0pt;margin-left:183.05pt;margin-top:75.3pt;height:14.25pt;width:15pt;z-index:251741184;mso-width-relative:page;mso-height-relative:page;" filled="f" stroked="t" coordsize="21600,21600" o:gfxdata="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QkMzXYAAAACwEAAA8AAAAAAAAAAQAgAAAAIgAAAGRycy9kb3ducmV2LnhtbFBLAQIUABQAAAAI&#10;AIdO4kCxV1po7QEAAOIDAAAOAAAAAAAAAAEAIAAAACcBAABkcnMvZTJvRG9jLnhtbFBLBQYAAAAA&#10;BgAGAFkBAACGBQ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740160" behindDoc="0" locked="0" layoutInCell="1" allowOverlap="1">
                <wp:simplePos x="0" y="0"/>
                <wp:positionH relativeFrom="column">
                  <wp:posOffset>5367655</wp:posOffset>
                </wp:positionH>
                <wp:positionV relativeFrom="paragraph">
                  <wp:posOffset>1220470</wp:posOffset>
                </wp:positionV>
                <wp:extent cx="138430" cy="154940"/>
                <wp:effectExtent l="3810" t="3175" r="10160" b="13335"/>
                <wp:wrapNone/>
                <wp:docPr id="73" name="直线 156"/>
                <wp:cNvGraphicFramePr/>
                <a:graphic xmlns:a="http://schemas.openxmlformats.org/drawingml/2006/main">
                  <a:graphicData uri="http://schemas.microsoft.com/office/word/2010/wordprocessingShape">
                    <wps:wsp>
                      <wps:cNvCnPr/>
                      <wps:spPr>
                        <a:xfrm>
                          <a:off x="0" y="0"/>
                          <a:ext cx="138430" cy="1549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6" o:spid="_x0000_s1026" o:spt="20" style="position:absolute;left:0pt;margin-left:422.65pt;margin-top:96.1pt;height:12.2pt;width:10.9pt;z-index:251740160;mso-width-relative:page;mso-height-relative:page;" filled="f" stroked="t" coordsize="21600,21600" o:gfxdata="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xWyvE2QAAAAsBAAAPAAAAAAAAAAEAIAAAACIAAABkcnMvZG93bnJldi54bWxQSwECFAAU&#10;AAAACACHTuJAQgivSfABAADiAwAADgAAAAAAAAABACAAAAAoAQAAZHJzL2Uyb0RvYy54bWxQSwUG&#10;AAAAAAYABgBZAQAAigU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703296" behindDoc="0" locked="0" layoutInCell="1" allowOverlap="1">
                <wp:simplePos x="0" y="0"/>
                <wp:positionH relativeFrom="column">
                  <wp:posOffset>2404745</wp:posOffset>
                </wp:positionH>
                <wp:positionV relativeFrom="paragraph">
                  <wp:posOffset>1049020</wp:posOffset>
                </wp:positionV>
                <wp:extent cx="158750" cy="270510"/>
                <wp:effectExtent l="5080" t="4445" r="10160" b="8255"/>
                <wp:wrapNone/>
                <wp:docPr id="50" name="矩形 1858"/>
                <wp:cNvGraphicFramePr/>
                <a:graphic xmlns:a="http://schemas.openxmlformats.org/drawingml/2006/main">
                  <a:graphicData uri="http://schemas.microsoft.com/office/word/2010/wordprocessingShape">
                    <wps:wsp>
                      <wps:cNvSpPr/>
                      <wps:spPr>
                        <a:xfrm rot="5400000">
                          <a:off x="0" y="0"/>
                          <a:ext cx="158750" cy="270510"/>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58" o:spid="_x0000_s1026" o:spt="1" style="position:absolute;left:0pt;margin-left:189.35pt;margin-top:82.6pt;height:21.3pt;width:12.5pt;rotation:5898240f;z-index:251703296;mso-width-relative:page;mso-height-relative:page;" fillcolor="#FF0000" filled="t" stroked="t" coordsize="21600,21600" o:gfxdata="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UkvUg2QAAAAsBAAAPAAAAAAAAAAEAIAAAACIAAABkcnMvZG93bnJldi54bWxQSwECFAAUAAAA&#10;CACHTuJAiOSKsiYCAABiBAAADgAAAAAAAAABACAAAAAoAQAAZHJzL2Uyb0RvYy54bWxQSwUGAAAA&#10;AAYABgBZAQAAwAUAAAAA&#10;">
                <v:fill on="t" focussize="0,0"/>
                <v:stroke color="#000000" joinstyle="miter"/>
                <v:imagedata o:title=""/>
                <o:lock v:ext="edit" aspectratio="f"/>
              </v:rect>
            </w:pict>
          </mc:Fallback>
        </mc:AlternateContent>
      </w:r>
      <w:r>
        <w:rPr>
          <w:color w:val="auto"/>
          <w:sz w:val="21"/>
          <w:highlight w:val="none"/>
        </w:rPr>
        <mc:AlternateContent>
          <mc:Choice Requires="wps">
            <w:drawing>
              <wp:anchor distT="0" distB="0" distL="114300" distR="114300" simplePos="0" relativeHeight="251736064" behindDoc="0" locked="0" layoutInCell="1" allowOverlap="1">
                <wp:simplePos x="0" y="0"/>
                <wp:positionH relativeFrom="column">
                  <wp:posOffset>6040755</wp:posOffset>
                </wp:positionH>
                <wp:positionV relativeFrom="paragraph">
                  <wp:posOffset>1488440</wp:posOffset>
                </wp:positionV>
                <wp:extent cx="723900" cy="316230"/>
                <wp:effectExtent l="0" t="0" r="0" b="0"/>
                <wp:wrapNone/>
                <wp:docPr id="69" name="文本框 151"/>
                <wp:cNvGraphicFramePr/>
                <a:graphic xmlns:a="http://schemas.openxmlformats.org/drawingml/2006/main">
                  <a:graphicData uri="http://schemas.microsoft.com/office/word/2010/wordprocessingShape">
                    <wps:wsp>
                      <wps:cNvSpPr txBox="1"/>
                      <wps:spPr>
                        <a:xfrm>
                          <a:off x="0" y="0"/>
                          <a:ext cx="723900" cy="316230"/>
                        </a:xfrm>
                        <a:prstGeom prst="rect">
                          <a:avLst/>
                        </a:prstGeom>
                        <a:noFill/>
                        <a:ln w="12700">
                          <a:noFill/>
                        </a:ln>
                      </wps:spPr>
                      <wps:txbx>
                        <w:txbxContent>
                          <w:p w14:paraId="019DBC2F">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综合楼</w:t>
                            </w:r>
                          </w:p>
                        </w:txbxContent>
                      </wps:txbx>
                      <wps:bodyPr wrap="square" upright="0"/>
                    </wps:wsp>
                  </a:graphicData>
                </a:graphic>
              </wp:anchor>
            </w:drawing>
          </mc:Choice>
          <mc:Fallback>
            <w:pict>
              <v:shape id="文本框 151" o:spid="_x0000_s1026" o:spt="202" type="#_x0000_t202" style="position:absolute;left:0pt;margin-left:475.65pt;margin-top:117.2pt;height:24.9pt;width:57pt;z-index:251736064;mso-width-relative:page;mso-height-relative:page;" filled="f" stroked="f" coordsize="21600,21600" o:gfxdata="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rFnUttoAAAAMAQAADwAAAAAAAAABACAAAAAiAAAAZHJzL2Rvd25yZXYu&#10;eG1sUEsBAhQAFAAAAAgAh07iQPJx6/zAAQAAaAMAAA4AAAAAAAAAAQAgAAAAKQEAAGRycy9lMm9E&#10;b2MueG1sUEsFBgAAAAAGAAYAWQEAAFsFAAAAAA==&#10;">
                <v:fill on="f" focussize="0,0"/>
                <v:stroke on="f" weight="1pt"/>
                <v:imagedata o:title=""/>
                <o:lock v:ext="edit" aspectratio="f"/>
                <v:textbox>
                  <w:txbxContent>
                    <w:p w14:paraId="019DBC2F">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综合楼</w:t>
                      </w:r>
                    </w:p>
                  </w:txbxContent>
                </v:textbox>
              </v:shape>
            </w:pict>
          </mc:Fallback>
        </mc:AlternateContent>
      </w:r>
      <w:r>
        <w:rPr>
          <w:color w:val="auto"/>
          <w:sz w:val="21"/>
          <w:highlight w:val="none"/>
        </w:rPr>
        <mc:AlternateContent>
          <mc:Choice Requires="wps">
            <w:drawing>
              <wp:anchor distT="0" distB="0" distL="114300" distR="114300" simplePos="0" relativeHeight="251735040" behindDoc="0" locked="0" layoutInCell="1" allowOverlap="1">
                <wp:simplePos x="0" y="0"/>
                <wp:positionH relativeFrom="column">
                  <wp:posOffset>5871845</wp:posOffset>
                </wp:positionH>
                <wp:positionV relativeFrom="paragraph">
                  <wp:posOffset>3107690</wp:posOffset>
                </wp:positionV>
                <wp:extent cx="723900" cy="316230"/>
                <wp:effectExtent l="0" t="0" r="0" b="0"/>
                <wp:wrapNone/>
                <wp:docPr id="68" name="文本框 150"/>
                <wp:cNvGraphicFramePr/>
                <a:graphic xmlns:a="http://schemas.openxmlformats.org/drawingml/2006/main">
                  <a:graphicData uri="http://schemas.microsoft.com/office/word/2010/wordprocessingShape">
                    <wps:wsp>
                      <wps:cNvSpPr txBox="1"/>
                      <wps:spPr>
                        <a:xfrm>
                          <a:off x="0" y="0"/>
                          <a:ext cx="723900" cy="316230"/>
                        </a:xfrm>
                        <a:prstGeom prst="rect">
                          <a:avLst/>
                        </a:prstGeom>
                        <a:noFill/>
                        <a:ln w="12700">
                          <a:noFill/>
                        </a:ln>
                      </wps:spPr>
                      <wps:txbx>
                        <w:txbxContent>
                          <w:p w14:paraId="247FE381">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宿舍楼</w:t>
                            </w:r>
                          </w:p>
                        </w:txbxContent>
                      </wps:txbx>
                      <wps:bodyPr wrap="square" upright="0"/>
                    </wps:wsp>
                  </a:graphicData>
                </a:graphic>
              </wp:anchor>
            </w:drawing>
          </mc:Choice>
          <mc:Fallback>
            <w:pict>
              <v:shape id="文本框 150" o:spid="_x0000_s1026" o:spt="202" type="#_x0000_t202" style="position:absolute;left:0pt;margin-left:462.35pt;margin-top:244.7pt;height:24.9pt;width:57pt;z-index:251735040;mso-width-relative:page;mso-height-relative:page;" filled="f" stroked="f" coordsize="21600,21600" o:gfxdata="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lpI+2gAAAAwBAAAPAAAAAAAAAAEAIAAAACIAAABkcnMvZG93bnJldi54&#10;bWxQSwECFAAUAAAACACHTuJAHhg9bL8BAABoAwAADgAAAAAAAAABACAAAAApAQAAZHJzL2Uyb0Rv&#10;Yy54bWxQSwUGAAAAAAYABgBZAQAAWgUAAAAA&#10;">
                <v:fill on="f" focussize="0,0"/>
                <v:stroke on="f" weight="1pt"/>
                <v:imagedata o:title=""/>
                <o:lock v:ext="edit" aspectratio="f"/>
                <v:textbox>
                  <w:txbxContent>
                    <w:p w14:paraId="247FE381">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宿舍楼</w:t>
                      </w:r>
                    </w:p>
                  </w:txbxContent>
                </v:textbox>
              </v:shape>
            </w:pict>
          </mc:Fallback>
        </mc:AlternateContent>
      </w:r>
      <w:bookmarkEnd w:id="70"/>
      <w:r>
        <w:rPr>
          <w:color w:val="auto"/>
          <w:highlight w:val="none"/>
        </w:rPr>
        <w:drawing>
          <wp:inline distT="0" distB="0" distL="114300" distR="114300">
            <wp:extent cx="7527290" cy="5088255"/>
            <wp:effectExtent l="0" t="0" r="16510" b="17145"/>
            <wp:docPr id="176"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670"/>
                    <pic:cNvPicPr>
                      <a:picLocks noChangeAspect="1"/>
                    </pic:cNvPicPr>
                  </pic:nvPicPr>
                  <pic:blipFill>
                    <a:blip r:embed="rId67"/>
                    <a:stretch>
                      <a:fillRect/>
                    </a:stretch>
                  </pic:blipFill>
                  <pic:spPr>
                    <a:xfrm>
                      <a:off x="0" y="0"/>
                      <a:ext cx="7527290" cy="5088255"/>
                    </a:xfrm>
                    <a:prstGeom prst="rect">
                      <a:avLst/>
                    </a:prstGeom>
                    <a:noFill/>
                    <a:ln>
                      <a:noFill/>
                    </a:ln>
                  </pic:spPr>
                </pic:pic>
              </a:graphicData>
            </a:graphic>
          </wp:inline>
        </w:drawing>
      </w:r>
    </w:p>
    <w:p w14:paraId="0776D91B">
      <w:pPr>
        <w:spacing w:after="0" w:line="240" w:lineRule="auto"/>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1" w:name="_Toc1343"/>
      <w:r>
        <w:rPr>
          <w:rFonts w:hint="default" w:ascii="Times New Roman" w:hAnsi="Times New Roman" w:eastAsia="宋体" w:cs="Times New Roman"/>
          <w:b/>
          <w:bCs/>
          <w:color w:val="auto"/>
          <w:kern w:val="0"/>
          <w:sz w:val="24"/>
          <w:szCs w:val="20"/>
          <w:highlight w:val="none"/>
          <w:lang w:val="en-US" w:eastAsia="zh-CN" w:bidi="ar-SA"/>
        </w:rPr>
        <w:t>附图</w:t>
      </w:r>
      <w:r>
        <w:rPr>
          <w:rFonts w:hint="eastAsia" w:ascii="Times New Roman" w:hAnsi="Times New Roman" w:eastAsia="宋体" w:cs="Times New Roman"/>
          <w:b/>
          <w:bCs/>
          <w:color w:val="auto"/>
          <w:kern w:val="0"/>
          <w:sz w:val="24"/>
          <w:szCs w:val="20"/>
          <w:highlight w:val="none"/>
          <w:lang w:val="en-US" w:eastAsia="zh-CN" w:bidi="ar-SA"/>
        </w:rPr>
        <w:t>4</w:t>
      </w:r>
      <w:r>
        <w:rPr>
          <w:rFonts w:hint="default" w:ascii="Times New Roman" w:hAnsi="Times New Roman" w:eastAsia="宋体" w:cs="Times New Roman"/>
          <w:b/>
          <w:bCs/>
          <w:color w:val="auto"/>
          <w:kern w:val="0"/>
          <w:sz w:val="24"/>
          <w:szCs w:val="20"/>
          <w:highlight w:val="none"/>
          <w:lang w:val="en-US" w:eastAsia="zh-CN" w:bidi="ar-SA"/>
        </w:rPr>
        <w:t xml:space="preserve"> 项目</w:t>
      </w:r>
      <w:r>
        <w:rPr>
          <w:rFonts w:hint="eastAsia" w:ascii="Times New Roman" w:hAnsi="Times New Roman" w:eastAsia="宋体" w:cs="Times New Roman"/>
          <w:b/>
          <w:bCs/>
          <w:color w:val="auto"/>
          <w:kern w:val="0"/>
          <w:sz w:val="24"/>
          <w:szCs w:val="20"/>
          <w:highlight w:val="none"/>
          <w:lang w:val="en-US" w:eastAsia="zh-CN" w:bidi="ar-SA"/>
        </w:rPr>
        <w:t>总</w:t>
      </w:r>
      <w:r>
        <w:rPr>
          <w:rFonts w:hint="default" w:ascii="Times New Roman" w:hAnsi="Times New Roman" w:eastAsia="宋体" w:cs="Times New Roman"/>
          <w:b/>
          <w:bCs/>
          <w:color w:val="auto"/>
          <w:kern w:val="0"/>
          <w:sz w:val="24"/>
          <w:szCs w:val="20"/>
          <w:highlight w:val="none"/>
          <w:lang w:val="en-US" w:eastAsia="zh-CN" w:bidi="ar-SA"/>
        </w:rPr>
        <w:t>平面布置图</w:t>
      </w:r>
      <w:bookmarkEnd w:id="71"/>
    </w:p>
    <w:p w14:paraId="26983EB6">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899160</wp:posOffset>
                </wp:positionH>
                <wp:positionV relativeFrom="paragraph">
                  <wp:posOffset>1364615</wp:posOffset>
                </wp:positionV>
                <wp:extent cx="3726180" cy="762000"/>
                <wp:effectExtent l="6350" t="6350" r="20320" b="12700"/>
                <wp:wrapNone/>
                <wp:docPr id="16" name="矩形 1856"/>
                <wp:cNvGraphicFramePr/>
                <a:graphic xmlns:a="http://schemas.openxmlformats.org/drawingml/2006/main">
                  <a:graphicData uri="http://schemas.microsoft.com/office/word/2010/wordprocessingShape">
                    <wps:wsp>
                      <wps:cNvSpPr/>
                      <wps:spPr>
                        <a:xfrm>
                          <a:off x="0" y="0"/>
                          <a:ext cx="3726180" cy="762000"/>
                        </a:xfrm>
                        <a:prstGeom prst="rect">
                          <a:avLst/>
                        </a:prstGeom>
                        <a:noFill/>
                        <a:ln w="12700"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rect id="矩形 1856" o:spid="_x0000_s1026" o:spt="1" style="position:absolute;left:0pt;margin-left:70.8pt;margin-top:107.45pt;height:60pt;width:293.4pt;z-index:251672576;mso-width-relative:page;mso-height-relative:page;" filled="f" stroked="t" coordsize="21600,21600" o:gfxdata="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2F3Pa2gAAAAsBAAAP&#10;AAAAAAAAAAEAIAAAACIAAABkcnMvZG93bnJldi54bWxQSwECFAAUAAAACACHTuJAE2eH9hYCAAAt&#10;BAAADgAAAAAAAAABACAAAAApAQAAZHJzL2Uyb0RvYy54bWxQSwUGAAAAAAYABgBZAQAAsQUAAAAA&#10;">
                <v:fill on="f" focussize="0,0"/>
                <v:stroke weight="1pt" color="#FF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3840" behindDoc="0" locked="0" layoutInCell="1" allowOverlap="1">
                <wp:simplePos x="0" y="0"/>
                <wp:positionH relativeFrom="column">
                  <wp:posOffset>840740</wp:posOffset>
                </wp:positionH>
                <wp:positionV relativeFrom="paragraph">
                  <wp:posOffset>283210</wp:posOffset>
                </wp:positionV>
                <wp:extent cx="1151255" cy="338455"/>
                <wp:effectExtent l="4445" t="4445" r="6350" b="19050"/>
                <wp:wrapNone/>
                <wp:docPr id="27" name="文本框 1876"/>
                <wp:cNvGraphicFramePr/>
                <a:graphic xmlns:a="http://schemas.openxmlformats.org/drawingml/2006/main">
                  <a:graphicData uri="http://schemas.microsoft.com/office/word/2010/wordprocessingShape">
                    <wps:wsp>
                      <wps:cNvSpPr txBox="1"/>
                      <wps:spPr>
                        <a:xfrm>
                          <a:off x="0" y="0"/>
                          <a:ext cx="1151255"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3E52FA">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wps:txbx>
                      <wps:bodyPr wrap="square" upright="1"/>
                    </wps:wsp>
                  </a:graphicData>
                </a:graphic>
              </wp:anchor>
            </w:drawing>
          </mc:Choice>
          <mc:Fallback>
            <w:pict>
              <v:shape id="文本框 1876" o:spid="_x0000_s1026" o:spt="202" type="#_x0000_t202" style="position:absolute;left:0pt;margin-left:66.2pt;margin-top:22.3pt;height:26.65pt;width:90.65pt;z-index:251683840;mso-width-relative:page;mso-height-relative:page;" fillcolor="#FFFFFF" filled="t" stroked="t" coordsize="21600,21600" o:gfxdata="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HrpUedkAAAAJAQAA&#10;DwAAAAAAAAABACAAAAAiAAAAZHJzL2Rvd25yZXYueG1sUEsBAhQAFAAAAAgAh07iQGVsXPAYAgAA&#10;SAQAAA4AAAAAAAAAAQAgAAAAKAEAAGRycy9lMm9Eb2MueG1sUEsFBgAAAAAGAAYAWQEAALIFAAAA&#10;AA==&#10;">
                <v:fill on="t" focussize="0,0"/>
                <v:stroke color="#000000" joinstyle="miter"/>
                <v:imagedata o:title=""/>
                <o:lock v:ext="edit" aspectratio="f"/>
                <v:textbox>
                  <w:txbxContent>
                    <w:p w14:paraId="2F3E52FA">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2816" behindDoc="0" locked="0" layoutInCell="1" allowOverlap="1">
                <wp:simplePos x="0" y="0"/>
                <wp:positionH relativeFrom="column">
                  <wp:posOffset>285115</wp:posOffset>
                </wp:positionH>
                <wp:positionV relativeFrom="paragraph">
                  <wp:posOffset>539750</wp:posOffset>
                </wp:positionV>
                <wp:extent cx="568960" cy="434340"/>
                <wp:effectExtent l="3175" t="3810" r="18415" b="19050"/>
                <wp:wrapNone/>
                <wp:docPr id="26" name="直线 1877"/>
                <wp:cNvGraphicFramePr/>
                <a:graphic xmlns:a="http://schemas.openxmlformats.org/drawingml/2006/main">
                  <a:graphicData uri="http://schemas.microsoft.com/office/word/2010/wordprocessingShape">
                    <wps:wsp>
                      <wps:cNvCnPr/>
                      <wps:spPr>
                        <a:xfrm flipV="1">
                          <a:off x="0" y="0"/>
                          <a:ext cx="568960" cy="4343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77" o:spid="_x0000_s1026" o:spt="20" style="position:absolute;left:0pt;flip:y;margin-left:22.45pt;margin-top:42.5pt;height:34.2pt;width:44.8pt;z-index:251682816;mso-width-relative:page;mso-height-relative:page;" filled="f" stroked="t" coordsize="21600,21600" o:gfxdata="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rymGn2AAAAAkBAAAPAAAAAAAAAAEAIAAAACIAAABkcnMvZG93bnJldi54bWxQ&#10;SwECFAAUAAAACACHTuJAJtSiBPcBAADtAwAADgAAAAAAAAABACAAAAAnAQAAZHJzL2Uyb0RvYy54&#10;bWxQSwUGAAAAAAYABgBZAQAAkAU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1792" behindDoc="0" locked="0" layoutInCell="1" allowOverlap="1">
                <wp:simplePos x="0" y="0"/>
                <wp:positionH relativeFrom="column">
                  <wp:posOffset>206375</wp:posOffset>
                </wp:positionH>
                <wp:positionV relativeFrom="paragraph">
                  <wp:posOffset>980440</wp:posOffset>
                </wp:positionV>
                <wp:extent cx="215900" cy="444500"/>
                <wp:effectExtent l="4445" t="4445" r="8255" b="8255"/>
                <wp:wrapNone/>
                <wp:docPr id="25" name="矩形 1875"/>
                <wp:cNvGraphicFramePr/>
                <a:graphic xmlns:a="http://schemas.openxmlformats.org/drawingml/2006/main">
                  <a:graphicData uri="http://schemas.microsoft.com/office/word/2010/wordprocessingShape">
                    <wps:wsp>
                      <wps:cNvSpPr/>
                      <wps:spPr>
                        <a:xfrm rot="10800000">
                          <a:off x="0" y="0"/>
                          <a:ext cx="215900" cy="444500"/>
                        </a:xfrm>
                        <a:prstGeom prst="rect">
                          <a:avLst/>
                        </a:prstGeom>
                        <a:solidFill>
                          <a:srgbClr val="0070C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75" o:spid="_x0000_s1026" o:spt="1" style="position:absolute;left:0pt;margin-left:16.25pt;margin-top:77.2pt;height:35pt;width:17pt;rotation:11796480f;z-index:251681792;mso-width-relative:page;mso-height-relative:page;" fillcolor="#0070C0" filled="t" stroked="t" coordsize="21600,21600" o:gfxdata="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rKrndgAAAAJAQAADwAAAAAAAAABACAAAAAiAAAAZHJzL2Rvd25yZXYueG1sUEsBAhQAFAAAAAgA&#10;h07iQELG380lAgAAYwQAAA4AAAAAAAAAAQAgAAAAJwEAAGRycy9lMm9Eb2MueG1sUEsFBgAAAAAG&#10;AAYAWQEAAL4FA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9744" behindDoc="0" locked="0" layoutInCell="1" allowOverlap="1">
                <wp:simplePos x="0" y="0"/>
                <wp:positionH relativeFrom="column">
                  <wp:posOffset>7249160</wp:posOffset>
                </wp:positionH>
                <wp:positionV relativeFrom="paragraph">
                  <wp:posOffset>189230</wp:posOffset>
                </wp:positionV>
                <wp:extent cx="596265" cy="307975"/>
                <wp:effectExtent l="4445" t="4445" r="8890" b="11430"/>
                <wp:wrapNone/>
                <wp:docPr id="23" name="文本框 1865"/>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DA2DF1">
                            <w:pPr>
                              <w:rPr>
                                <w:rFonts w:hint="default" w:eastAsia="宋体"/>
                                <w:b/>
                                <w:bCs/>
                                <w:highlight w:val="yellow"/>
                                <w:lang w:val="en-US" w:eastAsia="zh-CN"/>
                              </w:rPr>
                            </w:pPr>
                            <w:r>
                              <w:rPr>
                                <w:rFonts w:hint="eastAsia" w:ascii="Times New Roman" w:eastAsia="宋体"/>
                                <w:b/>
                                <w:bCs/>
                                <w:highlight w:val="yellow"/>
                                <w:lang w:val="en-US" w:eastAsia="zh-CN"/>
                              </w:rPr>
                              <w:t>危废仓</w:t>
                            </w:r>
                          </w:p>
                        </w:txbxContent>
                      </wps:txbx>
                      <wps:bodyPr wrap="square" upright="1"/>
                    </wps:wsp>
                  </a:graphicData>
                </a:graphic>
              </wp:anchor>
            </w:drawing>
          </mc:Choice>
          <mc:Fallback>
            <w:pict>
              <v:shape id="文本框 1865" o:spid="_x0000_s1026" o:spt="202" type="#_x0000_t202" style="position:absolute;left:0pt;margin-left:570.8pt;margin-top:14.9pt;height:24.25pt;width:46.95pt;z-index:251679744;mso-width-relative:page;mso-height-relative:page;" fillcolor="#FFFFFF" filled="t" stroked="t" coordsize="21600,21600" o:gfxdata="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x6aKD2gAAAAsB&#10;AAAPAAAAAAAAAAEAIAAAACIAAABkcnMvZG93bnJldi54bWxQSwECFAAUAAAACACHTuJA82sV5BkC&#10;AABHBAAADgAAAAAAAAABACAAAAApAQAAZHJzL2Uyb0RvYy54bWxQSwUGAAAAAAYABgBZAQAAtAUA&#10;AAAA&#10;">
                <v:fill on="t" focussize="0,0"/>
                <v:stroke color="#000000" joinstyle="miter"/>
                <v:imagedata o:title=""/>
                <o:lock v:ext="edit" aspectratio="f"/>
                <v:textbox>
                  <w:txbxContent>
                    <w:p w14:paraId="25DA2DF1">
                      <w:pPr>
                        <w:rPr>
                          <w:rFonts w:hint="default" w:eastAsia="宋体"/>
                          <w:b/>
                          <w:bCs/>
                          <w:highlight w:val="yellow"/>
                          <w:lang w:val="en-US" w:eastAsia="zh-CN"/>
                        </w:rPr>
                      </w:pPr>
                      <w:r>
                        <w:rPr>
                          <w:rFonts w:hint="eastAsia" w:ascii="Times New Roman" w:eastAsia="宋体"/>
                          <w:b/>
                          <w:bCs/>
                          <w:highlight w:val="yellow"/>
                          <w:lang w:val="en-US" w:eastAsia="zh-CN"/>
                        </w:rPr>
                        <w:t>危废仓</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1248" behindDoc="0" locked="0" layoutInCell="1" allowOverlap="1">
                <wp:simplePos x="0" y="0"/>
                <wp:positionH relativeFrom="column">
                  <wp:posOffset>7162165</wp:posOffset>
                </wp:positionH>
                <wp:positionV relativeFrom="paragraph">
                  <wp:posOffset>654050</wp:posOffset>
                </wp:positionV>
                <wp:extent cx="390525" cy="342900"/>
                <wp:effectExtent l="3175" t="3810" r="6350" b="15240"/>
                <wp:wrapNone/>
                <wp:docPr id="48" name="直线 1866"/>
                <wp:cNvGraphicFramePr/>
                <a:graphic xmlns:a="http://schemas.openxmlformats.org/drawingml/2006/main">
                  <a:graphicData uri="http://schemas.microsoft.com/office/word/2010/wordprocessingShape">
                    <wps:wsp>
                      <wps:cNvCnPr/>
                      <wps:spPr>
                        <a:xfrm flipH="1" flipV="1">
                          <a:off x="0" y="0"/>
                          <a:ext cx="390525" cy="3429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66" o:spid="_x0000_s1026" o:spt="20" style="position:absolute;left:0pt;flip:x y;margin-left:563.95pt;margin-top:51.5pt;height:27pt;width:30.75pt;z-index:251701248;mso-width-relative:page;mso-height-relative:page;" filled="f" stroked="t" coordsize="21600,21600" o:gfxdata="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5Sak3VAAAADQEAAA8AAAAAAAAAAQAgAAAAIgAAAGRycy9kb3ducmV2Lnht&#10;bFBLAQIUABQAAAAIAIdO4kAkYPND/AEAAPcDAAAOAAAAAAAAAAEAIAAAACQBAABkcnMvZTJvRG9j&#10;LnhtbFBLBQYAAAAABgAGAFkBAACSBQ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2272" behindDoc="0" locked="0" layoutInCell="1" allowOverlap="1">
                <wp:simplePos x="0" y="0"/>
                <wp:positionH relativeFrom="column">
                  <wp:posOffset>6574790</wp:posOffset>
                </wp:positionH>
                <wp:positionV relativeFrom="paragraph">
                  <wp:posOffset>511810</wp:posOffset>
                </wp:positionV>
                <wp:extent cx="595630" cy="290830"/>
                <wp:effectExtent l="4445" t="5080" r="9525" b="8890"/>
                <wp:wrapNone/>
                <wp:docPr id="49" name="文本框 1865"/>
                <wp:cNvGraphicFramePr/>
                <a:graphic xmlns:a="http://schemas.openxmlformats.org/drawingml/2006/main">
                  <a:graphicData uri="http://schemas.microsoft.com/office/word/2010/wordprocessingShape">
                    <wps:wsp>
                      <wps:cNvSpPr txBox="1"/>
                      <wps:spPr>
                        <a:xfrm>
                          <a:off x="0" y="0"/>
                          <a:ext cx="595630" cy="290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71F61F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wps:txbx>
                      <wps:bodyPr vert="horz" wrap="square" anchor="t" anchorCtr="0" upright="1"/>
                    </wps:wsp>
                  </a:graphicData>
                </a:graphic>
              </wp:anchor>
            </w:drawing>
          </mc:Choice>
          <mc:Fallback>
            <w:pict>
              <v:shape id="文本框 1865" o:spid="_x0000_s1026" o:spt="202" type="#_x0000_t202" style="position:absolute;left:0pt;margin-left:517.7pt;margin-top:40.3pt;height:22.9pt;width:46.9pt;z-index:251702272;mso-width-relative:page;mso-height-relative:page;" fillcolor="#FFFFFF" filled="t" stroked="t" coordsize="21600,21600" o:gfxdata="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C4ffQ2gAAAAwBAAAPAAAAAAAAAAEAIAAAACIAAABkcnMvZG93bnJldi54bWxQSwEC&#10;FAAUAAAACACHTuJAuwZiyisCAABsBAAADgAAAAAAAAABACAAAAApAQAAZHJzL2Uyb0RvYy54bWxQ&#10;SwUGAAAAAAYABgBZAQAAxgUAAAAA&#10;">
                <v:fill on="t" focussize="0,0"/>
                <v:stroke color="#000000" joinstyle="miter"/>
                <v:imagedata o:title=""/>
                <o:lock v:ext="edit" aspectratio="f"/>
                <v:textbox>
                  <w:txbxContent>
                    <w:p w14:paraId="471F61F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8720" behindDoc="0" locked="0" layoutInCell="1" allowOverlap="1">
                <wp:simplePos x="0" y="0"/>
                <wp:positionH relativeFrom="column">
                  <wp:posOffset>7694930</wp:posOffset>
                </wp:positionH>
                <wp:positionV relativeFrom="paragraph">
                  <wp:posOffset>501650</wp:posOffset>
                </wp:positionV>
                <wp:extent cx="268605" cy="495300"/>
                <wp:effectExtent l="4445" t="2540" r="12700" b="16510"/>
                <wp:wrapNone/>
                <wp:docPr id="22" name="直线 1866"/>
                <wp:cNvGraphicFramePr/>
                <a:graphic xmlns:a="http://schemas.openxmlformats.org/drawingml/2006/main">
                  <a:graphicData uri="http://schemas.microsoft.com/office/word/2010/wordprocessingShape">
                    <wps:wsp>
                      <wps:cNvCnPr/>
                      <wps:spPr>
                        <a:xfrm flipH="1" flipV="1">
                          <a:off x="0" y="0"/>
                          <a:ext cx="268605" cy="4953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66" o:spid="_x0000_s1026" o:spt="20" style="position:absolute;left:0pt;flip:x y;margin-left:605.9pt;margin-top:39.5pt;height:39pt;width:21.15pt;z-index:251678720;mso-width-relative:page;mso-height-relative:page;" filled="f" stroked="t" coordsize="21600,21600" o:gfxdata="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hT/dNYAAAAMAQAADwAAAAAAAAABACAAAAAiAAAAZHJzL2Rvd25yZXYu&#10;eG1sUEsBAhQAFAAAAAgAh07iQB+ME1z9AQAA9wMAAA4AAAAAAAAAAQAgAAAAJQEAAGRycy9lMm9E&#10;b2MueG1sUEsFBgAAAAAGAAYAWQEAAJQFA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0224" behindDoc="0" locked="0" layoutInCell="1" allowOverlap="1">
                <wp:simplePos x="0" y="0"/>
                <wp:positionH relativeFrom="column">
                  <wp:posOffset>7464425</wp:posOffset>
                </wp:positionH>
                <wp:positionV relativeFrom="paragraph">
                  <wp:posOffset>859790</wp:posOffset>
                </wp:positionV>
                <wp:extent cx="215900" cy="293370"/>
                <wp:effectExtent l="4445" t="4445" r="6985" b="8255"/>
                <wp:wrapNone/>
                <wp:docPr id="47" name="矩形 1864"/>
                <wp:cNvGraphicFramePr/>
                <a:graphic xmlns:a="http://schemas.openxmlformats.org/drawingml/2006/main">
                  <a:graphicData uri="http://schemas.microsoft.com/office/word/2010/wordprocessingShape">
                    <wps:wsp>
                      <wps:cNvSpPr/>
                      <wps:spPr>
                        <a:xfrm rot="-5400000">
                          <a:off x="0" y="0"/>
                          <a:ext cx="215900" cy="293370"/>
                        </a:xfrm>
                        <a:prstGeom prst="rect">
                          <a:avLst/>
                        </a:prstGeom>
                        <a:solidFill>
                          <a:srgbClr val="00B0F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4" o:spid="_x0000_s1026" o:spt="1" style="position:absolute;left:0pt;margin-left:587.75pt;margin-top:67.7pt;height:23.1pt;width:17pt;rotation:-5898240f;z-index:251700224;mso-width-relative:page;mso-height-relative:page;" fillcolor="#00B0F0" filled="t" stroked="t" coordsize="21600,21600" o:gfxdata="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S0mxHaAAAADQEAAA8AAAAAAAAAAQAgAAAAIgAAAGRycy9kb3ducmV2LnhtbFBLAQIU&#10;ABQAAAAIAIdO4kBmqcNOKgIAAGMEAAAOAAAAAAAAAAEAIAAAACkBAABkcnMvZTJvRG9jLnhtbFBL&#10;BQYAAAAABgAGAFkBAADFBQ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7740015</wp:posOffset>
                </wp:positionH>
                <wp:positionV relativeFrom="paragraph">
                  <wp:posOffset>864235</wp:posOffset>
                </wp:positionV>
                <wp:extent cx="215900" cy="283210"/>
                <wp:effectExtent l="4445" t="4445" r="17145" b="8255"/>
                <wp:wrapNone/>
                <wp:docPr id="21" name="矩形 1864"/>
                <wp:cNvGraphicFramePr/>
                <a:graphic xmlns:a="http://schemas.openxmlformats.org/drawingml/2006/main">
                  <a:graphicData uri="http://schemas.microsoft.com/office/word/2010/wordprocessingShape">
                    <wps:wsp>
                      <wps:cNvSpPr/>
                      <wps:spPr>
                        <a:xfrm rot="-5400000">
                          <a:off x="0" y="0"/>
                          <a:ext cx="215900" cy="283210"/>
                        </a:xfrm>
                        <a:prstGeom prst="rect">
                          <a:avLst/>
                        </a:prstGeom>
                        <a:solidFill>
                          <a:srgbClr val="00B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4" o:spid="_x0000_s1026" o:spt="1" style="position:absolute;left:0pt;margin-left:609.45pt;margin-top:68.05pt;height:22.3pt;width:17pt;rotation:-5898240f;z-index:251677696;mso-width-relative:page;mso-height-relative:page;" fillcolor="#00B050" filled="t" stroked="t" coordsize="21600,21600" o:gfxdata="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YV/LhtoAAAANAQAADwAAAAAAAAABACAAAAAiAAAAZHJzL2Rvd25yZXYueG1sUEsBAhQA&#10;FAAAAAgAh07iQO1NpRQpAgAAYwQAAA4AAAAAAAAAAQAgAAAAKQEAAGRycy9lMm9Eb2MueG1sUEsF&#10;BgAAAAAGAAYAWQEAAMQFA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4605020</wp:posOffset>
                </wp:positionH>
                <wp:positionV relativeFrom="paragraph">
                  <wp:posOffset>1849120</wp:posOffset>
                </wp:positionV>
                <wp:extent cx="2263140" cy="1798320"/>
                <wp:effectExtent l="0" t="4445" r="22860" b="6985"/>
                <wp:wrapNone/>
                <wp:docPr id="17" name="任意多边形 1857"/>
                <wp:cNvGraphicFramePr/>
                <a:graphic xmlns:a="http://schemas.openxmlformats.org/drawingml/2006/main">
                  <a:graphicData uri="http://schemas.microsoft.com/office/word/2010/wordprocessingShape">
                    <wps:wsp>
                      <wps:cNvSpPr/>
                      <wps:spPr>
                        <a:xfrm>
                          <a:off x="0" y="0"/>
                          <a:ext cx="2263140" cy="1798320"/>
                        </a:xfrm>
                        <a:custGeom>
                          <a:avLst/>
                          <a:gdLst/>
                          <a:ahLst/>
                          <a:cxnLst/>
                          <a:pathLst>
                            <a:path w="3564" h="2832">
                              <a:moveTo>
                                <a:pt x="0" y="0"/>
                              </a:moveTo>
                              <a:lnTo>
                                <a:pt x="1992" y="0"/>
                              </a:lnTo>
                              <a:lnTo>
                                <a:pt x="3564" y="2832"/>
                              </a:lnTo>
                            </a:path>
                          </a:pathLst>
                        </a:cu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857" o:spid="_x0000_s1026" o:spt="100" style="position:absolute;left:0pt;margin-left:362.6pt;margin-top:145.6pt;height:141.6pt;width:178.2pt;z-index:251673600;mso-width-relative:page;mso-height-relative:page;" filled="f" stroked="t" coordsize="3564,2832" o:gfxdata="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8Mfqk2gAAAAwBAAAPAAAAAAAAAAEAIAAAACIAAABkcnMvZG93bnJldi54&#10;bWxQSwECFAAUAAAACACHTuJAQJKoOWoCAADyBAAADgAAAAAAAAABACAAAAApAQAAZHJzL2Uyb0Rv&#10;Yy54bWxQSwUGAAAAAAYABgBZAQAABQYAAAAA&#10;" path="m0,0l1992,0,3564,2832e">
                <v:fill on="f" focussize="0,0"/>
                <v:stroke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inline distT="0" distB="0" distL="114300" distR="114300">
            <wp:extent cx="8430260" cy="3552825"/>
            <wp:effectExtent l="9525" t="9525" r="18415" b="19050"/>
            <wp:docPr id="113"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48"/>
                    <pic:cNvPicPr>
                      <a:picLocks noChangeAspect="1"/>
                    </pic:cNvPicPr>
                  </pic:nvPicPr>
                  <pic:blipFill>
                    <a:blip r:embed="rId68"/>
                    <a:srcRect l="566" t="4475" r="418" b="9488"/>
                    <a:stretch>
                      <a:fillRect/>
                    </a:stretch>
                  </pic:blipFill>
                  <pic:spPr>
                    <a:xfrm>
                      <a:off x="0" y="0"/>
                      <a:ext cx="8430260" cy="3552825"/>
                    </a:xfrm>
                    <a:prstGeom prst="rect">
                      <a:avLst/>
                    </a:prstGeom>
                    <a:noFill/>
                    <a:ln w="6350" cap="flat" cmpd="sng">
                      <a:solidFill>
                        <a:srgbClr val="000000"/>
                      </a:solidFill>
                      <a:prstDash val="solid"/>
                      <a:miter/>
                      <a:headEnd type="none" w="med" len="med"/>
                      <a:tailEnd type="none" w="med" len="med"/>
                    </a:ln>
                  </pic:spPr>
                </pic:pic>
              </a:graphicData>
            </a:graphic>
          </wp:inline>
        </w:drawing>
      </w:r>
    </w:p>
    <w:p w14:paraId="1778E88A">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r>
        <w:rPr>
          <w:rFonts w:ascii="Times New Roman" w:hAnsi="Times New Roman" w:eastAsia="宋体" w:cs="Times New Roman"/>
          <w:color w:val="auto"/>
          <w:kern w:val="0"/>
          <w:sz w:val="18"/>
          <w:szCs w:val="20"/>
          <w:highlight w:val="none"/>
          <w:lang w:val="en-US" w:eastAsia="zh-CN" w:bidi="ar-SA"/>
        </w:rPr>
        <w:drawing>
          <wp:inline distT="0" distB="0" distL="114300" distR="114300">
            <wp:extent cx="8523605" cy="1714500"/>
            <wp:effectExtent l="12700" t="12700" r="17145" b="25400"/>
            <wp:docPr id="114"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17"/>
                    <pic:cNvPicPr>
                      <a:picLocks noChangeAspect="1"/>
                    </pic:cNvPicPr>
                  </pic:nvPicPr>
                  <pic:blipFill>
                    <a:blip r:embed="rId69"/>
                    <a:stretch>
                      <a:fillRect/>
                    </a:stretch>
                  </pic:blipFill>
                  <pic:spPr>
                    <a:xfrm>
                      <a:off x="0" y="0"/>
                      <a:ext cx="8523605" cy="1714500"/>
                    </a:xfrm>
                    <a:prstGeom prst="rect">
                      <a:avLst/>
                    </a:prstGeom>
                    <a:noFill/>
                    <a:ln w="12700" cap="flat" cmpd="sng">
                      <a:solidFill>
                        <a:srgbClr val="FF0000"/>
                      </a:solidFill>
                      <a:prstDash val="solid"/>
                      <a:miter/>
                      <a:headEnd type="none" w="med" len="med"/>
                      <a:tailEnd type="none" w="med" len="med"/>
                    </a:ln>
                  </pic:spPr>
                </pic:pic>
              </a:graphicData>
            </a:graphic>
          </wp:inline>
        </w:drawing>
      </w:r>
    </w:p>
    <w:p w14:paraId="732F6275">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2" w:name="_Toc15989"/>
      <w:bookmarkStart w:id="73" w:name="_Toc29800"/>
      <w:bookmarkStart w:id="74" w:name="_Toc29379"/>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5-1</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5#厂房</w:t>
      </w:r>
      <w:r>
        <w:rPr>
          <w:rFonts w:hint="default" w:ascii="Times New Roman" w:hAnsi="Times New Roman" w:cs="Times New Roman"/>
          <w:b/>
          <w:bCs/>
          <w:color w:val="auto"/>
          <w:sz w:val="24"/>
          <w:highlight w:val="none"/>
        </w:rPr>
        <w:t>平面布置图</w:t>
      </w:r>
      <w:bookmarkEnd w:id="60"/>
      <w:bookmarkEnd w:id="61"/>
      <w:bookmarkEnd w:id="62"/>
      <w:bookmarkEnd w:id="72"/>
      <w:bookmarkEnd w:id="73"/>
      <w:bookmarkEnd w:id="74"/>
    </w:p>
    <w:p w14:paraId="3EC9D9BD">
      <w:pPr>
        <w:jc w:val="center"/>
        <w:outlineLvl w:val="9"/>
        <w:rPr>
          <w:rFonts w:hint="default"/>
          <w:color w:val="auto"/>
          <w:highlight w:val="none"/>
          <w:lang w:val="en-US" w:eastAsia="zh-CN"/>
        </w:rPr>
      </w:pPr>
      <w:r>
        <w:rPr>
          <w:sz w:val="21"/>
        </w:rPr>
        <mc:AlternateContent>
          <mc:Choice Requires="wps">
            <w:drawing>
              <wp:anchor distT="0" distB="0" distL="114300" distR="114300" simplePos="0" relativeHeight="251752448" behindDoc="0" locked="0" layoutInCell="1" allowOverlap="1">
                <wp:simplePos x="0" y="0"/>
                <wp:positionH relativeFrom="column">
                  <wp:posOffset>2399665</wp:posOffset>
                </wp:positionH>
                <wp:positionV relativeFrom="paragraph">
                  <wp:posOffset>2138045</wp:posOffset>
                </wp:positionV>
                <wp:extent cx="3914140" cy="424180"/>
                <wp:effectExtent l="4445" t="5080" r="5715" b="8890"/>
                <wp:wrapNone/>
                <wp:docPr id="91" name="文本框 33"/>
                <wp:cNvGraphicFramePr/>
                <a:graphic xmlns:a="http://schemas.openxmlformats.org/drawingml/2006/main">
                  <a:graphicData uri="http://schemas.microsoft.com/office/word/2010/wordprocessingShape">
                    <wps:wsp>
                      <wps:cNvSpPr txBox="1"/>
                      <wps:spPr>
                        <a:xfrm>
                          <a:off x="3696335" y="2832735"/>
                          <a:ext cx="3914140" cy="424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FBD19F">
                            <w:pPr>
                              <w:rPr>
                                <w:rFonts w:hint="default" w:eastAsia="宋体"/>
                                <w:lang w:val="en-US" w:eastAsia="zh-CN"/>
                              </w:rPr>
                            </w:pPr>
                            <w:r>
                              <w:rPr>
                                <w:rFonts w:hint="eastAsia" w:ascii="Times New Roman" w:eastAsia="宋体"/>
                                <w:lang w:val="en-US" w:eastAsia="zh-CN"/>
                              </w:rPr>
                              <w:t>粉末涂装</w:t>
                            </w:r>
                            <w:r>
                              <w:rPr>
                                <w:rFonts w:hint="eastAsia"/>
                                <w:lang w:val="en-US" w:eastAsia="zh-CN"/>
                              </w:rPr>
                              <w:t>线</w:t>
                            </w:r>
                            <w:r>
                              <w:rPr>
                                <w:rFonts w:hint="eastAsia" w:ascii="Times New Roman" w:eastAsia="宋体"/>
                                <w:lang w:val="en-US" w:eastAsia="zh-CN"/>
                              </w:rPr>
                              <w:t xml:space="preserve">                   固化区</w:t>
                            </w:r>
                          </w:p>
                        </w:txbxContent>
                      </wps:txbx>
                      <wps:bodyPr vert="horz" anchor="t" anchorCtr="0" upright="1"/>
                    </wps:wsp>
                  </a:graphicData>
                </a:graphic>
              </wp:anchor>
            </w:drawing>
          </mc:Choice>
          <mc:Fallback>
            <w:pict>
              <v:shape id="文本框 33" o:spid="_x0000_s1026" o:spt="202" type="#_x0000_t202" style="position:absolute;left:0pt;margin-left:188.95pt;margin-top:168.35pt;height:33.4pt;width:308.2pt;z-index:251752448;mso-width-relative:page;mso-height-relative:page;" fillcolor="#FFFFFF" filled="t" stroked="t" coordsize="21600,21600" o:gfxdata="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WO6braAAAACwEAAA8AAAAAAAAAAQAgAAAAIgAAAGRycy9kb3ducmV2LnhtbFBL&#10;AQIUABQAAAAIAIdO4kDV4J4wLQIAAGkEAAAOAAAAAAAAAAEAIAAAACkBAABkcnMvZTJvRG9jLnht&#10;bFBLBQYAAAAABgAGAFkBAADIBQAAAAA=&#10;">
                <v:fill on="t" focussize="0,0"/>
                <v:stroke color="#000000" joinstyle="miter"/>
                <v:imagedata o:title=""/>
                <o:lock v:ext="edit" aspectratio="f"/>
                <v:textbox>
                  <w:txbxContent>
                    <w:p w14:paraId="1DFBD19F">
                      <w:pPr>
                        <w:rPr>
                          <w:rFonts w:hint="default" w:eastAsia="宋体"/>
                          <w:lang w:val="en-US" w:eastAsia="zh-CN"/>
                        </w:rPr>
                      </w:pPr>
                      <w:r>
                        <w:rPr>
                          <w:rFonts w:hint="eastAsia" w:ascii="Times New Roman" w:eastAsia="宋体"/>
                          <w:lang w:val="en-US" w:eastAsia="zh-CN"/>
                        </w:rPr>
                        <w:t>粉末涂装</w:t>
                      </w:r>
                      <w:r>
                        <w:rPr>
                          <w:rFonts w:hint="eastAsia"/>
                          <w:lang w:val="en-US" w:eastAsia="zh-CN"/>
                        </w:rPr>
                        <w:t>线</w:t>
                      </w:r>
                      <w:r>
                        <w:rPr>
                          <w:rFonts w:hint="eastAsia" w:ascii="Times New Roman" w:eastAsia="宋体"/>
                          <w:lang w:val="en-US" w:eastAsia="zh-CN"/>
                        </w:rPr>
                        <w:t xml:space="preserve">                   固化区</w:t>
                      </w:r>
                    </w:p>
                  </w:txbxContent>
                </v:textbox>
              </v:shape>
            </w:pict>
          </mc:Fallback>
        </mc:AlternateContent>
      </w:r>
      <w:r>
        <w:rPr>
          <w:sz w:val="21"/>
        </w:rPr>
        <mc:AlternateContent>
          <mc:Choice Requires="wps">
            <w:drawing>
              <wp:anchor distT="0" distB="0" distL="114300" distR="114300" simplePos="0" relativeHeight="251753472" behindDoc="0" locked="0" layoutInCell="1" allowOverlap="1">
                <wp:simplePos x="0" y="0"/>
                <wp:positionH relativeFrom="column">
                  <wp:posOffset>2301240</wp:posOffset>
                </wp:positionH>
                <wp:positionV relativeFrom="paragraph">
                  <wp:posOffset>504825</wp:posOffset>
                </wp:positionV>
                <wp:extent cx="3914140" cy="424180"/>
                <wp:effectExtent l="4445" t="5080" r="5715" b="8890"/>
                <wp:wrapNone/>
                <wp:docPr id="92" name="文本框 34"/>
                <wp:cNvGraphicFramePr/>
                <a:graphic xmlns:a="http://schemas.openxmlformats.org/drawingml/2006/main">
                  <a:graphicData uri="http://schemas.microsoft.com/office/word/2010/wordprocessingShape">
                    <wps:wsp>
                      <wps:cNvSpPr txBox="1"/>
                      <wps:spPr>
                        <a:xfrm>
                          <a:off x="0" y="0"/>
                          <a:ext cx="3914140" cy="424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C4C943">
                            <w:pPr>
                              <w:rPr>
                                <w:rFonts w:hint="default" w:eastAsia="宋体"/>
                                <w:lang w:val="en-US" w:eastAsia="zh-CN"/>
                              </w:rPr>
                            </w:pPr>
                            <w:r>
                              <w:rPr>
                                <w:rFonts w:hint="eastAsia" w:ascii="Times New Roman" w:eastAsia="宋体"/>
                                <w:lang w:val="en-US" w:eastAsia="zh-CN"/>
                              </w:rPr>
                              <w:t>油</w:t>
                            </w:r>
                            <w:r>
                              <w:rPr>
                                <w:rFonts w:hint="eastAsia"/>
                                <w:lang w:val="en-US" w:eastAsia="zh-CN"/>
                              </w:rPr>
                              <w:t>粉</w:t>
                            </w:r>
                            <w:r>
                              <w:rPr>
                                <w:rFonts w:hint="eastAsia" w:ascii="Times New Roman" w:eastAsia="宋体"/>
                                <w:lang w:val="en-US" w:eastAsia="zh-CN"/>
                              </w:rPr>
                              <w:t>涂装</w:t>
                            </w:r>
                            <w:r>
                              <w:rPr>
                                <w:rFonts w:hint="eastAsia"/>
                                <w:lang w:val="en-US" w:eastAsia="zh-CN"/>
                              </w:rPr>
                              <w:t>线</w:t>
                            </w:r>
                            <w:r>
                              <w:rPr>
                                <w:rFonts w:hint="eastAsia" w:ascii="Times New Roman" w:eastAsia="宋体"/>
                                <w:lang w:val="en-US" w:eastAsia="zh-CN"/>
                              </w:rPr>
                              <w:t xml:space="preserve">                    固化区</w:t>
                            </w:r>
                          </w:p>
                        </w:txbxContent>
                      </wps:txbx>
                      <wps:bodyPr upright="1"/>
                    </wps:wsp>
                  </a:graphicData>
                </a:graphic>
              </wp:anchor>
            </w:drawing>
          </mc:Choice>
          <mc:Fallback>
            <w:pict>
              <v:shape id="文本框 34" o:spid="_x0000_s1026" o:spt="202" type="#_x0000_t202" style="position:absolute;left:0pt;margin-left:181.2pt;margin-top:39.75pt;height:33.4pt;width:308.2pt;z-index:251753472;mso-width-relative:page;mso-height-relative:page;" fillcolor="#FFFFFF" filled="t" stroked="t" coordsize="21600,21600" o:gfxdata="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4FRmtkAAAAKAQAADwAAAAAAAAAB&#10;ACAAAAAiAAAAZHJzL2Rvd25yZXYueG1sUEsBAhQAFAAAAAgAh07iQCVp5sIPAgAAOAQAAA4AAAAA&#10;AAAAAQAgAAAAKAEAAGRycy9lMm9Eb2MueG1sUEsFBgAAAAAGAAYAWQEAAKkFAAAAAA==&#10;">
                <v:fill on="t" focussize="0,0"/>
                <v:stroke color="#000000" joinstyle="miter"/>
                <v:imagedata o:title=""/>
                <o:lock v:ext="edit" aspectratio="f"/>
                <v:textbox>
                  <w:txbxContent>
                    <w:p w14:paraId="00C4C943">
                      <w:pPr>
                        <w:rPr>
                          <w:rFonts w:hint="default" w:eastAsia="宋体"/>
                          <w:lang w:val="en-US" w:eastAsia="zh-CN"/>
                        </w:rPr>
                      </w:pPr>
                      <w:r>
                        <w:rPr>
                          <w:rFonts w:hint="eastAsia" w:ascii="Times New Roman" w:eastAsia="宋体"/>
                          <w:lang w:val="en-US" w:eastAsia="zh-CN"/>
                        </w:rPr>
                        <w:t>油</w:t>
                      </w:r>
                      <w:r>
                        <w:rPr>
                          <w:rFonts w:hint="eastAsia"/>
                          <w:lang w:val="en-US" w:eastAsia="zh-CN"/>
                        </w:rPr>
                        <w:t>粉</w:t>
                      </w:r>
                      <w:r>
                        <w:rPr>
                          <w:rFonts w:hint="eastAsia" w:ascii="Times New Roman" w:eastAsia="宋体"/>
                          <w:lang w:val="en-US" w:eastAsia="zh-CN"/>
                        </w:rPr>
                        <w:t>涂装</w:t>
                      </w:r>
                      <w:r>
                        <w:rPr>
                          <w:rFonts w:hint="eastAsia"/>
                          <w:lang w:val="en-US" w:eastAsia="zh-CN"/>
                        </w:rPr>
                        <w:t>线</w:t>
                      </w:r>
                      <w:r>
                        <w:rPr>
                          <w:rFonts w:hint="eastAsia" w:ascii="Times New Roman" w:eastAsia="宋体"/>
                          <w:lang w:val="en-US" w:eastAsia="zh-CN"/>
                        </w:rPr>
                        <w:t xml:space="preserve">                    固化区</w:t>
                      </w:r>
                    </w:p>
                  </w:txbxContent>
                </v:textbox>
              </v:shape>
            </w:pict>
          </mc:Fallback>
        </mc:AlternateContent>
      </w:r>
      <w:r>
        <w:rPr>
          <w:sz w:val="18"/>
        </w:rPr>
        <mc:AlternateContent>
          <mc:Choice Requires="wpg">
            <w:drawing>
              <wp:anchor distT="0" distB="0" distL="114300" distR="114300" simplePos="0" relativeHeight="251756544" behindDoc="0" locked="0" layoutInCell="1" allowOverlap="1">
                <wp:simplePos x="0" y="0"/>
                <wp:positionH relativeFrom="column">
                  <wp:posOffset>1598295</wp:posOffset>
                </wp:positionH>
                <wp:positionV relativeFrom="paragraph">
                  <wp:posOffset>464185</wp:posOffset>
                </wp:positionV>
                <wp:extent cx="751840" cy="353060"/>
                <wp:effectExtent l="4445" t="0" r="0" b="0"/>
                <wp:wrapNone/>
                <wp:docPr id="115" name="组合 46"/>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99"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100" name="文本框 1881"/>
                        <wps:cNvSpPr txBox="1"/>
                        <wps:spPr>
                          <a:xfrm>
                            <a:off x="8924" y="1984447"/>
                            <a:ext cx="939" cy="556"/>
                          </a:xfrm>
                          <a:prstGeom prst="rect">
                            <a:avLst/>
                          </a:prstGeom>
                          <a:noFill/>
                          <a:ln>
                            <a:noFill/>
                          </a:ln>
                        </wps:spPr>
                        <wps:txbx>
                          <w:txbxContent>
                            <w:p w14:paraId="699D7BDD">
                              <w:pPr>
                                <w:rPr>
                                  <w:rFonts w:hint="default" w:eastAsia="宋体"/>
                                  <w:b/>
                                  <w:bCs/>
                                  <w:highlight w:val="yellow"/>
                                  <w:lang w:val="en-US" w:eastAsia="zh-CN"/>
                                </w:rPr>
                              </w:pPr>
                              <w:r>
                                <w:rPr>
                                  <w:rFonts w:hint="eastAsia"/>
                                  <w:b/>
                                  <w:bCs/>
                                  <w:highlight w:val="yellow"/>
                                  <w:lang w:val="en-US" w:eastAsia="zh-CN"/>
                                </w:rPr>
                                <w:t>DA001</w:t>
                              </w:r>
                            </w:p>
                          </w:txbxContent>
                        </wps:txbx>
                        <wps:bodyPr upright="1"/>
                      </wps:wsp>
                    </wpg:wgp>
                  </a:graphicData>
                </a:graphic>
              </wp:anchor>
            </w:drawing>
          </mc:Choice>
          <mc:Fallback>
            <w:pict>
              <v:group id="组合 46" o:spid="_x0000_s1026" o:spt="203" style="position:absolute;left:0pt;margin-left:125.85pt;margin-top:36.55pt;height:27.8pt;width:59.2pt;z-index:251756544;mso-width-relative:page;mso-height-relative:page;" coordorigin="8678,1984447" coordsize="1184,556" o:gfxdata="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ztxVndkAAAAKAQAADwAAAAAAAAABACAAAAAiAAAAZHJzL2Rvd25yZXYueG1sUEsBAhQAFAAA&#10;AAgAh07iQBfXFjPSAgAAyAYAAA4AAAAAAAAAAQAgAAAAKAEAAGRycy9lMm9Eb2MueG1sUEsFBgAA&#10;AAAGAAYAWQEAAGwGAAAAAA==&#10;">
                <o:lock v:ext="edit" aspectratio="f"/>
                <v:shape id="椭圆 1879" o:spid="_x0000_s1026" o:spt="3" type="#_x0000_t3" style="position:absolute;left:8678;top:1984667;height:192;width:180;" fillcolor="#00B0F0" filled="t" stroked="t" coordsize="21600,21600" o:gfxdata="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9BDO/&#10;AAAA2wAAAA8AAAAAAAAAAQAgAAAAIgAAAGRycy9kb3ducmV2LnhtbFBLAQIUABQAAAAIAIdO4kAz&#10;LwWeOwAAADkAAAAQAAAAAAAAAAEAIAAAAA4BAABkcnMvc2hhcGV4bWwueG1sUEsFBgAAAAAGAAYA&#10;WwEAALg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99D7BDD">
                        <w:pPr>
                          <w:rPr>
                            <w:rFonts w:hint="default" w:eastAsia="宋体"/>
                            <w:b/>
                            <w:bCs/>
                            <w:highlight w:val="yellow"/>
                            <w:lang w:val="en-US" w:eastAsia="zh-CN"/>
                          </w:rPr>
                        </w:pPr>
                        <w:r>
                          <w:rPr>
                            <w:rFonts w:hint="eastAsia"/>
                            <w:b/>
                            <w:bCs/>
                            <w:highlight w:val="yellow"/>
                            <w:lang w:val="en-US" w:eastAsia="zh-CN"/>
                          </w:rPr>
                          <w:t>DA001</w:t>
                        </w:r>
                      </w:p>
                    </w:txbxContent>
                  </v:textbox>
                </v:shape>
              </v:group>
            </w:pict>
          </mc:Fallback>
        </mc:AlternateContent>
      </w:r>
      <w:r>
        <w:rPr>
          <w:sz w:val="18"/>
        </w:rPr>
        <mc:AlternateContent>
          <mc:Choice Requires="wpg">
            <w:drawing>
              <wp:anchor distT="0" distB="0" distL="114300" distR="114300" simplePos="0" relativeHeight="251755520" behindDoc="0" locked="0" layoutInCell="1" allowOverlap="1">
                <wp:simplePos x="0" y="0"/>
                <wp:positionH relativeFrom="column">
                  <wp:posOffset>1708150</wp:posOffset>
                </wp:positionH>
                <wp:positionV relativeFrom="paragraph">
                  <wp:posOffset>2080895</wp:posOffset>
                </wp:positionV>
                <wp:extent cx="752475" cy="353060"/>
                <wp:effectExtent l="4445" t="0" r="0" b="0"/>
                <wp:wrapNone/>
                <wp:docPr id="116" name="组合 71"/>
                <wp:cNvGraphicFramePr/>
                <a:graphic xmlns:a="http://schemas.openxmlformats.org/drawingml/2006/main">
                  <a:graphicData uri="http://schemas.microsoft.com/office/word/2010/wordprocessingGroup">
                    <wpg:wgp>
                      <wpg:cNvGrpSpPr/>
                      <wpg:grpSpPr>
                        <a:xfrm>
                          <a:off x="0" y="0"/>
                          <a:ext cx="752475" cy="353060"/>
                          <a:chOff x="8470" y="1984850"/>
                          <a:chExt cx="1185" cy="556"/>
                        </a:xfrm>
                      </wpg:grpSpPr>
                      <wps:wsp>
                        <wps:cNvPr id="96" name="椭圆 1879"/>
                        <wps:cNvSpPr/>
                        <wps:spPr>
                          <a:xfrm>
                            <a:off x="8470" y="1985070"/>
                            <a:ext cx="180" cy="192"/>
                          </a:xfrm>
                          <a:prstGeom prst="ellipse">
                            <a:avLst/>
                          </a:prstGeom>
                          <a:solidFill>
                            <a:srgbClr val="00B0F0"/>
                          </a:solidFill>
                          <a:ln w="9525" cap="flat" cmpd="sng">
                            <a:solidFill>
                              <a:srgbClr val="000000"/>
                            </a:solidFill>
                            <a:prstDash val="solid"/>
                            <a:headEnd type="none" w="med" len="med"/>
                            <a:tailEnd type="none" w="med" len="med"/>
                          </a:ln>
                        </wps:spPr>
                        <wps:bodyPr vert="horz" anchor="t" anchorCtr="0" upright="1"/>
                      </wps:wsp>
                      <wps:wsp>
                        <wps:cNvPr id="97" name="文本框 1881"/>
                        <wps:cNvSpPr txBox="1"/>
                        <wps:spPr>
                          <a:xfrm>
                            <a:off x="8716" y="1984850"/>
                            <a:ext cx="939" cy="556"/>
                          </a:xfrm>
                          <a:prstGeom prst="rect">
                            <a:avLst/>
                          </a:prstGeom>
                          <a:noFill/>
                          <a:ln>
                            <a:noFill/>
                          </a:ln>
                        </wps:spPr>
                        <wps:txbx>
                          <w:txbxContent>
                            <w:p w14:paraId="3E8A7C86">
                              <w:pPr>
                                <w:rPr>
                                  <w:rFonts w:hint="default" w:eastAsia="宋体"/>
                                  <w:b/>
                                  <w:bCs/>
                                  <w:highlight w:val="yellow"/>
                                  <w:lang w:val="en-US" w:eastAsia="zh-CN"/>
                                </w:rPr>
                              </w:pPr>
                              <w:r>
                                <w:rPr>
                                  <w:rFonts w:hint="eastAsia"/>
                                  <w:b/>
                                  <w:bCs/>
                                  <w:highlight w:val="yellow"/>
                                  <w:lang w:val="en-US" w:eastAsia="zh-CN"/>
                                </w:rPr>
                                <w:t>DA002</w:t>
                              </w:r>
                            </w:p>
                          </w:txbxContent>
                        </wps:txbx>
                        <wps:bodyPr vert="horz" anchor="t" anchorCtr="0" upright="1"/>
                      </wps:wsp>
                    </wpg:wgp>
                  </a:graphicData>
                </a:graphic>
              </wp:anchor>
            </w:drawing>
          </mc:Choice>
          <mc:Fallback>
            <w:pict>
              <v:group id="组合 71" o:spid="_x0000_s1026" o:spt="203" style="position:absolute;left:0pt;margin-left:134.5pt;margin-top:163.85pt;height:27.8pt;width:59.25pt;z-index:251755520;mso-width-relative:page;mso-height-relative:page;" coordorigin="8470,1984850" coordsize="1185,556" o:gfxdata="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ARvGjLcAAAACwEAAA8AAAAAAAAAAQAgAAAAIgAAAGRycy9k&#10;b3ducmV2LnhtbFBLAQIUABQAAAAIAIdO4kCSmcn14gIAABEHAAAOAAAAAAAAAAEAIAAAACsBAABk&#10;cnMvZTJvRG9jLnhtbFBLBQYAAAAABgAGAFkBAAB/BgAAAAA=&#10;">
                <o:lock v:ext="edit" aspectratio="f"/>
                <v:shape id="椭圆 1879" o:spid="_x0000_s1026" o:spt="3" type="#_x0000_t3" style="position:absolute;left:8470;top:1985070;height:192;width:180;" fillcolor="#00B0F0" filled="t" stroked="t" coordsize="21600,21600" o:gfxdata="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IpBB&#10;wAAAANsAAAAPAAAAAAAAAAEAIAAAACIAAABkcnMvZG93bnJldi54bWxQSwECFAAUAAAACACHTuJA&#10;My8FnjsAAAA5AAAAEAAAAAAAAAABACAAAAAPAQAAZHJzL3NoYXBleG1sLnhtbFBLBQYAAAAABgAG&#10;AFsBAAC5AwAAAAA=&#10;">
                  <v:fill on="t" focussize="0,0"/>
                  <v:stroke color="#000000" joinstyle="round"/>
                  <v:imagedata o:title=""/>
                  <o:lock v:ext="edit" aspectratio="f"/>
                </v:shape>
                <v:shape id="文本框 1881" o:spid="_x0000_s1026" o:spt="202" type="#_x0000_t202" style="position:absolute;left:8716;top:1984850;height:556;width:939;" filled="f" stroked="f" coordsize="21600,21600" o:gfxdata="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iR3Y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E8A7C86">
                        <w:pPr>
                          <w:rPr>
                            <w:rFonts w:hint="default" w:eastAsia="宋体"/>
                            <w:b/>
                            <w:bCs/>
                            <w:highlight w:val="yellow"/>
                            <w:lang w:val="en-US" w:eastAsia="zh-CN"/>
                          </w:rPr>
                        </w:pPr>
                        <w:r>
                          <w:rPr>
                            <w:rFonts w:hint="eastAsia"/>
                            <w:b/>
                            <w:bCs/>
                            <w:highlight w:val="yellow"/>
                            <w:lang w:val="en-US" w:eastAsia="zh-CN"/>
                          </w:rPr>
                          <w:t>DA002</w:t>
                        </w:r>
                      </w:p>
                    </w:txbxContent>
                  </v:textbox>
                </v:shape>
              </v:group>
            </w:pict>
          </mc:Fallback>
        </mc:AlternateContent>
      </w:r>
      <w:r>
        <w:rPr>
          <w:sz w:val="21"/>
        </w:rPr>
        <mc:AlternateContent>
          <mc:Choice Requires="wpg">
            <w:drawing>
              <wp:anchor distT="0" distB="0" distL="114300" distR="114300" simplePos="0" relativeHeight="251754496" behindDoc="0" locked="0" layoutInCell="1" allowOverlap="1">
                <wp:simplePos x="0" y="0"/>
                <wp:positionH relativeFrom="column">
                  <wp:posOffset>3287395</wp:posOffset>
                </wp:positionH>
                <wp:positionV relativeFrom="paragraph">
                  <wp:posOffset>1075690</wp:posOffset>
                </wp:positionV>
                <wp:extent cx="1961515" cy="663575"/>
                <wp:effectExtent l="0" t="0" r="635" b="3175"/>
                <wp:wrapNone/>
                <wp:docPr id="117" name="组合 36"/>
                <wp:cNvGraphicFramePr/>
                <a:graphic xmlns:a="http://schemas.openxmlformats.org/drawingml/2006/main">
                  <a:graphicData uri="http://schemas.microsoft.com/office/word/2010/wordprocessingGroup">
                    <wpg:wgp>
                      <wpg:cNvGrpSpPr/>
                      <wpg:grpSpPr>
                        <a:xfrm>
                          <a:off x="0" y="0"/>
                          <a:ext cx="1961515" cy="663575"/>
                          <a:chOff x="9034" y="1983295"/>
                          <a:chExt cx="1534" cy="744"/>
                        </a:xfrm>
                      </wpg:grpSpPr>
                      <wps:wsp>
                        <wps:cNvPr id="93" name="文本框 37"/>
                        <wps:cNvSpPr txBox="1"/>
                        <wps:spPr>
                          <a:xfrm>
                            <a:off x="9054" y="1983295"/>
                            <a:ext cx="1514" cy="709"/>
                          </a:xfrm>
                          <a:prstGeom prst="rect">
                            <a:avLst/>
                          </a:prstGeom>
                          <a:solidFill>
                            <a:srgbClr val="FFFFFF"/>
                          </a:solidFill>
                          <a:ln>
                            <a:noFill/>
                          </a:ln>
                        </wps:spPr>
                        <wps:txbx>
                          <w:txbxContent>
                            <w:p w14:paraId="418F51B7">
                              <w:pPr>
                                <w:keepNext w:val="0"/>
                                <w:keepLines w:val="0"/>
                                <w:pageBreakBefore w:val="0"/>
                                <w:widowControl w:val="0"/>
                                <w:kinsoku/>
                                <w:wordWrap/>
                                <w:overflowPunct/>
                                <w:topLinePunct w:val="0"/>
                                <w:bidi w:val="0"/>
                                <w:snapToGrid/>
                                <w:spacing w:line="240" w:lineRule="atLeast"/>
                                <w:jc w:val="center"/>
                                <w:textAlignment w:val="auto"/>
                                <w:rPr>
                                  <w:rFonts w:hint="default"/>
                                  <w:b/>
                                  <w:bCs/>
                                  <w:color w:val="C00000"/>
                                  <w:sz w:val="21"/>
                                  <w:szCs w:val="21"/>
                                  <w:lang w:val="en-US" w:eastAsia="zh-CN"/>
                                </w:rPr>
                              </w:pPr>
                              <w:r>
                                <w:rPr>
                                  <w:rFonts w:hint="eastAsia" w:ascii="Times New Roman" w:eastAsia="宋体"/>
                                  <w:b/>
                                  <w:bCs/>
                                  <w:color w:val="C00000"/>
                                  <w:sz w:val="21"/>
                                  <w:szCs w:val="21"/>
                                  <w:lang w:val="en-US" w:eastAsia="zh-CN"/>
                                </w:rPr>
                                <w:t>四号车间</w:t>
                              </w:r>
                            </w:p>
                          </w:txbxContent>
                        </wps:txbx>
                        <wps:bodyPr vert="horz" anchor="t" anchorCtr="0" upright="1"/>
                      </wps:wsp>
                      <wps:wsp>
                        <wps:cNvPr id="94" name="文本框 38"/>
                        <wps:cNvSpPr txBox="1"/>
                        <wps:spPr>
                          <a:xfrm>
                            <a:off x="9034" y="1983561"/>
                            <a:ext cx="1514" cy="478"/>
                          </a:xfrm>
                          <a:prstGeom prst="rect">
                            <a:avLst/>
                          </a:prstGeom>
                          <a:noFill/>
                          <a:ln>
                            <a:noFill/>
                          </a:ln>
                        </wps:spPr>
                        <wps:txbx>
                          <w:txbxContent>
                            <w:p w14:paraId="1354E750">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default" w:ascii="宋体....." w:hAnsi="Times New Roman" w:eastAsia="宋体....." w:cs="宋体....."/>
                                  <w:b/>
                                  <w:bCs/>
                                  <w:color w:val="C00000"/>
                                  <w:kern w:val="2"/>
                                  <w:sz w:val="21"/>
                                  <w:szCs w:val="21"/>
                                  <w:lang w:val="en-US" w:eastAsia="zh-CN" w:bidi="ar-SA"/>
                                </w:rPr>
                              </w:pPr>
                              <w:r>
                                <w:rPr>
                                  <w:rFonts w:hint="eastAsia" w:ascii="宋体....." w:hAnsi="Times New Roman" w:eastAsia="宋体....." w:cs="宋体....."/>
                                  <w:b/>
                                  <w:bCs/>
                                  <w:color w:val="C00000"/>
                                  <w:kern w:val="2"/>
                                  <w:sz w:val="21"/>
                                  <w:szCs w:val="21"/>
                                  <w:lang w:val="en-US" w:eastAsia="zh-CN" w:bidi="ar-SA"/>
                                </w:rPr>
                                <w:t>漆粉涂装车间</w:t>
                              </w:r>
                            </w:p>
                          </w:txbxContent>
                        </wps:txbx>
                        <wps:bodyPr vert="horz" anchor="t" anchorCtr="0" upright="1"/>
                      </wps:wsp>
                    </wpg:wgp>
                  </a:graphicData>
                </a:graphic>
              </wp:anchor>
            </w:drawing>
          </mc:Choice>
          <mc:Fallback>
            <w:pict>
              <v:group id="组合 36" o:spid="_x0000_s1026" o:spt="203" style="position:absolute;left:0pt;margin-left:258.85pt;margin-top:84.7pt;height:52.25pt;width:154.45pt;z-index:251754496;mso-width-relative:page;mso-height-relative:page;" coordorigin="9034,1983295" coordsize="1534,744" o:gfxdata="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h8AJHNsAAAALAQAADwAAAAAAAAABACAA&#10;AAAiAAAAZHJzL2Rvd25yZXYueG1sUEsBAhQAFAAAAAgAh07iQFdNpaF8AgAAcAYAAA4AAAAAAAAA&#10;AQAgAAAAKgEAAGRycy9lMm9Eb2MueG1sUEsFBgAAAAAGAAYAWQEAABgGAAAAAA==&#10;">
                <o:lock v:ext="edit" aspectratio="f"/>
                <v:shape id="文本框 37" o:spid="_x0000_s1026" o:spt="202" type="#_x0000_t202" style="position:absolute;left:9054;top:1983295;height:709;width:1514;" fillcolor="#FFFFFF" filled="t" stroked="f" coordsize="21600,21600" o:gfxdata="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1M1X7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418F51B7">
                        <w:pPr>
                          <w:keepNext w:val="0"/>
                          <w:keepLines w:val="0"/>
                          <w:pageBreakBefore w:val="0"/>
                          <w:widowControl w:val="0"/>
                          <w:kinsoku/>
                          <w:wordWrap/>
                          <w:overflowPunct/>
                          <w:topLinePunct w:val="0"/>
                          <w:bidi w:val="0"/>
                          <w:snapToGrid/>
                          <w:spacing w:line="240" w:lineRule="atLeast"/>
                          <w:jc w:val="center"/>
                          <w:textAlignment w:val="auto"/>
                          <w:rPr>
                            <w:rFonts w:hint="default"/>
                            <w:b/>
                            <w:bCs/>
                            <w:color w:val="C00000"/>
                            <w:sz w:val="21"/>
                            <w:szCs w:val="21"/>
                            <w:lang w:val="en-US" w:eastAsia="zh-CN"/>
                          </w:rPr>
                        </w:pPr>
                        <w:r>
                          <w:rPr>
                            <w:rFonts w:hint="eastAsia" w:ascii="Times New Roman" w:eastAsia="宋体"/>
                            <w:b/>
                            <w:bCs/>
                            <w:color w:val="C00000"/>
                            <w:sz w:val="21"/>
                            <w:szCs w:val="21"/>
                            <w:lang w:val="en-US" w:eastAsia="zh-CN"/>
                          </w:rPr>
                          <w:t>四号车间</w:t>
                        </w:r>
                      </w:p>
                    </w:txbxContent>
                  </v:textbox>
                </v:shape>
                <v:shape id="文本框 38" o:spid="_x0000_s1026" o:spt="202" type="#_x0000_t202" style="position:absolute;left:9034;top:1983561;height:478;width:1514;" filled="f" stroked="f" coordsize="21600,21600" o:gfxdata="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uDr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354E750">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default" w:ascii="宋体....." w:hAnsi="Times New Roman" w:eastAsia="宋体....." w:cs="宋体....."/>
                            <w:b/>
                            <w:bCs/>
                            <w:color w:val="C00000"/>
                            <w:kern w:val="2"/>
                            <w:sz w:val="21"/>
                            <w:szCs w:val="21"/>
                            <w:lang w:val="en-US" w:eastAsia="zh-CN" w:bidi="ar-SA"/>
                          </w:rPr>
                        </w:pPr>
                        <w:r>
                          <w:rPr>
                            <w:rFonts w:hint="eastAsia" w:ascii="宋体....." w:hAnsi="Times New Roman" w:eastAsia="宋体....." w:cs="宋体....."/>
                            <w:b/>
                            <w:bCs/>
                            <w:color w:val="C00000"/>
                            <w:kern w:val="2"/>
                            <w:sz w:val="21"/>
                            <w:szCs w:val="21"/>
                            <w:lang w:val="en-US" w:eastAsia="zh-CN" w:bidi="ar-SA"/>
                          </w:rPr>
                          <w:t>漆粉涂装车间</w:t>
                        </w:r>
                      </w:p>
                    </w:txbxContent>
                  </v:textbox>
                </v:shape>
              </v:group>
            </w:pict>
          </mc:Fallback>
        </mc:AlternateContent>
      </w:r>
      <w:r>
        <w:rPr>
          <w:color w:val="auto"/>
          <w:highlight w:val="none"/>
        </w:rPr>
        <w:drawing>
          <wp:inline distT="0" distB="0" distL="114300" distR="114300">
            <wp:extent cx="5694045" cy="3095625"/>
            <wp:effectExtent l="0" t="0" r="1905" b="9525"/>
            <wp:docPr id="177"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671"/>
                    <pic:cNvPicPr>
                      <a:picLocks noChangeAspect="1"/>
                    </pic:cNvPicPr>
                  </pic:nvPicPr>
                  <pic:blipFill>
                    <a:blip r:embed="rId70"/>
                    <a:stretch>
                      <a:fillRect/>
                    </a:stretch>
                  </pic:blipFill>
                  <pic:spPr>
                    <a:xfrm>
                      <a:off x="0" y="0"/>
                      <a:ext cx="5694045" cy="3095625"/>
                    </a:xfrm>
                    <a:prstGeom prst="rect">
                      <a:avLst/>
                    </a:prstGeom>
                    <a:noFill/>
                    <a:ln>
                      <a:noFill/>
                    </a:ln>
                  </pic:spPr>
                </pic:pic>
              </a:graphicData>
            </a:graphic>
          </wp:inline>
        </w:drawing>
      </w:r>
    </w:p>
    <w:p w14:paraId="7F8DF7EA">
      <w:pPr>
        <w:bidi w:val="0"/>
        <w:rPr>
          <w:rFonts w:hint="default"/>
          <w:color w:val="auto"/>
          <w:highlight w:val="none"/>
          <w:lang w:val="en-US" w:eastAsia="zh-CN"/>
        </w:rPr>
      </w:pPr>
    </w:p>
    <w:p w14:paraId="7861DB18">
      <w:pPr>
        <w:tabs>
          <w:tab w:val="left" w:pos="5855"/>
        </w:tabs>
        <w:bidi w:val="0"/>
        <w:jc w:val="center"/>
        <w:outlineLvl w:val="0"/>
        <w:rPr>
          <w:rFonts w:hint="default"/>
          <w:color w:val="auto"/>
          <w:highlight w:val="none"/>
          <w:lang w:val="en-US" w:eastAsia="zh-CN"/>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5" w:name="_Toc3620"/>
      <w:r>
        <w:rPr>
          <w:rFonts w:hint="default" w:ascii="Times New Roman" w:hAnsi="Times New Roman" w:eastAsia="宋体" w:cs="Times New Roman"/>
          <w:b/>
          <w:bCs/>
          <w:color w:val="auto"/>
          <w:sz w:val="24"/>
          <w:highlight w:val="none"/>
        </w:rPr>
        <w:t>附图</w:t>
      </w:r>
      <w:r>
        <w:rPr>
          <w:rFonts w:hint="eastAsia" w:ascii="Times New Roman" w:hAnsi="Times New Roman" w:eastAsia="宋体" w:cs="Times New Roman"/>
          <w:b/>
          <w:bCs/>
          <w:color w:val="auto"/>
          <w:sz w:val="24"/>
          <w:highlight w:val="none"/>
          <w:lang w:val="en-US" w:eastAsia="zh-CN"/>
        </w:rPr>
        <w:t>5-2</w:t>
      </w:r>
      <w:r>
        <w:rPr>
          <w:rFonts w:hint="default" w:ascii="Times New Roman" w:hAnsi="Times New Roman" w:eastAsia="宋体" w:cs="Times New Roman"/>
          <w:b/>
          <w:bCs/>
          <w:color w:val="auto"/>
          <w:sz w:val="24"/>
          <w:highlight w:val="none"/>
        </w:rPr>
        <w:t xml:space="preserve"> 项目</w:t>
      </w:r>
      <w:r>
        <w:rPr>
          <w:rFonts w:hint="eastAsia" w:ascii="Times New Roman" w:hAnsi="Times New Roman" w:eastAsia="宋体" w:cs="Times New Roman"/>
          <w:b/>
          <w:bCs/>
          <w:color w:val="auto"/>
          <w:sz w:val="24"/>
          <w:highlight w:val="none"/>
          <w:lang w:val="en-US" w:eastAsia="zh-CN"/>
        </w:rPr>
        <w:t>4#厂房</w:t>
      </w:r>
      <w:r>
        <w:rPr>
          <w:rFonts w:hint="default" w:ascii="Times New Roman" w:hAnsi="Times New Roman" w:eastAsia="宋体" w:cs="Times New Roman"/>
          <w:b/>
          <w:bCs/>
          <w:color w:val="auto"/>
          <w:sz w:val="24"/>
          <w:highlight w:val="none"/>
        </w:rPr>
        <w:t>平面</w:t>
      </w:r>
      <w:r>
        <w:rPr>
          <w:rFonts w:hint="default" w:ascii="Times New Roman" w:hAnsi="Times New Roman" w:cs="Times New Roman"/>
          <w:b/>
          <w:bCs/>
          <w:color w:val="auto"/>
          <w:sz w:val="24"/>
          <w:highlight w:val="none"/>
        </w:rPr>
        <w:t>布置图</w:t>
      </w:r>
      <w:bookmarkEnd w:id="75"/>
    </w:p>
    <w:p w14:paraId="2E63B14D">
      <w:pPr>
        <w:jc w:val="center"/>
        <w:outlineLvl w:val="9"/>
        <w:rPr>
          <w:rFonts w:hint="default"/>
          <w:color w:val="auto"/>
          <w:highlight w:val="none"/>
          <w:lang w:val="en-US" w:eastAsia="zh-CN"/>
        </w:rPr>
      </w:pPr>
      <w:r>
        <w:rPr>
          <w:color w:val="auto"/>
          <w:highlight w:val="none"/>
        </w:rPr>
        <w:drawing>
          <wp:inline distT="0" distB="0" distL="114300" distR="114300">
            <wp:extent cx="6765925" cy="3666490"/>
            <wp:effectExtent l="0" t="0" r="15875" b="10160"/>
            <wp:docPr id="119"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660"/>
                    <pic:cNvPicPr>
                      <a:picLocks noChangeAspect="1"/>
                    </pic:cNvPicPr>
                  </pic:nvPicPr>
                  <pic:blipFill>
                    <a:blip r:embed="rId71"/>
                    <a:stretch>
                      <a:fillRect/>
                    </a:stretch>
                  </pic:blipFill>
                  <pic:spPr>
                    <a:xfrm>
                      <a:off x="0" y="0"/>
                      <a:ext cx="6765925" cy="3666490"/>
                    </a:xfrm>
                    <a:prstGeom prst="rect">
                      <a:avLst/>
                    </a:prstGeom>
                    <a:noFill/>
                    <a:ln>
                      <a:noFill/>
                    </a:ln>
                  </pic:spPr>
                </pic:pic>
              </a:graphicData>
            </a:graphic>
          </wp:inline>
        </w:drawing>
      </w:r>
    </w:p>
    <w:p w14:paraId="3607CF44">
      <w:pPr>
        <w:bidi w:val="0"/>
        <w:rPr>
          <w:rFonts w:hint="default"/>
          <w:color w:val="auto"/>
          <w:highlight w:val="none"/>
          <w:lang w:val="en-US" w:eastAsia="zh-CN"/>
        </w:rPr>
      </w:pPr>
    </w:p>
    <w:p w14:paraId="0BD09C12">
      <w:pPr>
        <w:tabs>
          <w:tab w:val="left" w:pos="5239"/>
        </w:tabs>
        <w:bidi w:val="0"/>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6" w:name="_Toc4729"/>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5-3</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3#厂房</w:t>
      </w:r>
      <w:r>
        <w:rPr>
          <w:rFonts w:hint="default" w:ascii="Times New Roman" w:hAnsi="Times New Roman" w:cs="Times New Roman"/>
          <w:b/>
          <w:bCs/>
          <w:color w:val="auto"/>
          <w:sz w:val="24"/>
          <w:highlight w:val="none"/>
        </w:rPr>
        <w:t>平面布置图</w:t>
      </w:r>
      <w:bookmarkEnd w:id="76"/>
    </w:p>
    <w:p w14:paraId="760981A1">
      <w:pPr>
        <w:tabs>
          <w:tab w:val="left" w:pos="5239"/>
        </w:tabs>
        <w:bidi w:val="0"/>
        <w:jc w:val="center"/>
        <w:rPr>
          <w:color w:val="auto"/>
          <w:sz w:val="18"/>
          <w:highlight w:val="none"/>
        </w:rPr>
      </w:pPr>
      <w:r>
        <w:rPr>
          <w:color w:val="auto"/>
          <w:highlight w:val="none"/>
        </w:rPr>
        <w:drawing>
          <wp:inline distT="0" distB="0" distL="114300" distR="114300">
            <wp:extent cx="6352540" cy="3908425"/>
            <wp:effectExtent l="0" t="0" r="10160" b="15875"/>
            <wp:docPr id="120"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659"/>
                    <pic:cNvPicPr>
                      <a:picLocks noChangeAspect="1"/>
                    </pic:cNvPicPr>
                  </pic:nvPicPr>
                  <pic:blipFill>
                    <a:blip r:embed="rId72"/>
                    <a:stretch>
                      <a:fillRect/>
                    </a:stretch>
                  </pic:blipFill>
                  <pic:spPr>
                    <a:xfrm>
                      <a:off x="0" y="0"/>
                      <a:ext cx="6352540" cy="3908425"/>
                    </a:xfrm>
                    <a:prstGeom prst="rect">
                      <a:avLst/>
                    </a:prstGeom>
                    <a:noFill/>
                    <a:ln>
                      <a:noFill/>
                    </a:ln>
                  </pic:spPr>
                </pic:pic>
              </a:graphicData>
            </a:graphic>
          </wp:inline>
        </w:drawing>
      </w:r>
    </w:p>
    <w:p w14:paraId="08D6075A">
      <w:pPr>
        <w:bidi w:val="0"/>
        <w:rPr>
          <w:rFonts w:hint="default"/>
          <w:color w:val="auto"/>
          <w:kern w:val="2"/>
          <w:sz w:val="21"/>
          <w:szCs w:val="24"/>
          <w:highlight w:val="none"/>
          <w:lang w:val="en-US" w:eastAsia="zh-CN" w:bidi="ar-SA"/>
        </w:rPr>
      </w:pPr>
    </w:p>
    <w:p w14:paraId="4FF5EAA1">
      <w:pPr>
        <w:bidi w:val="0"/>
        <w:rPr>
          <w:rFonts w:hint="default"/>
          <w:color w:val="auto"/>
          <w:highlight w:val="none"/>
          <w:lang w:val="en-US" w:eastAsia="zh-CN"/>
        </w:rPr>
      </w:pPr>
    </w:p>
    <w:p w14:paraId="525FDD16">
      <w:pPr>
        <w:tabs>
          <w:tab w:val="left" w:pos="6061"/>
        </w:tabs>
        <w:bidi w:val="0"/>
        <w:jc w:val="center"/>
        <w:outlineLvl w:val="0"/>
        <w:rPr>
          <w:rFonts w:hint="default"/>
          <w:color w:val="auto"/>
          <w:highlight w:val="none"/>
          <w:lang w:val="en-US" w:eastAsia="zh-CN"/>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7" w:name="_Toc8724"/>
      <w:bookmarkStart w:id="78" w:name="_Toc1393"/>
      <w:bookmarkStart w:id="79" w:name="_Toc15186"/>
      <w:bookmarkStart w:id="80" w:name="_Toc22683"/>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5-4</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2#厂房</w:t>
      </w:r>
      <w:r>
        <w:rPr>
          <w:rFonts w:hint="default" w:ascii="Times New Roman" w:hAnsi="Times New Roman" w:cs="Times New Roman"/>
          <w:b/>
          <w:bCs/>
          <w:color w:val="auto"/>
          <w:sz w:val="24"/>
          <w:highlight w:val="none"/>
        </w:rPr>
        <w:t>平面布置图</w:t>
      </w:r>
      <w:bookmarkEnd w:id="77"/>
      <w:bookmarkEnd w:id="78"/>
      <w:bookmarkEnd w:id="79"/>
      <w:bookmarkEnd w:id="80"/>
    </w:p>
    <w:p w14:paraId="2D5F165D">
      <w:pPr>
        <w:bidi w:val="0"/>
        <w:rPr>
          <w:color w:val="auto"/>
          <w:highlight w:val="none"/>
        </w:rPr>
      </w:pPr>
      <w:bookmarkStart w:id="81" w:name="_Toc32466"/>
      <w:bookmarkStart w:id="82" w:name="_Toc6851"/>
      <w:bookmarkStart w:id="83" w:name="_Toc31552"/>
    </w:p>
    <w:p w14:paraId="69752B7E">
      <w:pPr>
        <w:bidi w:val="0"/>
        <w:rPr>
          <w:color w:val="auto"/>
          <w:highlight w:val="none"/>
        </w:rPr>
      </w:pPr>
    </w:p>
    <w:p w14:paraId="634715AA">
      <w:pPr>
        <w:tabs>
          <w:tab w:val="left" w:pos="5220"/>
        </w:tabs>
        <w:bidi w:val="0"/>
        <w:jc w:val="center"/>
        <w:rPr>
          <w:rFonts w:hint="eastAsia" w:eastAsia="宋体"/>
          <w:color w:val="auto"/>
          <w:highlight w:val="none"/>
          <w:lang w:eastAsia="zh-CN"/>
        </w:rPr>
      </w:pPr>
      <w:r>
        <w:rPr>
          <w:color w:val="auto"/>
          <w:highlight w:val="none"/>
        </w:rPr>
        <w:drawing>
          <wp:inline distT="0" distB="0" distL="114300" distR="114300">
            <wp:extent cx="4972050" cy="2781300"/>
            <wp:effectExtent l="0" t="0" r="0" b="0"/>
            <wp:docPr id="12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661"/>
                    <pic:cNvPicPr>
                      <a:picLocks noChangeAspect="1"/>
                    </pic:cNvPicPr>
                  </pic:nvPicPr>
                  <pic:blipFill>
                    <a:blip r:embed="rId73"/>
                    <a:stretch>
                      <a:fillRect/>
                    </a:stretch>
                  </pic:blipFill>
                  <pic:spPr>
                    <a:xfrm>
                      <a:off x="0" y="0"/>
                      <a:ext cx="4972050" cy="2781300"/>
                    </a:xfrm>
                    <a:prstGeom prst="rect">
                      <a:avLst/>
                    </a:prstGeom>
                    <a:noFill/>
                    <a:ln>
                      <a:noFill/>
                    </a:ln>
                  </pic:spPr>
                </pic:pic>
              </a:graphicData>
            </a:graphic>
          </wp:inline>
        </w:drawing>
      </w:r>
    </w:p>
    <w:p w14:paraId="12A3C080">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p>
    <w:p w14:paraId="4A7C0AC0">
      <w:pPr>
        <w:jc w:val="center"/>
        <w:outlineLvl w:val="9"/>
        <w:rPr>
          <w:rFonts w:hint="default" w:ascii="Times New Roman" w:hAnsi="Times New Roman" w:cs="Times New Roman"/>
          <w:b/>
          <w:bCs/>
          <w:color w:val="auto"/>
          <w:sz w:val="24"/>
          <w:highlight w:val="none"/>
        </w:rPr>
      </w:pPr>
    </w:p>
    <w:p w14:paraId="217BD6F5">
      <w:pPr>
        <w:bidi w:val="0"/>
        <w:rPr>
          <w:rFonts w:hint="default"/>
          <w:color w:val="auto"/>
          <w:kern w:val="2"/>
          <w:sz w:val="21"/>
          <w:szCs w:val="24"/>
          <w:highlight w:val="none"/>
          <w:lang w:val="en-US" w:eastAsia="zh-CN" w:bidi="ar-SA"/>
        </w:rPr>
      </w:pPr>
    </w:p>
    <w:p w14:paraId="627EE4F1">
      <w:pPr>
        <w:bidi w:val="0"/>
        <w:rPr>
          <w:rFonts w:hint="default"/>
          <w:color w:val="auto"/>
          <w:highlight w:val="none"/>
          <w:lang w:val="en-US" w:eastAsia="zh-CN"/>
        </w:rPr>
      </w:pPr>
    </w:p>
    <w:p w14:paraId="32D39522">
      <w:pPr>
        <w:tabs>
          <w:tab w:val="left" w:pos="5862"/>
        </w:tabs>
        <w:bidi w:val="0"/>
        <w:jc w:val="center"/>
        <w:outlineLvl w:val="0"/>
        <w:rPr>
          <w:color w:val="auto"/>
          <w:highlight w:val="none"/>
        </w:rPr>
      </w:pPr>
      <w:bookmarkStart w:id="84" w:name="_Toc24556"/>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5-5</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1#厂房</w:t>
      </w:r>
      <w:r>
        <w:rPr>
          <w:rFonts w:hint="default" w:ascii="Times New Roman" w:hAnsi="Times New Roman" w:cs="Times New Roman"/>
          <w:b/>
          <w:bCs/>
          <w:color w:val="auto"/>
          <w:sz w:val="24"/>
          <w:highlight w:val="none"/>
        </w:rPr>
        <w:t>平面布置图</w:t>
      </w:r>
      <w:bookmarkEnd w:id="84"/>
    </w:p>
    <w:p w14:paraId="69B23C0E">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p>
    <w:p w14:paraId="5B9E4683">
      <w:pPr>
        <w:widowControl w:val="0"/>
        <w:autoSpaceDE w:val="0"/>
        <w:autoSpaceDN w:val="0"/>
        <w:adjustRightInd w:val="0"/>
        <w:jc w:val="center"/>
        <w:rPr>
          <w:rFonts w:ascii="Times New Roman" w:hAnsi="Times New Roman" w:eastAsia="宋体....." w:cs="Times New Roman"/>
          <w:color w:val="auto"/>
          <w:kern w:val="2"/>
          <w:sz w:val="24"/>
          <w:szCs w:val="24"/>
          <w:highlight w:val="none"/>
          <w:lang w:val="en-US" w:eastAsia="zh-CN" w:bidi="ar-SA"/>
        </w:rPr>
      </w:pPr>
      <w:r>
        <w:rPr>
          <w:rFonts w:ascii="宋体....." w:hAnsi="Times New Roman" w:eastAsia="宋体....." w:cs="宋体....."/>
          <w:color w:val="auto"/>
          <w:kern w:val="2"/>
          <w:sz w:val="32"/>
          <w:szCs w:val="24"/>
          <w:highlight w:val="none"/>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3756660</wp:posOffset>
                </wp:positionH>
                <wp:positionV relativeFrom="paragraph">
                  <wp:posOffset>3263900</wp:posOffset>
                </wp:positionV>
                <wp:extent cx="139065" cy="141605"/>
                <wp:effectExtent l="4445" t="4445" r="8890" b="6350"/>
                <wp:wrapNone/>
                <wp:docPr id="291" name="五角星 291"/>
                <wp:cNvGraphicFramePr/>
                <a:graphic xmlns:a="http://schemas.openxmlformats.org/drawingml/2006/main">
                  <a:graphicData uri="http://schemas.microsoft.com/office/word/2010/wordprocessingShape">
                    <wps:wsp>
                      <wps:cNvSpPr/>
                      <wps:spPr>
                        <a:xfrm>
                          <a:off x="3783965" y="2263140"/>
                          <a:ext cx="139065" cy="141605"/>
                        </a:xfrm>
                        <a:prstGeom prst="star5">
                          <a:avLst/>
                        </a:prstGeom>
                        <a:solidFill>
                          <a:srgbClr val="FF0000"/>
                        </a:solidFill>
                        <a:ln w="9525"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95.8pt;margin-top:257pt;height:11.15pt;width:10.95pt;z-index:251663360;v-text-anchor:middle;mso-width-relative:page;mso-height-relative:page;" fillcolor="#FF0000" filled="t" stroked="t" coordsize="139065,141605" o:gfxdata="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ZHfd2QAAAAsBAAAPAAAAAAAAAAEAIAAA&#10;ACIAAABkcnMvZG93bnJldi54bWxQSwECFAAUAAAACACHTuJA6+6Xm30CAAD9BAAADgAAAAAAAAAB&#10;ACAAAAAoAQAAZHJzL2Uyb0RvYy54bWxQSwUGAAAAAAYABgBZAQAAFwYAAAAA&#10;" path="m0,54088l53118,54088,69532,0,85946,54088,139064,54088,96091,87516,112505,141604,69532,108175,26559,141604,42973,87516xe">
                <v:path o:connectlocs="69532,0;0,54088;26559,141604;112505,141604;139064,54088" o:connectangles="247,164,82,82,0"/>
                <v:fill on="t" focussize="0,0"/>
                <v:stroke color="#000000" joinstyle="round"/>
                <v:imagedata o:title=""/>
                <o:lock v:ext="edit" aspectratio="f"/>
              </v:shape>
            </w:pict>
          </mc:Fallback>
        </mc:AlternateContent>
      </w:r>
      <w:r>
        <w:rPr>
          <w:rFonts w:ascii="宋体....." w:hAnsi="Times New Roman" w:eastAsia="宋体....." w:cs="宋体....."/>
          <w:color w:val="auto"/>
          <w:kern w:val="2"/>
          <w:sz w:val="32"/>
          <w:szCs w:val="24"/>
          <w:highlight w:val="none"/>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4144010</wp:posOffset>
                </wp:positionH>
                <wp:positionV relativeFrom="paragraph">
                  <wp:posOffset>2464435</wp:posOffset>
                </wp:positionV>
                <wp:extent cx="967105" cy="358775"/>
                <wp:effectExtent l="306705" t="4445" r="21590" b="551180"/>
                <wp:wrapNone/>
                <wp:docPr id="7" name="圆角矩形标注 292"/>
                <wp:cNvGraphicFramePr/>
                <a:graphic xmlns:a="http://schemas.openxmlformats.org/drawingml/2006/main">
                  <a:graphicData uri="http://schemas.microsoft.com/office/word/2010/wordprocessingShape">
                    <wps:wsp>
                      <wps:cNvSpPr/>
                      <wps:spPr>
                        <a:xfrm>
                          <a:off x="0" y="0"/>
                          <a:ext cx="967105" cy="358775"/>
                        </a:xfrm>
                        <a:prstGeom prst="wedgeRoundRectCallout">
                          <a:avLst>
                            <a:gd name="adj1" fmla="val -81250"/>
                            <a:gd name="adj2" fmla="val 199204"/>
                            <a:gd name="adj3" fmla="val 16667"/>
                          </a:avLst>
                        </a:prstGeom>
                        <a:solidFill>
                          <a:srgbClr val="FFFFFF"/>
                        </a:solidFill>
                        <a:ln w="9525" cap="flat" cmpd="sng">
                          <a:solidFill>
                            <a:srgbClr val="000000"/>
                          </a:solidFill>
                          <a:prstDash val="solid"/>
                          <a:round/>
                          <a:headEnd type="none" w="med" len="med"/>
                          <a:tailEnd type="none" w="med" len="med"/>
                        </a:ln>
                      </wps:spPr>
                      <wps:txbx>
                        <w:txbxContent>
                          <w:p w14:paraId="05DA48DB">
                            <w:pPr>
                              <w:keepNext w:val="0"/>
                              <w:keepLines w:val="0"/>
                              <w:pageBreakBefore w:val="0"/>
                              <w:widowControl w:val="0"/>
                              <w:kinsoku/>
                              <w:wordWrap/>
                              <w:overflowPunct/>
                              <w:topLinePunct w:val="0"/>
                              <w:bidi w:val="0"/>
                              <w:adjustRightInd/>
                              <w:snapToGrid w:val="0"/>
                              <w:jc w:val="center"/>
                              <w:textAlignment w:val="auto"/>
                              <w:rPr>
                                <w:b/>
                                <w:bCs/>
                                <w:color w:val="000000"/>
                                <w:sz w:val="28"/>
                                <w:szCs w:val="28"/>
                              </w:rPr>
                            </w:pPr>
                            <w:r>
                              <w:rPr>
                                <w:rFonts w:hint="eastAsia"/>
                                <w:b/>
                                <w:bCs/>
                                <w:color w:val="000000"/>
                                <w:sz w:val="28"/>
                                <w:szCs w:val="28"/>
                              </w:rPr>
                              <w:t>项目位置</w:t>
                            </w:r>
                          </w:p>
                        </w:txbxContent>
                      </wps:txbx>
                      <wps:bodyPr vert="horz" wrap="square" anchor="ctr" anchorCtr="0" upright="1"/>
                    </wps:wsp>
                  </a:graphicData>
                </a:graphic>
              </wp:anchor>
            </w:drawing>
          </mc:Choice>
          <mc:Fallback>
            <w:pict>
              <v:shape id="圆角矩形标注 292" o:spid="_x0000_s1026" o:spt="62" type="#_x0000_t62" style="position:absolute;left:0pt;margin-left:326.3pt;margin-top:194.05pt;height:28.25pt;width:76.15pt;z-index:251664384;v-text-anchor:middle;mso-width-relative:page;mso-height-relative:page;" fillcolor="#FFFFFF" filled="t" stroked="t" coordsize="21600,21600" o:gfxdata="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BdP5orbAAAACwEAAA8AAAAAAAAAAQAgAAAAIgAAAGRycy9k&#10;b3ducmV2LnhtbFBLAQIUABQAAAAIAIdO4kDiZJBRcQIAAPMEAAAOAAAAAAAAAAEAIAAAACoBAABk&#10;cnMvZTJvRG9jLnhtbFBLBQYAAAAABgAGAFkBAAANBgAAAAA=&#10;" adj="-6750,53828,14400">
                <v:fill on="t" focussize="0,0"/>
                <v:stroke color="#000000" joinstyle="round"/>
                <v:imagedata o:title=""/>
                <o:lock v:ext="edit" aspectratio="f"/>
                <v:textbox>
                  <w:txbxContent>
                    <w:p w14:paraId="05DA48DB">
                      <w:pPr>
                        <w:keepNext w:val="0"/>
                        <w:keepLines w:val="0"/>
                        <w:pageBreakBefore w:val="0"/>
                        <w:widowControl w:val="0"/>
                        <w:kinsoku/>
                        <w:wordWrap/>
                        <w:overflowPunct/>
                        <w:topLinePunct w:val="0"/>
                        <w:bidi w:val="0"/>
                        <w:adjustRightInd/>
                        <w:snapToGrid w:val="0"/>
                        <w:jc w:val="center"/>
                        <w:textAlignment w:val="auto"/>
                        <w:rPr>
                          <w:b/>
                          <w:bCs/>
                          <w:color w:val="000000"/>
                          <w:sz w:val="28"/>
                          <w:szCs w:val="28"/>
                        </w:rPr>
                      </w:pPr>
                      <w:r>
                        <w:rPr>
                          <w:rFonts w:hint="eastAsia"/>
                          <w:b/>
                          <w:bCs/>
                          <w:color w:val="000000"/>
                          <w:sz w:val="28"/>
                          <w:szCs w:val="28"/>
                        </w:rPr>
                        <w:t>项目位置</w:t>
                      </w:r>
                    </w:p>
                  </w:txbxContent>
                </v:textbox>
              </v:shape>
            </w:pict>
          </mc:Fallback>
        </mc:AlternateContent>
      </w:r>
      <w:r>
        <w:rPr>
          <w:rFonts w:ascii="宋体....." w:hAnsi="Times New Roman" w:eastAsia="宋体....." w:cs="宋体....."/>
          <w:color w:val="000000"/>
          <w:kern w:val="2"/>
          <w:position w:val="-263"/>
          <w:sz w:val="24"/>
          <w:szCs w:val="24"/>
          <w:lang w:val="en-US" w:eastAsia="zh-CN" w:bidi="ar-SA"/>
        </w:rPr>
        <w:drawing>
          <wp:inline distT="0" distB="0" distL="0" distR="0">
            <wp:extent cx="5266690" cy="8353425"/>
            <wp:effectExtent l="0" t="0" r="10160" b="9525"/>
            <wp:docPr id="277" name="IM 22"/>
            <wp:cNvGraphicFramePr/>
            <a:graphic xmlns:a="http://schemas.openxmlformats.org/drawingml/2006/main">
              <a:graphicData uri="http://schemas.openxmlformats.org/drawingml/2006/picture">
                <pic:pic xmlns:pic="http://schemas.openxmlformats.org/drawingml/2006/picture">
                  <pic:nvPicPr>
                    <pic:cNvPr id="277" name="IM 22"/>
                    <pic:cNvPicPr/>
                  </pic:nvPicPr>
                  <pic:blipFill>
                    <a:blip r:embed="rId74"/>
                    <a:stretch>
                      <a:fillRect/>
                    </a:stretch>
                  </pic:blipFill>
                  <pic:spPr>
                    <a:xfrm>
                      <a:off x="0" y="0"/>
                      <a:ext cx="5266690" cy="8354059"/>
                    </a:xfrm>
                    <a:prstGeom prst="rect">
                      <a:avLst/>
                    </a:prstGeom>
                  </pic:spPr>
                </pic:pic>
              </a:graphicData>
            </a:graphic>
          </wp:inline>
        </w:drawing>
      </w:r>
    </w:p>
    <w:p w14:paraId="5CAB3F73">
      <w:pPr>
        <w:spacing w:line="240" w:lineRule="auto"/>
        <w:jc w:val="center"/>
        <w:outlineLvl w:val="0"/>
        <w:rPr>
          <w:rFonts w:hint="default" w:ascii="Times New Roman" w:hAnsi="Times New Roman" w:cs="Times New Roman"/>
          <w:b/>
          <w:bCs/>
          <w:color w:val="auto"/>
          <w:sz w:val="24"/>
          <w:highlight w:val="none"/>
        </w:rPr>
        <w:sectPr>
          <w:pgSz w:w="11850" w:h="16783"/>
          <w:pgMar w:top="1440" w:right="1080" w:bottom="1440" w:left="1080" w:header="850"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85" w:name="_Toc359"/>
      <w:bookmarkStart w:id="86" w:name="_Toc12692"/>
      <w:bookmarkStart w:id="87" w:name="_Toc4763"/>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6</w:t>
      </w:r>
      <w:r>
        <w:rPr>
          <w:rFonts w:hint="default" w:ascii="Times New Roman" w:hAnsi="Times New Roman" w:cs="Times New Roman"/>
          <w:b/>
          <w:bCs/>
          <w:color w:val="auto"/>
          <w:sz w:val="24"/>
          <w:highlight w:val="none"/>
        </w:rPr>
        <w:t xml:space="preserve"> </w:t>
      </w:r>
      <w:r>
        <w:rPr>
          <w:rFonts w:hint="eastAsia" w:cs="Times New Roman"/>
          <w:b/>
          <w:bCs/>
          <w:color w:val="auto"/>
          <w:sz w:val="24"/>
          <w:highlight w:val="none"/>
          <w:lang w:val="en-US" w:eastAsia="zh-CN"/>
        </w:rPr>
        <w:t>项目所在区域大气</w:t>
      </w:r>
      <w:r>
        <w:rPr>
          <w:rFonts w:hint="eastAsia" w:ascii="Times New Roman" w:hAnsi="Times New Roman" w:cs="Times New Roman"/>
          <w:b/>
          <w:bCs/>
          <w:color w:val="auto"/>
          <w:sz w:val="24"/>
          <w:highlight w:val="none"/>
          <w:lang w:val="en-US" w:eastAsia="zh-CN"/>
        </w:rPr>
        <w:t>环境</w:t>
      </w:r>
      <w:r>
        <w:rPr>
          <w:rFonts w:hint="default" w:ascii="Times New Roman" w:hAnsi="Times New Roman" w:cs="Times New Roman"/>
          <w:b/>
          <w:bCs/>
          <w:color w:val="auto"/>
          <w:sz w:val="24"/>
          <w:highlight w:val="none"/>
        </w:rPr>
        <w:t>功能区划图</w:t>
      </w:r>
      <w:bookmarkEnd w:id="81"/>
      <w:bookmarkEnd w:id="85"/>
      <w:bookmarkEnd w:id="86"/>
      <w:bookmarkEnd w:id="87"/>
    </w:p>
    <w:p w14:paraId="23A92793">
      <w:pPr>
        <w:tabs>
          <w:tab w:val="left" w:pos="0"/>
        </w:tabs>
        <w:adjustRightInd w:val="0"/>
        <w:snapToGrid w:val="0"/>
        <w:spacing w:line="240" w:lineRule="auto"/>
        <w:ind w:right="26"/>
        <w:jc w:val="center"/>
        <w:rPr>
          <w:rFonts w:hint="default" w:ascii="Times New Roman" w:hAnsi="Times New Roman" w:eastAsia="宋体" w:cs="Times New Roman"/>
          <w:color w:val="auto"/>
          <w:highlight w:val="none"/>
        </w:rPr>
      </w:pPr>
      <w:bookmarkStart w:id="88" w:name="_Toc2916"/>
      <w:bookmarkStart w:id="89" w:name="_Toc17786"/>
      <w:bookmarkStart w:id="90" w:name="_Toc2027"/>
      <w:r>
        <w:rPr>
          <w:sz w:val="21"/>
        </w:rPr>
        <mc:AlternateContent>
          <mc:Choice Requires="wps">
            <w:drawing>
              <wp:anchor distT="0" distB="0" distL="114300" distR="114300" simplePos="0" relativeHeight="251758592" behindDoc="0" locked="0" layoutInCell="1" allowOverlap="1">
                <wp:simplePos x="0" y="0"/>
                <wp:positionH relativeFrom="column">
                  <wp:posOffset>4773295</wp:posOffset>
                </wp:positionH>
                <wp:positionV relativeFrom="paragraph">
                  <wp:posOffset>1914525</wp:posOffset>
                </wp:positionV>
                <wp:extent cx="1016000" cy="391795"/>
                <wp:effectExtent l="0" t="0" r="0" b="0"/>
                <wp:wrapNone/>
                <wp:docPr id="192" name="文本框 192"/>
                <wp:cNvGraphicFramePr/>
                <a:graphic xmlns:a="http://schemas.openxmlformats.org/drawingml/2006/main">
                  <a:graphicData uri="http://schemas.microsoft.com/office/word/2010/wordprocessingShape">
                    <wps:wsp>
                      <wps:cNvSpPr txBox="1"/>
                      <wps:spPr>
                        <a:xfrm>
                          <a:off x="5845810" y="3209290"/>
                          <a:ext cx="1016000" cy="3917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B0F406">
                            <w:pPr>
                              <w:rPr>
                                <w:rFonts w:hint="default" w:eastAsia="宋体"/>
                                <w:b/>
                                <w:bCs/>
                                <w:color w:val="FFFF00"/>
                                <w:lang w:val="en-US" w:eastAsia="zh-CN"/>
                              </w:rPr>
                            </w:pPr>
                            <w:r>
                              <w:rPr>
                                <w:rFonts w:hint="eastAsia" w:ascii="Times New Roman" w:eastAsia="宋体"/>
                                <w:b/>
                                <w:bCs/>
                                <w:color w:val="FFFF00"/>
                                <w:lang w:val="en-US" w:eastAsia="zh-CN"/>
                              </w:rPr>
                              <w:t>距离4472m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5.85pt;margin-top:150.75pt;height:30.85pt;width:80pt;z-index:251758592;mso-width-relative:page;mso-height-relative:page;" filled="f" stroked="f" coordsize="21600,21600" o:gfxdata="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61XytwAAAALAQAA&#10;DwAAAAAAAAABACAAAAAiAAAAZHJzL2Rvd25yZXYueG1sUEsBAhQAFAAAAAgAh07iQHDWOLJOAgAA&#10;hAQAAA4AAAAAAAAAAQAgAAAAKwEAAGRycy9lMm9Eb2MueG1sUEsFBgAAAAAGAAYAWQEAAOsFAAAA&#10;AA==&#10;">
                <v:fill on="f" focussize="0,0"/>
                <v:stroke on="f" weight="0.5pt"/>
                <v:imagedata o:title=""/>
                <o:lock v:ext="edit" aspectratio="f"/>
                <v:textbox>
                  <w:txbxContent>
                    <w:p w14:paraId="7FB0F406">
                      <w:pPr>
                        <w:rPr>
                          <w:rFonts w:hint="default" w:eastAsia="宋体"/>
                          <w:b/>
                          <w:bCs/>
                          <w:color w:val="FFFF00"/>
                          <w:lang w:val="en-US" w:eastAsia="zh-CN"/>
                        </w:rPr>
                      </w:pPr>
                      <w:r>
                        <w:rPr>
                          <w:rFonts w:hint="eastAsia" w:ascii="Times New Roman" w:eastAsia="宋体"/>
                          <w:b/>
                          <w:bCs/>
                          <w:color w:val="FFFF00"/>
                          <w:lang w:val="en-US" w:eastAsia="zh-CN"/>
                        </w:rPr>
                        <w:t>距离4472m</w:t>
                      </w:r>
                    </w:p>
                  </w:txbxContent>
                </v:textbox>
              </v:shape>
            </w:pict>
          </mc:Fallback>
        </mc:AlternateContent>
      </w:r>
      <w:r>
        <w:rPr>
          <w:sz w:val="21"/>
        </w:rPr>
        <mc:AlternateContent>
          <mc:Choice Requires="wps">
            <w:drawing>
              <wp:anchor distT="0" distB="0" distL="114300" distR="114300" simplePos="0" relativeHeight="251757568" behindDoc="0" locked="0" layoutInCell="1" allowOverlap="1">
                <wp:simplePos x="0" y="0"/>
                <wp:positionH relativeFrom="column">
                  <wp:posOffset>4660265</wp:posOffset>
                </wp:positionH>
                <wp:positionV relativeFrom="paragraph">
                  <wp:posOffset>971550</wp:posOffset>
                </wp:positionV>
                <wp:extent cx="190500" cy="4148455"/>
                <wp:effectExtent l="52705" t="635" r="23495" b="3810"/>
                <wp:wrapNone/>
                <wp:docPr id="191" name="直接箭头连接符 191"/>
                <wp:cNvGraphicFramePr/>
                <a:graphic xmlns:a="http://schemas.openxmlformats.org/drawingml/2006/main">
                  <a:graphicData uri="http://schemas.microsoft.com/office/word/2010/wordprocessingShape">
                    <wps:wsp>
                      <wps:cNvCnPr/>
                      <wps:spPr>
                        <a:xfrm flipH="1">
                          <a:off x="5560060" y="1748790"/>
                          <a:ext cx="190500" cy="4148455"/>
                        </a:xfrm>
                        <a:prstGeom prst="straightConnector1">
                          <a:avLst/>
                        </a:prstGeom>
                        <a:noFill/>
                        <a:ln w="25400" cap="flat" cmpd="sng" algn="ctr">
                          <a:solidFill>
                            <a:srgbClr val="FFFF00"/>
                          </a:solidFill>
                          <a:prstDash val="solid"/>
                          <a:tailEnd type="arrow"/>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66.95pt;margin-top:76.5pt;height:326.65pt;width:15pt;z-index:251757568;mso-width-relative:page;mso-height-relative:page;" filled="f" stroked="t" coordsize="21600,21600" o:gfxdata="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Aw7Z2tgAAAALAQAA&#10;DwAAAAAAAAABACAAAAAiAAAAZHJzL2Rvd25yZXYueG1sUEsBAhQAFAAAAAgAh07iQDsfGb0ZAgAA&#10;9QMAAA4AAAAAAAAAAQAgAAAAJwEAAGRycy9lMm9Eb2MueG1sUEsFBgAAAAAGAAYAWQEAALIFAAAA&#10;AA==&#10;">
                <v:fill on="f" focussize="0,0"/>
                <v:stroke weight="2pt" color="#FFFF00 [3204]" joinstyle="round" endarrow="open"/>
                <v:imagedata o:title=""/>
                <o:lock v:ext="edit" aspectratio="f"/>
              </v:shape>
            </w:pict>
          </mc:Fallback>
        </mc:AlternateContent>
      </w:r>
      <w:r>
        <w:rPr>
          <w:color w:val="auto"/>
          <w:highlight w:val="none"/>
        </w:rPr>
        <w:drawing>
          <wp:anchor distT="0" distB="0" distL="114300" distR="114300" simplePos="0" relativeHeight="251698176" behindDoc="0" locked="0" layoutInCell="1" allowOverlap="1">
            <wp:simplePos x="0" y="0"/>
            <wp:positionH relativeFrom="column">
              <wp:posOffset>7675245</wp:posOffset>
            </wp:positionH>
            <wp:positionV relativeFrom="paragraph">
              <wp:posOffset>28575</wp:posOffset>
            </wp:positionV>
            <wp:extent cx="1138555" cy="1067435"/>
            <wp:effectExtent l="0" t="0" r="4445" b="18415"/>
            <wp:wrapNone/>
            <wp:docPr id="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3"/>
                    <pic:cNvPicPr>
                      <a:picLocks noChangeAspect="1"/>
                    </pic:cNvPicPr>
                  </pic:nvPicPr>
                  <pic:blipFill>
                    <a:blip r:embed="rId75"/>
                    <a:stretch>
                      <a:fillRect/>
                    </a:stretch>
                  </pic:blipFill>
                  <pic:spPr>
                    <a:xfrm>
                      <a:off x="0" y="0"/>
                      <a:ext cx="1138555" cy="1067435"/>
                    </a:xfrm>
                    <a:prstGeom prst="rect">
                      <a:avLst/>
                    </a:prstGeom>
                    <a:noFill/>
                    <a:ln>
                      <a:noFill/>
                    </a:ln>
                  </pic:spPr>
                </pic:pic>
              </a:graphicData>
            </a:graphic>
          </wp:anchor>
        </w:drawing>
      </w:r>
      <w:r>
        <w:rPr>
          <w:rFonts w:hint="default" w:ascii="Times New Roman" w:hAnsi="Times New Roman" w:cs="Times New Roman"/>
          <w:color w:val="auto"/>
          <w:sz w:val="24"/>
          <w:highlight w:val="none"/>
        </w:rPr>
        <mc:AlternateContent>
          <mc:Choice Requires="wps">
            <w:drawing>
              <wp:anchor distT="0" distB="0" distL="114300" distR="114300" simplePos="0" relativeHeight="251697152" behindDoc="0" locked="0" layoutInCell="1" allowOverlap="1">
                <wp:simplePos x="0" y="0"/>
                <wp:positionH relativeFrom="column">
                  <wp:posOffset>827405</wp:posOffset>
                </wp:positionH>
                <wp:positionV relativeFrom="paragraph">
                  <wp:posOffset>5333365</wp:posOffset>
                </wp:positionV>
                <wp:extent cx="278130" cy="130810"/>
                <wp:effectExtent l="7620" t="8255" r="19050" b="13335"/>
                <wp:wrapNone/>
                <wp:docPr id="44" name="矩形 24"/>
                <wp:cNvGraphicFramePr/>
                <a:graphic xmlns:a="http://schemas.openxmlformats.org/drawingml/2006/main">
                  <a:graphicData uri="http://schemas.microsoft.com/office/word/2010/wordprocessingShape">
                    <wps:wsp>
                      <wps:cNvSpPr/>
                      <wps:spPr>
                        <a:xfrm>
                          <a:off x="0" y="0"/>
                          <a:ext cx="278130" cy="130810"/>
                        </a:xfrm>
                        <a:prstGeom prst="rect">
                          <a:avLst/>
                        </a:prstGeom>
                        <a:noFill/>
                        <a:ln w="15875" cap="flat" cmpd="sng">
                          <a:solidFill>
                            <a:srgbClr val="FF0000"/>
                          </a:solidFill>
                          <a:prstDash val="solid"/>
                          <a:miter/>
                          <a:headEnd type="none" w="med" len="med"/>
                          <a:tailEnd type="none" w="med" len="med"/>
                        </a:ln>
                      </wps:spPr>
                      <wps:bodyPr wrap="square" upright="1"/>
                    </wps:wsp>
                  </a:graphicData>
                </a:graphic>
              </wp:anchor>
            </w:drawing>
          </mc:Choice>
          <mc:Fallback>
            <w:pict>
              <v:rect id="矩形 24" o:spid="_x0000_s1026" o:spt="1" style="position:absolute;left:0pt;margin-left:65.15pt;margin-top:419.95pt;height:10.3pt;width:21.9pt;z-index:251697152;mso-width-relative:page;mso-height-relative:page;" filled="f" stroked="t" coordsize="21600,21600" o:gfxdata="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nbyptcAAAALAQAADwAAAAAAAAABACAAAAAiAAAAZHJzL2Rv&#10;d25yZXYueG1sUEsBAhQAFAAAAAgAh07iQPTat54CAgAABQQAAA4AAAAAAAAAAQAgAAAAJgEAAGRy&#10;cy9lMm9Eb2MueG1sUEsFBgAAAAAGAAYAWQEAAJoFAAAAAA==&#10;">
                <v:fill on="f" focussize="0,0"/>
                <v:stroke weight="1.25pt" color="#FF0000" joinstyle="miter"/>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96128" behindDoc="0" locked="0" layoutInCell="1" allowOverlap="1">
                <wp:simplePos x="0" y="0"/>
                <wp:positionH relativeFrom="column">
                  <wp:posOffset>52070</wp:posOffset>
                </wp:positionH>
                <wp:positionV relativeFrom="paragraph">
                  <wp:posOffset>4969510</wp:posOffset>
                </wp:positionV>
                <wp:extent cx="1219200" cy="614045"/>
                <wp:effectExtent l="4445" t="4445" r="14605" b="10160"/>
                <wp:wrapNone/>
                <wp:docPr id="43" name="矩形 25"/>
                <wp:cNvGraphicFramePr/>
                <a:graphic xmlns:a="http://schemas.openxmlformats.org/drawingml/2006/main">
                  <a:graphicData uri="http://schemas.microsoft.com/office/word/2010/wordprocessingShape">
                    <wps:wsp>
                      <wps:cNvSpPr/>
                      <wps:spPr>
                        <a:xfrm>
                          <a:off x="0" y="0"/>
                          <a:ext cx="1219200" cy="6140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49F82C">
                            <w:pPr>
                              <w:spacing w:line="240" w:lineRule="auto"/>
                              <w:jc w:val="center"/>
                              <w:rPr>
                                <w:b/>
                              </w:rPr>
                            </w:pPr>
                            <w:r>
                              <w:rPr>
                                <w:rFonts w:hint="eastAsia"/>
                                <w:b/>
                              </w:rPr>
                              <w:t>图</w:t>
                            </w:r>
                            <w:r>
                              <w:rPr>
                                <w:rFonts w:hint="eastAsia" w:ascii="Times New Roman" w:eastAsia="宋体"/>
                                <w:b/>
                                <w:lang w:val="en-US" w:eastAsia="zh-CN"/>
                              </w:rPr>
                              <w:t xml:space="preserve"> </w:t>
                            </w:r>
                            <w:r>
                              <w:rPr>
                                <w:rFonts w:hint="eastAsia"/>
                                <w:b/>
                              </w:rPr>
                              <w:t>例</w:t>
                            </w:r>
                          </w:p>
                          <w:p w14:paraId="2AC82E88">
                            <w:pPr>
                              <w:spacing w:line="240" w:lineRule="auto"/>
                              <w:rPr>
                                <w:rFonts w:hint="default"/>
                                <w:b/>
                                <w:lang w:val="en-US" w:eastAsia="zh-CN"/>
                              </w:rPr>
                            </w:pPr>
                            <w:r>
                              <w:rPr>
                                <w:rFonts w:hint="eastAsia"/>
                                <w:b/>
                              </w:rPr>
                              <w:t>项目位置：</w:t>
                            </w:r>
                          </w:p>
                        </w:txbxContent>
                      </wps:txbx>
                      <wps:bodyPr wrap="square" upright="1"/>
                    </wps:wsp>
                  </a:graphicData>
                </a:graphic>
              </wp:anchor>
            </w:drawing>
          </mc:Choice>
          <mc:Fallback>
            <w:pict>
              <v:rect id="矩形 25" o:spid="_x0000_s1026" o:spt="1" style="position:absolute;left:0pt;margin-left:4.1pt;margin-top:391.3pt;height:48.35pt;width:96pt;z-index:251696128;mso-width-relative:page;mso-height-relative:page;" fillcolor="#FFFFFF" filled="t" stroked="t" coordsize="21600,21600" o:gfxdata="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292Lt1gAAAAkBAAAPAAAAAAAAAAEAIAAA&#10;ACIAAABkcnMvZG93bnJldi54bWxQSwECFAAUAAAACACHTuJAQK4r2w4CAAA5BAAADgAAAAAAAAAB&#10;ACAAAAAlAQAAZHJzL2Uyb0RvYy54bWxQSwUGAAAAAAYABgBZAQAApQUAAAAA&#10;">
                <v:fill on="t" focussize="0,0"/>
                <v:stroke color="#000000" joinstyle="miter"/>
                <v:imagedata o:title=""/>
                <o:lock v:ext="edit" aspectratio="f"/>
                <v:textbox>
                  <w:txbxContent>
                    <w:p w14:paraId="4849F82C">
                      <w:pPr>
                        <w:spacing w:line="240" w:lineRule="auto"/>
                        <w:jc w:val="center"/>
                        <w:rPr>
                          <w:b/>
                        </w:rPr>
                      </w:pPr>
                      <w:r>
                        <w:rPr>
                          <w:rFonts w:hint="eastAsia"/>
                          <w:b/>
                        </w:rPr>
                        <w:t>图</w:t>
                      </w:r>
                      <w:r>
                        <w:rPr>
                          <w:rFonts w:hint="eastAsia" w:ascii="Times New Roman" w:eastAsia="宋体"/>
                          <w:b/>
                          <w:lang w:val="en-US" w:eastAsia="zh-CN"/>
                        </w:rPr>
                        <w:t xml:space="preserve"> </w:t>
                      </w:r>
                      <w:r>
                        <w:rPr>
                          <w:rFonts w:hint="eastAsia"/>
                          <w:b/>
                        </w:rPr>
                        <w:t>例</w:t>
                      </w:r>
                    </w:p>
                    <w:p w14:paraId="2AC82E88">
                      <w:pPr>
                        <w:spacing w:line="240" w:lineRule="auto"/>
                        <w:rPr>
                          <w:rFonts w:hint="default"/>
                          <w:b/>
                          <w:lang w:val="en-US" w:eastAsia="zh-CN"/>
                        </w:rPr>
                      </w:pPr>
                      <w:r>
                        <w:rPr>
                          <w:rFonts w:hint="eastAsia"/>
                          <w:b/>
                        </w:rPr>
                        <w:t>项目位置：</w:t>
                      </w:r>
                    </w:p>
                  </w:txbxContent>
                </v:textbox>
              </v:rect>
            </w:pict>
          </mc:Fallback>
        </mc:AlternateContent>
      </w:r>
      <w:r>
        <w:drawing>
          <wp:inline distT="0" distB="0" distL="114300" distR="114300">
            <wp:extent cx="8857615" cy="5583555"/>
            <wp:effectExtent l="0" t="0" r="635" b="17145"/>
            <wp:docPr id="1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4"/>
                    <pic:cNvPicPr>
                      <a:picLocks noChangeAspect="1"/>
                    </pic:cNvPicPr>
                  </pic:nvPicPr>
                  <pic:blipFill>
                    <a:blip r:embed="rId76"/>
                    <a:stretch>
                      <a:fillRect/>
                    </a:stretch>
                  </pic:blipFill>
                  <pic:spPr>
                    <a:xfrm>
                      <a:off x="0" y="0"/>
                      <a:ext cx="8857615" cy="5583555"/>
                    </a:xfrm>
                    <a:prstGeom prst="rect">
                      <a:avLst/>
                    </a:prstGeom>
                    <a:noFill/>
                    <a:ln>
                      <a:noFill/>
                    </a:ln>
                  </pic:spPr>
                </pic:pic>
              </a:graphicData>
            </a:graphic>
          </wp:inline>
        </w:drawing>
      </w:r>
    </w:p>
    <w:p w14:paraId="6F7EF127">
      <w:pPr>
        <w:jc w:val="center"/>
        <w:outlineLvl w:val="0"/>
        <w:rPr>
          <w:rFonts w:hint="default" w:ascii="Times New Roman" w:hAnsi="Times New Roman" w:cs="Times New Roman"/>
          <w:color w:val="auto"/>
          <w:highlight w:val="none"/>
        </w:rPr>
      </w:pPr>
      <w:bookmarkStart w:id="91" w:name="_Toc31670"/>
      <w:bookmarkStart w:id="92" w:name="_Toc24394"/>
      <w:bookmarkStart w:id="93" w:name="_Toc24705"/>
      <w:bookmarkStart w:id="94" w:name="_Toc26460"/>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7</w:t>
      </w:r>
      <w:r>
        <w:rPr>
          <w:rFonts w:hint="default" w:ascii="Times New Roman" w:hAnsi="Times New Roman" w:cs="Times New Roman"/>
          <w:b/>
          <w:bCs/>
          <w:color w:val="auto"/>
          <w:sz w:val="24"/>
          <w:highlight w:val="none"/>
        </w:rPr>
        <w:t xml:space="preserve"> 环境空气质量现状</w:t>
      </w:r>
      <w:r>
        <w:rPr>
          <w:rFonts w:hint="eastAsia" w:ascii="Times New Roman" w:hAnsi="Times New Roman" w:cs="Times New Roman"/>
          <w:b/>
          <w:bCs/>
          <w:color w:val="auto"/>
          <w:sz w:val="24"/>
          <w:highlight w:val="none"/>
          <w:lang w:val="en-US" w:eastAsia="zh-CN"/>
        </w:rPr>
        <w:t>引用</w:t>
      </w:r>
      <w:r>
        <w:rPr>
          <w:rFonts w:hint="default" w:ascii="Times New Roman" w:hAnsi="Times New Roman" w:cs="Times New Roman"/>
          <w:b/>
          <w:bCs/>
          <w:color w:val="auto"/>
          <w:sz w:val="24"/>
          <w:highlight w:val="none"/>
        </w:rPr>
        <w:t>监测布点示意图</w:t>
      </w:r>
      <w:bookmarkEnd w:id="91"/>
      <w:bookmarkEnd w:id="92"/>
      <w:bookmarkEnd w:id="93"/>
      <w:bookmarkEnd w:id="94"/>
    </w:p>
    <w:p w14:paraId="2F7C3301">
      <w:pPr>
        <w:rPr>
          <w:rFonts w:hint="default" w:ascii="Times New Roman" w:hAnsi="Times New Roman" w:cs="Times New Roman"/>
          <w:color w:val="auto"/>
          <w:highlight w:val="none"/>
        </w:rPr>
        <w:sectPr>
          <w:pgSz w:w="16783" w:h="11850" w:orient="landscape"/>
          <w:pgMar w:top="1191" w:right="1417" w:bottom="1134" w:left="1417" w:header="850" w:footer="850" w:gutter="340"/>
          <w:pgBorders>
            <w:top w:val="none" w:sz="0" w:space="0"/>
            <w:left w:val="none" w:sz="0" w:space="0"/>
            <w:bottom w:val="none" w:sz="0" w:space="0"/>
            <w:right w:val="none" w:sz="0" w:space="0"/>
          </w:pgBorders>
          <w:pgNumType w:fmt="decimal"/>
          <w:cols w:space="720" w:num="1"/>
          <w:docGrid w:type="lines" w:linePitch="412" w:charSpace="0"/>
        </w:sectPr>
      </w:pPr>
    </w:p>
    <w:p w14:paraId="08B32691">
      <w:pPr>
        <w:kinsoku w:val="0"/>
        <w:overflowPunct w:val="0"/>
        <w:adjustRightInd w:val="0"/>
        <w:snapToGrid w:val="0"/>
        <w:ind w:firstLine="420" w:firstLineChars="200"/>
        <w:jc w:val="center"/>
        <w:rPr>
          <w:color w:val="auto"/>
          <w:highlight w:val="none"/>
        </w:rPr>
      </w:pPr>
      <w:r>
        <w:rPr>
          <w:sz w:val="21"/>
        </w:rPr>
        <mc:AlternateContent>
          <mc:Choice Requires="wps">
            <w:drawing>
              <wp:anchor distT="0" distB="0" distL="114300" distR="114300" simplePos="0" relativeHeight="251773952" behindDoc="0" locked="0" layoutInCell="1" allowOverlap="1">
                <wp:simplePos x="0" y="0"/>
                <wp:positionH relativeFrom="column">
                  <wp:posOffset>2943225</wp:posOffset>
                </wp:positionH>
                <wp:positionV relativeFrom="paragraph">
                  <wp:posOffset>2451100</wp:posOffset>
                </wp:positionV>
                <wp:extent cx="76835" cy="97790"/>
                <wp:effectExtent l="4445" t="4445" r="13970" b="12065"/>
                <wp:wrapNone/>
                <wp:docPr id="283" name="矩形 1049"/>
                <wp:cNvGraphicFramePr/>
                <a:graphic xmlns:a="http://schemas.openxmlformats.org/drawingml/2006/main">
                  <a:graphicData uri="http://schemas.microsoft.com/office/word/2010/wordprocessingShape">
                    <wps:wsp>
                      <wps:cNvSpPr/>
                      <wps:spPr>
                        <a:xfrm>
                          <a:off x="5495925" y="2402205"/>
                          <a:ext cx="76835" cy="97790"/>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049" o:spid="_x0000_s1026" o:spt="1" style="position:absolute;left:0pt;margin-left:231.75pt;margin-top:193pt;height:7.7pt;width:6.05pt;z-index:251773952;mso-width-relative:page;mso-height-relative:page;" fillcolor="#FF0000" filled="t" stroked="t" coordsize="21600,21600" o:gfxdata="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jwCu9oAAAALAQAADwAAAAAAAAABACAAAAAiAAAAZHJzL2Rvd25yZXYueG1sUEsBAhQA&#10;FAAAAAgAh07iQB2fcZkpAgAAXwQAAA4AAAAAAAAAAQAgAAAAKQEAAGRycy9lMm9Eb2MueG1sUEsF&#10;BgAAAAAGAAYAWQEAAMQFAAAAAA==&#10;">
                <v:fill on="t" focussize="0,0"/>
                <v:stroke color="#000000" joinstyle="miter"/>
                <v:imagedata o:title=""/>
                <o:lock v:ext="edit" aspectratio="f"/>
              </v:rect>
            </w:pict>
          </mc:Fallback>
        </mc:AlternateContent>
      </w:r>
      <w:r>
        <w:rPr>
          <w:sz w:val="21"/>
        </w:rPr>
        <mc:AlternateContent>
          <mc:Choice Requires="wps">
            <w:drawing>
              <wp:anchor distT="0" distB="0" distL="114300" distR="114300" simplePos="0" relativeHeight="251774976" behindDoc="0" locked="0" layoutInCell="1" allowOverlap="1">
                <wp:simplePos x="0" y="0"/>
                <wp:positionH relativeFrom="column">
                  <wp:posOffset>3227705</wp:posOffset>
                </wp:positionH>
                <wp:positionV relativeFrom="paragraph">
                  <wp:posOffset>3662045</wp:posOffset>
                </wp:positionV>
                <wp:extent cx="1070610" cy="334645"/>
                <wp:effectExtent l="237490" t="1126490" r="6350" b="5715"/>
                <wp:wrapNone/>
                <wp:docPr id="284" name="自选图形 1048"/>
                <wp:cNvGraphicFramePr/>
                <a:graphic xmlns:a="http://schemas.openxmlformats.org/drawingml/2006/main">
                  <a:graphicData uri="http://schemas.microsoft.com/office/word/2010/wordprocessingShape">
                    <wps:wsp>
                      <wps:cNvSpPr/>
                      <wps:spPr>
                        <a:xfrm>
                          <a:off x="3886200" y="2713990"/>
                          <a:ext cx="1070610" cy="334645"/>
                        </a:xfrm>
                        <a:prstGeom prst="wedgeRoundRectCallout">
                          <a:avLst>
                            <a:gd name="adj1" fmla="val -70581"/>
                            <a:gd name="adj2" fmla="val -376185"/>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61E81B4">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a:graphicData>
                </a:graphic>
              </wp:anchor>
            </w:drawing>
          </mc:Choice>
          <mc:Fallback>
            <w:pict>
              <v:shape id="自选图形 1048" o:spid="_x0000_s1026" o:spt="62" type="#_x0000_t62" style="position:absolute;left:0pt;margin-left:254.15pt;margin-top:288.35pt;height:26.35pt;width:84.3pt;z-index:251774976;mso-width-relative:page;mso-height-relative:page;" fillcolor="#FFFFFF" filled="t" stroked="t" coordsize="21600,21600" o:gfxdata="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EaJOirYAAAACwEAAA8AAAAAAAAAAQAgAAAAIgAA&#10;AGRycy9kb3ducmV2LnhtbFBLAQIUABQAAAAIAIdO4kDP5+AQegIAAPwEAAAOAAAAAAAAAAEAIAAA&#10;ACcBAABkcnMvZTJvRG9jLnhtbFBLBQYAAAAABgAGAFkBAAATBgAAAAA=&#10;" adj="-4445,-70456,14400">
                <v:fill on="t" focussize="0,0"/>
                <v:stroke color="#000000" joinstyle="miter"/>
                <v:imagedata o:title=""/>
                <o:lock v:ext="edit" aspectratio="f"/>
                <v:textbox>
                  <w:txbxContent>
                    <w:p w14:paraId="061E81B4">
                      <w:pPr>
                        <w:jc w:val="left"/>
                        <w:rPr>
                          <w:rFonts w:hint="default" w:eastAsia="宋体"/>
                          <w:b/>
                          <w:bCs/>
                          <w:lang w:val="en-US" w:eastAsia="zh-CN"/>
                        </w:rPr>
                      </w:pPr>
                      <w:r>
                        <w:rPr>
                          <w:rFonts w:hint="eastAsia" w:ascii="Times New Roman" w:eastAsia="宋体"/>
                          <w:b/>
                          <w:bCs/>
                          <w:lang w:val="en-US" w:eastAsia="zh-CN"/>
                        </w:rPr>
                        <w:t>项目选址位置</w:t>
                      </w:r>
                    </w:p>
                  </w:txbxContent>
                </v:textbox>
              </v:shape>
            </w:pict>
          </mc:Fallback>
        </mc:AlternateContent>
      </w:r>
      <w:r>
        <w:rPr>
          <w:position w:val="-263"/>
        </w:rPr>
        <w:drawing>
          <wp:inline distT="0" distB="0" distL="0" distR="0">
            <wp:extent cx="5266690" cy="8353425"/>
            <wp:effectExtent l="0" t="0" r="10160" b="9525"/>
            <wp:docPr id="281" name="IM 12"/>
            <wp:cNvGraphicFramePr/>
            <a:graphic xmlns:a="http://schemas.openxmlformats.org/drawingml/2006/main">
              <a:graphicData uri="http://schemas.openxmlformats.org/drawingml/2006/picture">
                <pic:pic xmlns:pic="http://schemas.openxmlformats.org/drawingml/2006/picture">
                  <pic:nvPicPr>
                    <pic:cNvPr id="281" name="IM 12"/>
                    <pic:cNvPicPr/>
                  </pic:nvPicPr>
                  <pic:blipFill>
                    <a:blip r:embed="rId77"/>
                    <a:stretch>
                      <a:fillRect/>
                    </a:stretch>
                  </pic:blipFill>
                  <pic:spPr>
                    <a:xfrm>
                      <a:off x="0" y="0"/>
                      <a:ext cx="5266690" cy="8354059"/>
                    </a:xfrm>
                    <a:prstGeom prst="rect">
                      <a:avLst/>
                    </a:prstGeom>
                  </pic:spPr>
                </pic:pic>
              </a:graphicData>
            </a:graphic>
          </wp:inline>
        </w:drawing>
      </w:r>
    </w:p>
    <w:p w14:paraId="1E67C51F">
      <w:pPr>
        <w:spacing w:line="240" w:lineRule="auto"/>
        <w:jc w:val="center"/>
        <w:outlineLvl w:val="0"/>
        <w:rPr>
          <w:rFonts w:hint="default" w:ascii="Times New Roman" w:hAnsi="Times New Roman" w:cs="Times New Roman"/>
          <w:b/>
          <w:bCs/>
          <w:color w:val="auto"/>
          <w:sz w:val="24"/>
          <w:highlight w:val="none"/>
        </w:rPr>
        <w:sectPr>
          <w:pgSz w:w="11850" w:h="16783"/>
          <w:pgMar w:top="1440" w:right="1080" w:bottom="1440" w:left="1080" w:header="850"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95" w:name="_Toc14457"/>
      <w:bookmarkStart w:id="96" w:name="_Toc12408"/>
      <w:bookmarkStart w:id="97" w:name="_Toc30060"/>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8</w:t>
      </w:r>
      <w:r>
        <w:rPr>
          <w:rFonts w:hint="default" w:ascii="Times New Roman" w:hAnsi="Times New Roman" w:cs="Times New Roman"/>
          <w:b/>
          <w:bCs/>
          <w:color w:val="auto"/>
          <w:sz w:val="24"/>
          <w:highlight w:val="none"/>
        </w:rPr>
        <w:t xml:space="preserve"> </w:t>
      </w:r>
      <w:bookmarkEnd w:id="88"/>
      <w:bookmarkEnd w:id="89"/>
      <w:r>
        <w:rPr>
          <w:rFonts w:hint="eastAsia" w:cs="Times New Roman"/>
          <w:b/>
          <w:bCs/>
          <w:color w:val="auto"/>
          <w:sz w:val="24"/>
          <w:highlight w:val="none"/>
          <w:lang w:val="en-US" w:eastAsia="zh-CN"/>
        </w:rPr>
        <w:t>项目周边水系</w:t>
      </w:r>
      <w:r>
        <w:rPr>
          <w:rFonts w:hint="default" w:ascii="Times New Roman" w:hAnsi="Times New Roman" w:cs="Times New Roman"/>
          <w:b/>
          <w:bCs/>
          <w:color w:val="auto"/>
          <w:sz w:val="24"/>
          <w:highlight w:val="none"/>
        </w:rPr>
        <w:t>图</w:t>
      </w:r>
      <w:bookmarkEnd w:id="90"/>
      <w:bookmarkEnd w:id="95"/>
      <w:bookmarkEnd w:id="96"/>
      <w:bookmarkEnd w:id="97"/>
    </w:p>
    <w:p w14:paraId="43BC44DF">
      <w:pPr>
        <w:widowControl w:val="0"/>
        <w:spacing w:line="240" w:lineRule="auto"/>
        <w:jc w:val="center"/>
        <w:rPr>
          <w:rFonts w:hint="eastAsia" w:ascii="宋体" w:hAnsi="Courier New" w:eastAsia="宋体" w:cs="Times New Roman"/>
          <w:color w:val="auto"/>
          <w:kern w:val="2"/>
          <w:sz w:val="21"/>
          <w:szCs w:val="20"/>
          <w:highlight w:val="none"/>
          <w:lang w:val="en-US" w:eastAsia="zh-CN" w:bidi="ar-SA"/>
        </w:rPr>
      </w:pPr>
      <w:r>
        <w:rPr>
          <w:rFonts w:ascii="宋体" w:hAnsi="Courier New" w:eastAsia="宋体" w:cs="Times New Roman"/>
          <w:kern w:val="2"/>
          <w:sz w:val="21"/>
          <w:szCs w:val="20"/>
          <w:lang w:val="en-US" w:eastAsia="zh-CN" w:bidi="ar-SA"/>
        </w:rPr>
        <mc:AlternateContent>
          <mc:Choice Requires="wpg">
            <w:drawing>
              <wp:anchor distT="0" distB="0" distL="114300" distR="114300" simplePos="0" relativeHeight="251665408" behindDoc="0" locked="0" layoutInCell="1" allowOverlap="1">
                <wp:simplePos x="0" y="0"/>
                <wp:positionH relativeFrom="column">
                  <wp:posOffset>2892425</wp:posOffset>
                </wp:positionH>
                <wp:positionV relativeFrom="paragraph">
                  <wp:posOffset>1650365</wp:posOffset>
                </wp:positionV>
                <wp:extent cx="1685925" cy="645795"/>
                <wp:effectExtent l="4445" t="4445" r="24130" b="16510"/>
                <wp:wrapNone/>
                <wp:docPr id="122" name="组合 122"/>
                <wp:cNvGraphicFramePr/>
                <a:graphic xmlns:a="http://schemas.openxmlformats.org/drawingml/2006/main">
                  <a:graphicData uri="http://schemas.microsoft.com/office/word/2010/wordprocessingGroup">
                    <wpg:wgp>
                      <wpg:cNvGrpSpPr/>
                      <wpg:grpSpPr>
                        <a:xfrm>
                          <a:off x="0" y="0"/>
                          <a:ext cx="1685925" cy="645795"/>
                          <a:chOff x="10320" y="2647067"/>
                          <a:chExt cx="2655" cy="1017"/>
                        </a:xfrm>
                      </wpg:grpSpPr>
                      <wps:wsp>
                        <wps:cNvPr id="8" name="矩形 1049"/>
                        <wps:cNvSpPr/>
                        <wps:spPr>
                          <a:xfrm>
                            <a:off x="12855" y="2647067"/>
                            <a:ext cx="121" cy="154"/>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wps:wsp>
                        <wps:cNvPr id="9" name="自选图形 1048"/>
                        <wps:cNvSpPr/>
                        <wps:spPr>
                          <a:xfrm>
                            <a:off x="10320" y="2647558"/>
                            <a:ext cx="1686" cy="527"/>
                          </a:xfrm>
                          <a:prstGeom prst="wedgeRoundRectCallout">
                            <a:avLst>
                              <a:gd name="adj1" fmla="val 98458"/>
                              <a:gd name="adj2" fmla="val -126278"/>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4706FE07">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wpg:wgp>
                  </a:graphicData>
                </a:graphic>
              </wp:anchor>
            </w:drawing>
          </mc:Choice>
          <mc:Fallback>
            <w:pict>
              <v:group id="_x0000_s1026" o:spid="_x0000_s1026" o:spt="203" style="position:absolute;left:0pt;margin-left:227.75pt;margin-top:129.95pt;height:50.85pt;width:132.75pt;z-index:251665408;mso-width-relative:page;mso-height-relative:page;" coordorigin="10320,2647067" coordsize="2655,1017" o:gfxdata="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9eEkKtwAAAALAQAADwAAAAAAAAABACAA&#10;AAAiAAAAZHJzL2Rvd25yZXYueG1sUEsBAhQAFAAAAAgAh07iQCTgO50mAwAAoggAAA4AAAAAAAAA&#10;AQAgAAAAKwEAAGRycy9lMm9Eb2MueG1sUEsFBgAAAAAGAAYAWQEAAMMGAAAAAA==&#10;">
                <o:lock v:ext="edit" aspectratio="f"/>
                <v:rect id="矩形 1049" o:spid="_x0000_s1026" o:spt="1" style="position:absolute;left:12855;top:2647067;height:154;width:121;" fillcolor="#FFFFFF" filled="t" stroked="t" coordsize="21600,21600" o:gfxdata="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laNdS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rect>
                <v:shape id="自选图形 1048" o:spid="_x0000_s1026" o:spt="62" type="#_x0000_t62" style="position:absolute;left:10320;top:2647558;height:527;width:1686;" fillcolor="#FFFFFF" filled="t" stroked="t" coordsize="21600,21600" o:gfxdata="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mQQwL4A&#10;AADaAAAADwAAAAAAAAABACAAAAAiAAAAZHJzL2Rvd25yZXYueG1sUEsBAhQAFAAAAAgAh07iQDMv&#10;BZ47AAAAOQAAABAAAAAAAAAAAQAgAAAADQEAAGRycy9zaGFwZXhtbC54bWxQSwUGAAAAAAYABgBb&#10;AQAAtwMAAAAA&#10;" adj="32067,-16476,14400">
                  <v:fill on="t" focussize="0,0"/>
                  <v:stroke color="#000000" joinstyle="miter"/>
                  <v:imagedata o:title=""/>
                  <o:lock v:ext="edit" aspectratio="f"/>
                  <v:textbox>
                    <w:txbxContent>
                      <w:p w14:paraId="4706FE07">
                        <w:pPr>
                          <w:jc w:val="left"/>
                          <w:rPr>
                            <w:rFonts w:hint="default" w:eastAsia="宋体"/>
                            <w:b/>
                            <w:bCs/>
                            <w:lang w:val="en-US" w:eastAsia="zh-CN"/>
                          </w:rPr>
                        </w:pPr>
                        <w:r>
                          <w:rPr>
                            <w:rFonts w:hint="eastAsia" w:ascii="Times New Roman" w:eastAsia="宋体"/>
                            <w:b/>
                            <w:bCs/>
                            <w:lang w:val="en-US" w:eastAsia="zh-CN"/>
                          </w:rPr>
                          <w:t>项目选址位置</w:t>
                        </w:r>
                      </w:p>
                    </w:txbxContent>
                  </v:textbox>
                </v:shape>
              </v:group>
            </w:pict>
          </mc:Fallback>
        </mc:AlternateContent>
      </w:r>
      <w:r>
        <w:rPr>
          <w:rFonts w:ascii="宋体" w:hAnsi="Courier New" w:eastAsia="宋体" w:cs="Times New Roman"/>
          <w:kern w:val="2"/>
          <w:sz w:val="21"/>
          <w:szCs w:val="20"/>
          <w:lang w:val="en-US" w:eastAsia="zh-CN" w:bidi="ar-SA"/>
        </w:rPr>
        <w:drawing>
          <wp:inline distT="0" distB="0" distL="114300" distR="114300">
            <wp:extent cx="5505450" cy="7839075"/>
            <wp:effectExtent l="0" t="0" r="0" b="9525"/>
            <wp:docPr id="1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3"/>
                    <pic:cNvPicPr>
                      <a:picLocks noChangeAspect="1"/>
                    </pic:cNvPicPr>
                  </pic:nvPicPr>
                  <pic:blipFill>
                    <a:blip r:embed="rId78"/>
                    <a:stretch>
                      <a:fillRect/>
                    </a:stretch>
                  </pic:blipFill>
                  <pic:spPr>
                    <a:xfrm>
                      <a:off x="0" y="0"/>
                      <a:ext cx="5505450" cy="7839075"/>
                    </a:xfrm>
                    <a:prstGeom prst="rect">
                      <a:avLst/>
                    </a:prstGeom>
                    <a:noFill/>
                    <a:ln>
                      <a:noFill/>
                    </a:ln>
                  </pic:spPr>
                </pic:pic>
              </a:graphicData>
            </a:graphic>
          </wp:inline>
        </w:drawing>
      </w:r>
    </w:p>
    <w:p w14:paraId="72709BEB">
      <w:pPr>
        <w:widowControl w:val="0"/>
        <w:spacing w:line="240" w:lineRule="auto"/>
        <w:jc w:val="center"/>
        <w:outlineLvl w:val="0"/>
        <w:rPr>
          <w:rFonts w:hint="default" w:ascii="Times New Roman" w:hAnsi="Times New Roman" w:eastAsia="宋体" w:cs="Times New Roman"/>
          <w:b/>
          <w:bCs/>
          <w:color w:val="auto"/>
          <w:kern w:val="2"/>
          <w:sz w:val="24"/>
          <w:szCs w:val="20"/>
          <w:highlight w:val="none"/>
          <w:lang w:val="en-US" w:eastAsia="zh-CN" w:bidi="ar-SA"/>
        </w:rPr>
      </w:pPr>
      <w:bookmarkStart w:id="98" w:name="_Toc13007"/>
      <w:bookmarkStart w:id="99" w:name="_Toc14682"/>
      <w:bookmarkStart w:id="100" w:name="_Toc26349"/>
      <w:bookmarkStart w:id="101" w:name="_Toc7123"/>
      <w:r>
        <w:rPr>
          <w:rFonts w:hint="default" w:ascii="Times New Roman" w:hAnsi="Times New Roman" w:eastAsia="宋体" w:cs="Times New Roman"/>
          <w:b/>
          <w:bCs/>
          <w:color w:val="auto"/>
          <w:kern w:val="2"/>
          <w:sz w:val="24"/>
          <w:szCs w:val="20"/>
          <w:highlight w:val="none"/>
          <w:lang w:val="en-US" w:eastAsia="zh-CN" w:bidi="ar-SA"/>
        </w:rPr>
        <w:t>附图</w:t>
      </w:r>
      <w:r>
        <w:rPr>
          <w:rFonts w:hint="eastAsia" w:ascii="Times New Roman" w:hAnsi="Times New Roman" w:eastAsia="宋体" w:cs="Times New Roman"/>
          <w:b/>
          <w:bCs/>
          <w:color w:val="auto"/>
          <w:kern w:val="2"/>
          <w:sz w:val="24"/>
          <w:szCs w:val="20"/>
          <w:highlight w:val="none"/>
          <w:lang w:val="en-US" w:eastAsia="zh-CN" w:bidi="ar-SA"/>
        </w:rPr>
        <w:t>9</w:t>
      </w:r>
      <w:r>
        <w:rPr>
          <w:rFonts w:hint="default" w:ascii="Times New Roman" w:hAnsi="Times New Roman" w:eastAsia="宋体" w:cs="Times New Roman"/>
          <w:b/>
          <w:bCs/>
          <w:color w:val="auto"/>
          <w:kern w:val="2"/>
          <w:sz w:val="24"/>
          <w:szCs w:val="20"/>
          <w:highlight w:val="none"/>
          <w:lang w:val="en-US" w:eastAsia="zh-CN" w:bidi="ar-SA"/>
        </w:rPr>
        <w:t xml:space="preserve"> </w:t>
      </w:r>
      <w:r>
        <w:rPr>
          <w:rFonts w:hint="eastAsia" w:ascii="Times New Roman" w:hAnsi="Times New Roman" w:eastAsia="宋体" w:cs="Times New Roman"/>
          <w:b/>
          <w:bCs/>
          <w:color w:val="auto"/>
          <w:kern w:val="2"/>
          <w:sz w:val="24"/>
          <w:szCs w:val="20"/>
          <w:highlight w:val="none"/>
          <w:lang w:val="en-US" w:eastAsia="zh-CN" w:bidi="ar-SA"/>
        </w:rPr>
        <w:t>项目所在区域声环境</w:t>
      </w:r>
      <w:r>
        <w:rPr>
          <w:rFonts w:hint="default" w:ascii="Times New Roman" w:hAnsi="Times New Roman" w:eastAsia="宋体" w:cs="Times New Roman"/>
          <w:b/>
          <w:bCs/>
          <w:color w:val="auto"/>
          <w:kern w:val="2"/>
          <w:sz w:val="24"/>
          <w:szCs w:val="20"/>
          <w:highlight w:val="none"/>
          <w:lang w:val="en-US" w:eastAsia="zh-CN" w:bidi="ar-SA"/>
        </w:rPr>
        <w:t>功能区</w:t>
      </w:r>
      <w:r>
        <w:rPr>
          <w:rFonts w:hint="eastAsia" w:ascii="Times New Roman" w:hAnsi="Times New Roman" w:eastAsia="宋体" w:cs="Times New Roman"/>
          <w:b/>
          <w:bCs/>
          <w:color w:val="auto"/>
          <w:kern w:val="2"/>
          <w:sz w:val="24"/>
          <w:szCs w:val="20"/>
          <w:highlight w:val="none"/>
          <w:lang w:val="en-US" w:eastAsia="zh-CN" w:bidi="ar-SA"/>
        </w:rPr>
        <w:t>区</w:t>
      </w:r>
      <w:r>
        <w:rPr>
          <w:rFonts w:hint="default" w:ascii="Times New Roman" w:hAnsi="Times New Roman" w:eastAsia="宋体" w:cs="Times New Roman"/>
          <w:b/>
          <w:bCs/>
          <w:color w:val="auto"/>
          <w:kern w:val="2"/>
          <w:sz w:val="24"/>
          <w:szCs w:val="20"/>
          <w:highlight w:val="none"/>
          <w:lang w:val="en-US" w:eastAsia="zh-CN" w:bidi="ar-SA"/>
        </w:rPr>
        <w:t>划图</w:t>
      </w:r>
      <w:bookmarkEnd w:id="98"/>
      <w:bookmarkEnd w:id="99"/>
      <w:bookmarkEnd w:id="100"/>
      <w:bookmarkEnd w:id="101"/>
    </w:p>
    <w:p w14:paraId="71B30ED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b/>
          <w:bCs/>
          <w:color w:val="auto"/>
          <w:kern w:val="2"/>
          <w:sz w:val="24"/>
          <w:szCs w:val="20"/>
          <w:highlight w:val="none"/>
          <w:lang w:val="en-US" w:eastAsia="zh-CN" w:bidi="ar-SA"/>
        </w:rPr>
      </w:pPr>
      <w:r>
        <w:rPr>
          <w:rFonts w:ascii="宋体" w:hAnsi="Courier New" w:eastAsia="宋体" w:cs="Times New Roman"/>
          <w:kern w:val="2"/>
          <w:sz w:val="21"/>
          <w:szCs w:val="20"/>
          <w:lang w:val="en-US" w:eastAsia="zh-CN" w:bidi="ar-SA"/>
        </w:rPr>
        <mc:AlternateContent>
          <mc:Choice Requires="wpg">
            <w:drawing>
              <wp:anchor distT="0" distB="0" distL="114300" distR="114300" simplePos="0" relativeHeight="251776000" behindDoc="0" locked="0" layoutInCell="1" allowOverlap="1">
                <wp:simplePos x="0" y="0"/>
                <wp:positionH relativeFrom="column">
                  <wp:posOffset>2231390</wp:posOffset>
                </wp:positionH>
                <wp:positionV relativeFrom="paragraph">
                  <wp:posOffset>392430</wp:posOffset>
                </wp:positionV>
                <wp:extent cx="1207135" cy="749300"/>
                <wp:effectExtent l="4445" t="5080" r="7620" b="7620"/>
                <wp:wrapNone/>
                <wp:docPr id="124" name="组合 124"/>
                <wp:cNvGraphicFramePr/>
                <a:graphic xmlns:a="http://schemas.openxmlformats.org/drawingml/2006/main">
                  <a:graphicData uri="http://schemas.microsoft.com/office/word/2010/wordprocessingGroup">
                    <wpg:wgp>
                      <wpg:cNvGrpSpPr/>
                      <wpg:grpSpPr>
                        <a:xfrm>
                          <a:off x="0" y="0"/>
                          <a:ext cx="1207135" cy="749300"/>
                          <a:chOff x="10105" y="2647558"/>
                          <a:chExt cx="1901" cy="1180"/>
                        </a:xfrm>
                      </wpg:grpSpPr>
                      <wps:wsp>
                        <wps:cNvPr id="287" name="矩形 1049"/>
                        <wps:cNvSpPr/>
                        <wps:spPr>
                          <a:xfrm>
                            <a:off x="10105" y="2648584"/>
                            <a:ext cx="121" cy="154"/>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wps:wsp>
                        <wps:cNvPr id="288" name="自选图形 1048"/>
                        <wps:cNvSpPr/>
                        <wps:spPr>
                          <a:xfrm>
                            <a:off x="10320" y="2647558"/>
                            <a:ext cx="1686" cy="527"/>
                          </a:xfrm>
                          <a:prstGeom prst="wedgeRoundRectCallout">
                            <a:avLst>
                              <a:gd name="adj1" fmla="val -55753"/>
                              <a:gd name="adj2" fmla="val 145635"/>
                              <a:gd name="adj3" fmla="val 16667"/>
                            </a:avLst>
                          </a:prstGeom>
                          <a:solidFill>
                            <a:srgbClr val="FFFF00"/>
                          </a:solidFill>
                          <a:ln w="9525" cap="flat" cmpd="sng">
                            <a:solidFill>
                              <a:srgbClr val="000000"/>
                            </a:solidFill>
                            <a:prstDash val="solid"/>
                            <a:miter/>
                            <a:headEnd type="none" w="med" len="med"/>
                            <a:tailEnd type="none" w="med" len="med"/>
                          </a:ln>
                        </wps:spPr>
                        <wps:txbx>
                          <w:txbxContent>
                            <w:p w14:paraId="1AAFDFF0">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wpg:wgp>
                  </a:graphicData>
                </a:graphic>
              </wp:anchor>
            </w:drawing>
          </mc:Choice>
          <mc:Fallback>
            <w:pict>
              <v:group id="_x0000_s1026" o:spid="_x0000_s1026" o:spt="203" style="position:absolute;left:0pt;margin-left:175.7pt;margin-top:30.9pt;height:59pt;width:95.05pt;z-index:251776000;mso-width-relative:page;mso-height-relative:page;" coordorigin="10105,2647558" coordsize="1901,1180" o:gfxdata="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DJUmrh2gAAAAoBAAAPAAAA&#10;AAAAAAEAIAAAACIAAABkcnMvZG93bnJldi54bWxQSwECFAAUAAAACACHTuJAZIZhfTADAACmCAAA&#10;DgAAAAAAAAABACAAAAApAQAAZHJzL2Uyb0RvYy54bWxQSwUGAAAAAAYABgBZAQAAywYAAAAA&#10;">
                <o:lock v:ext="edit" aspectratio="f"/>
                <v:rect id="矩形 1049" o:spid="_x0000_s1026" o:spt="1" style="position:absolute;left:10105;top:2648584;height:154;width:121;" fillcolor="#FF0000" filled="t" stroked="t" coordsize="21600,21600" o:gfxdata="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WZ0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rect>
                <v:shape id="自选图形 1048" o:spid="_x0000_s1026" o:spt="62" type="#_x0000_t62" style="position:absolute;left:10320;top:2647558;height:527;width:1686;" fillcolor="#FFFF00" filled="t" stroked="t" coordsize="21600,21600" o:gfxdata="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ZEGTrsAAADc&#10;AAAADwAAAAAAAAABACAAAAAiAAAAZHJzL2Rvd25yZXYueG1sUEsBAhQAFAAAAAgAh07iQDMvBZ47&#10;AAAAOQAAABAAAAAAAAAAAQAgAAAACgEAAGRycy9zaGFwZXhtbC54bWxQSwUGAAAAAAYABgBbAQAA&#10;tAMAAAAA&#10;" adj="-1243,42257,14400">
                  <v:fill on="t" focussize="0,0"/>
                  <v:stroke color="#000000" joinstyle="miter"/>
                  <v:imagedata o:title=""/>
                  <o:lock v:ext="edit" aspectratio="f"/>
                  <v:textbox>
                    <w:txbxContent>
                      <w:p w14:paraId="1AAFDFF0">
                        <w:pPr>
                          <w:jc w:val="left"/>
                          <w:rPr>
                            <w:rFonts w:hint="default" w:eastAsia="宋体"/>
                            <w:b/>
                            <w:bCs/>
                            <w:lang w:val="en-US" w:eastAsia="zh-CN"/>
                          </w:rPr>
                        </w:pPr>
                        <w:r>
                          <w:rPr>
                            <w:rFonts w:hint="eastAsia" w:ascii="Times New Roman" w:eastAsia="宋体"/>
                            <w:b/>
                            <w:bCs/>
                            <w:lang w:val="en-US" w:eastAsia="zh-CN"/>
                          </w:rPr>
                          <w:t>项目选址位置</w:t>
                        </w:r>
                      </w:p>
                    </w:txbxContent>
                  </v:textbox>
                </v:shape>
              </v:group>
            </w:pict>
          </mc:Fallback>
        </mc:AlternateContent>
      </w:r>
      <w:r>
        <w:rPr>
          <w:rFonts w:ascii="宋体" w:hAnsi="Courier New" w:eastAsia="宋体" w:cs="Times New Roman"/>
          <w:kern w:val="2"/>
          <w:position w:val="-263"/>
          <w:sz w:val="21"/>
          <w:szCs w:val="20"/>
          <w:lang w:val="en-US" w:eastAsia="zh-CN" w:bidi="ar-SA"/>
        </w:rPr>
        <w:drawing>
          <wp:inline distT="0" distB="0" distL="0" distR="0">
            <wp:extent cx="5274945" cy="8242300"/>
            <wp:effectExtent l="0" t="0" r="1905" b="6350"/>
            <wp:docPr id="285" name="IM 18"/>
            <wp:cNvGraphicFramePr/>
            <a:graphic xmlns:a="http://schemas.openxmlformats.org/drawingml/2006/main">
              <a:graphicData uri="http://schemas.openxmlformats.org/drawingml/2006/picture">
                <pic:pic xmlns:pic="http://schemas.openxmlformats.org/drawingml/2006/picture">
                  <pic:nvPicPr>
                    <pic:cNvPr id="285" name="IM 18"/>
                    <pic:cNvPicPr/>
                  </pic:nvPicPr>
                  <pic:blipFill>
                    <a:blip r:embed="rId79"/>
                    <a:stretch>
                      <a:fillRect/>
                    </a:stretch>
                  </pic:blipFill>
                  <pic:spPr>
                    <a:xfrm>
                      <a:off x="0" y="0"/>
                      <a:ext cx="5275579" cy="8242300"/>
                    </a:xfrm>
                    <a:prstGeom prst="rect">
                      <a:avLst/>
                    </a:prstGeom>
                  </pic:spPr>
                </pic:pic>
              </a:graphicData>
            </a:graphic>
          </wp:inline>
        </w:drawing>
      </w:r>
    </w:p>
    <w:p w14:paraId="18C1C0D9">
      <w:pPr>
        <w:spacing w:line="240" w:lineRule="auto"/>
        <w:jc w:val="center"/>
        <w:outlineLvl w:val="0"/>
        <w:rPr>
          <w:rFonts w:hint="default" w:ascii="Times New Roman" w:hAnsi="Times New Roman" w:eastAsia="宋体" w:cs="Times New Roman"/>
          <w:b/>
          <w:bCs/>
          <w:color w:val="auto"/>
          <w:sz w:val="24"/>
          <w:highlight w:val="none"/>
          <w:lang w:val="en-US" w:eastAsia="zh-CN"/>
        </w:rPr>
        <w:sectPr>
          <w:pgSz w:w="11850" w:h="16783"/>
          <w:pgMar w:top="1440" w:right="969" w:bottom="1440" w:left="969" w:header="737"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102" w:name="_Toc1661"/>
      <w:r>
        <w:rPr>
          <w:rFonts w:hint="eastAsia" w:ascii="Times New Roman" w:hAnsi="Times New Roman" w:eastAsia="宋体" w:cs="Times New Roman"/>
          <w:b/>
          <w:bCs/>
          <w:color w:val="auto"/>
          <w:kern w:val="2"/>
          <w:sz w:val="24"/>
          <w:szCs w:val="20"/>
          <w:highlight w:val="none"/>
          <w:lang w:val="en-US" w:eastAsia="zh-CN" w:bidi="ar-SA"/>
        </w:rPr>
        <w:t>附图10 韶关乐昌经济开发区周边主要饮用水源保护区分布图</w:t>
      </w:r>
      <w:bookmarkEnd w:id="102"/>
    </w:p>
    <w:p w14:paraId="3ECE1FAA">
      <w:pPr>
        <w:widowControl w:val="0"/>
        <w:spacing w:line="240" w:lineRule="auto"/>
        <w:jc w:val="center"/>
        <w:rPr>
          <w:rFonts w:ascii="Times New Roman" w:hAnsi="Times New Roman" w:eastAsia="宋体" w:cs="宋体"/>
          <w:color w:val="auto"/>
          <w:kern w:val="2"/>
          <w:sz w:val="21"/>
          <w:szCs w:val="24"/>
          <w:highlight w:val="none"/>
          <w:lang w:val="en-US" w:eastAsia="zh-CN" w:bidi="ar-SA"/>
        </w:rPr>
      </w:pPr>
      <w:bookmarkStart w:id="103" w:name="_Toc30196"/>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6439535</wp:posOffset>
                </wp:positionH>
                <wp:positionV relativeFrom="paragraph">
                  <wp:posOffset>695325</wp:posOffset>
                </wp:positionV>
                <wp:extent cx="76835" cy="97790"/>
                <wp:effectExtent l="4445" t="4445" r="13970" b="12065"/>
                <wp:wrapNone/>
                <wp:docPr id="10" name="矩形 1051"/>
                <wp:cNvGraphicFramePr/>
                <a:graphic xmlns:a="http://schemas.openxmlformats.org/drawingml/2006/main">
                  <a:graphicData uri="http://schemas.microsoft.com/office/word/2010/wordprocessingShape">
                    <wps:wsp>
                      <wps:cNvSpPr/>
                      <wps:spPr>
                        <a:xfrm>
                          <a:off x="0" y="0"/>
                          <a:ext cx="76835" cy="97790"/>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051" o:spid="_x0000_s1026" o:spt="1" style="position:absolute;left:0pt;margin-left:507.05pt;margin-top:54.75pt;height:7.7pt;width:6.05pt;z-index:251667456;mso-width-relative:page;mso-height-relative:page;" fillcolor="#FFFFFF" filled="t" stroked="t" coordsize="21600,21600" o:gfxdata="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wO+rzYAAAADQEA&#10;AA8AAAAAAAAAAQAgAAAAIgAAAGRycy9kb3ducmV2LnhtbFBLAQIUABQAAAAIAIdO4kDhW+/lGgIA&#10;AFIEAAAOAAAAAAAAAAEAIAAAACcBAABkcnMvZTJvRG9jLnhtbFBLBQYAAAAABgAGAFkBAACzBQAA&#10;AAA=&#10;">
                <v:fill on="t" focussize="0,0"/>
                <v:stroke color="#000000" joinstyle="miter"/>
                <v:imagedata o:title=""/>
                <o:lock v:ext="edit" aspectratio="f"/>
              </v:rect>
            </w:pict>
          </mc:Fallback>
        </mc:AlternateContent>
      </w:r>
      <w:r>
        <w:rPr>
          <w:rFonts w:ascii="宋体" w:hAnsi="Times New Roman" w:eastAsia="宋体" w:cs="宋体"/>
          <w:color w:val="auto"/>
          <w:kern w:val="2"/>
          <w:sz w:val="24"/>
          <w:szCs w:val="24"/>
          <w:highlight w:val="none"/>
          <w:lang w:val="en-US" w:eastAsia="zh-CN" w:bidi="ar-SA"/>
        </w:rPr>
        <mc:AlternateContent>
          <mc:Choice Requires="wps">
            <w:drawing>
              <wp:anchor distT="0" distB="0" distL="114300" distR="114300" simplePos="0" relativeHeight="251711488" behindDoc="0" locked="0" layoutInCell="1" allowOverlap="1">
                <wp:simplePos x="0" y="0"/>
                <wp:positionH relativeFrom="column">
                  <wp:posOffset>6294120</wp:posOffset>
                </wp:positionH>
                <wp:positionV relativeFrom="paragraph">
                  <wp:posOffset>3924935</wp:posOffset>
                </wp:positionV>
                <wp:extent cx="1511935" cy="1400175"/>
                <wp:effectExtent l="6350" t="6350" r="24765" b="22225"/>
                <wp:wrapNone/>
                <wp:docPr id="171" name="矩形 171"/>
                <wp:cNvGraphicFramePr/>
                <a:graphic xmlns:a="http://schemas.openxmlformats.org/drawingml/2006/main">
                  <a:graphicData uri="http://schemas.microsoft.com/office/word/2010/wordprocessingShape">
                    <wps:wsp>
                      <wps:cNvSpPr/>
                      <wps:spPr>
                        <a:xfrm>
                          <a:off x="8428355" y="5351145"/>
                          <a:ext cx="1511935" cy="1400175"/>
                        </a:xfrm>
                        <a:prstGeom prst="rect">
                          <a:avLst/>
                        </a:prstGeom>
                        <a:solidFill>
                          <a:srgbClr val="E7E6E6"/>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5.6pt;margin-top:309.05pt;height:110.25pt;width:119.05pt;z-index:251711488;v-text-anchor:middle;mso-width-relative:page;mso-height-relative:page;" fillcolor="#E7E6E6" filled="t" stroked="t" coordsize="21600,21600" o:gfxdata="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jthNv9oAAAAMAQAADwAA&#10;AAAAAAABACAAAAAiAAAAZHJzL2Rvd25yZXYueG1sUEsBAhQAFAAAAAgAh07iQIaCraqGAgAAEwUA&#10;AA4AAAAAAAAAAQAgAAAAKQEAAGRycy9lMm9Eb2MueG1sUEsFBgAAAAAGAAYAWQEAACEGAAAAAA==&#10;">
                <v:fill on="t" focussize="0,0"/>
                <v:stroke weight="1pt" color="#000000" miterlimit="8" joinstyle="miter"/>
                <v:imagedata o:title=""/>
                <o:lock v:ext="edit" aspectratio="f"/>
              </v:rect>
            </w:pict>
          </mc:Fallback>
        </mc:AlternateContent>
      </w:r>
      <w:r>
        <w:rPr>
          <w:rFonts w:ascii="宋体" w:hAnsi="Courier New" w:eastAsia="宋体" w:cs="Times New Roman"/>
          <w:kern w:val="2"/>
          <w:sz w:val="24"/>
          <w:szCs w:val="20"/>
          <w:lang w:val="en-US" w:eastAsia="zh-CN" w:bidi="ar-SA"/>
        </w:rPr>
        <mc:AlternateContent>
          <mc:Choice Requires="wpg">
            <w:drawing>
              <wp:anchor distT="0" distB="0" distL="114300" distR="114300" simplePos="0" relativeHeight="251716608" behindDoc="0" locked="0" layoutInCell="1" allowOverlap="1">
                <wp:simplePos x="0" y="0"/>
                <wp:positionH relativeFrom="column">
                  <wp:posOffset>6223000</wp:posOffset>
                </wp:positionH>
                <wp:positionV relativeFrom="paragraph">
                  <wp:posOffset>3872865</wp:posOffset>
                </wp:positionV>
                <wp:extent cx="1534160" cy="1474470"/>
                <wp:effectExtent l="0" t="0" r="0" b="0"/>
                <wp:wrapNone/>
                <wp:docPr id="125" name="组合 125"/>
                <wp:cNvGraphicFramePr/>
                <a:graphic xmlns:a="http://schemas.openxmlformats.org/drawingml/2006/main">
                  <a:graphicData uri="http://schemas.microsoft.com/office/word/2010/wordprocessingGroup">
                    <wpg:wgp>
                      <wpg:cNvGrpSpPr/>
                      <wpg:grpSpPr>
                        <a:xfrm>
                          <a:off x="0" y="0"/>
                          <a:ext cx="1534160" cy="1474470"/>
                          <a:chOff x="12749" y="2690222"/>
                          <a:chExt cx="2416" cy="2322"/>
                        </a:xfrm>
                      </wpg:grpSpPr>
                      <wps:wsp>
                        <wps:cNvPr id="172" name="文本框 172"/>
                        <wps:cNvSpPr txBox="1"/>
                        <wps:spPr>
                          <a:xfrm>
                            <a:off x="12749" y="2690222"/>
                            <a:ext cx="2416" cy="2322"/>
                          </a:xfrm>
                          <a:prstGeom prst="rect">
                            <a:avLst/>
                          </a:prstGeom>
                          <a:noFill/>
                          <a:ln w="6350">
                            <a:noFill/>
                          </a:ln>
                          <a:effectLst/>
                        </wps:spPr>
                        <wps:txbx>
                          <w:txbxContent>
                            <w:p w14:paraId="384AF60F">
                              <w:pPr>
                                <w:spacing w:line="360" w:lineRule="auto"/>
                                <w:jc w:val="center"/>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图例</w:t>
                              </w:r>
                            </w:p>
                            <w:p w14:paraId="46720216">
                              <w:pPr>
                                <w:keepNext/>
                                <w:keepLines/>
                                <w:widowControl w:val="0"/>
                                <w:numPr>
                                  <w:ilvl w:val="2"/>
                                  <w:numId w:val="0"/>
                                </w:numPr>
                                <w:tabs>
                                  <w:tab w:val="left" w:pos="0"/>
                                  <w:tab w:val="left" w:pos="420"/>
                                </w:tabs>
                                <w:spacing w:line="360" w:lineRule="auto"/>
                                <w:ind w:firstLine="422" w:firstLineChars="200"/>
                                <w:jc w:val="both"/>
                                <w:outlineLvl w:val="2"/>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项目范围：</w:t>
                              </w:r>
                            </w:p>
                            <w:p w14:paraId="10BD87A1">
                              <w:pPr>
                                <w:spacing w:line="360" w:lineRule="auto"/>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环境保护目标：</w:t>
                              </w:r>
                            </w:p>
                            <w:p w14:paraId="21611B5A">
                              <w:pPr>
                                <w:keepNext/>
                                <w:keepLines/>
                                <w:widowControl w:val="0"/>
                                <w:numPr>
                                  <w:ilvl w:val="2"/>
                                  <w:numId w:val="0"/>
                                </w:numPr>
                                <w:tabs>
                                  <w:tab w:val="left" w:pos="0"/>
                                  <w:tab w:val="left" w:pos="420"/>
                                </w:tabs>
                                <w:spacing w:line="360" w:lineRule="auto"/>
                                <w:ind w:firstLine="422" w:firstLineChars="200"/>
                                <w:jc w:val="both"/>
                                <w:outlineLvl w:val="2"/>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500m范围：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矩形 173"/>
                        <wps:cNvSpPr/>
                        <wps:spPr>
                          <a:xfrm>
                            <a:off x="14381" y="2690910"/>
                            <a:ext cx="540" cy="330"/>
                          </a:xfrm>
                          <a:prstGeom prst="rect">
                            <a:avLst/>
                          </a:prstGeom>
                          <a:noFill/>
                          <a:ln w="19050" cap="flat" cmpd="sng">
                            <a:solidFill>
                              <a:srgbClr val="FF0000"/>
                            </a:solidFill>
                            <a:prstDash val="solid"/>
                            <a:miter/>
                            <a:headEnd type="none" w="med" len="med"/>
                            <a:tailEnd type="none" w="med" len="med"/>
                          </a:ln>
                        </wps:spPr>
                        <wps:bodyPr vert="horz" wrap="square" anchor="ctr" anchorCtr="0" upright="1"/>
                      </wps:wsp>
                      <wps:wsp>
                        <wps:cNvPr id="59" name="矩形 176"/>
                        <wps:cNvSpPr/>
                        <wps:spPr>
                          <a:xfrm>
                            <a:off x="14351" y="2691915"/>
                            <a:ext cx="540" cy="330"/>
                          </a:xfrm>
                          <a:prstGeom prst="rect">
                            <a:avLst/>
                          </a:prstGeom>
                          <a:noFill/>
                          <a:ln w="19050" cap="flat" cmpd="sng">
                            <a:solidFill>
                              <a:srgbClr val="1CDBE2"/>
                            </a:solidFill>
                            <a:prstDash val="solid"/>
                            <a:miter/>
                            <a:headEnd type="none" w="med" len="med"/>
                            <a:tailEnd type="none" w="med" len="med"/>
                          </a:ln>
                        </wps:spPr>
                        <wps:bodyPr vert="horz" wrap="square" anchor="ctr" anchorCtr="0" upright="1"/>
                      </wps:wsp>
                      <wps:wsp>
                        <wps:cNvPr id="60" name="矩形 175"/>
                        <wps:cNvSpPr/>
                        <wps:spPr>
                          <a:xfrm>
                            <a:off x="14366" y="2691405"/>
                            <a:ext cx="540" cy="330"/>
                          </a:xfrm>
                          <a:prstGeom prst="rect">
                            <a:avLst/>
                          </a:prstGeom>
                          <a:noFill/>
                          <a:ln w="19050" cap="flat" cmpd="sng">
                            <a:solidFill>
                              <a:srgbClr val="FFFF00"/>
                            </a:solidFill>
                            <a:prstDash val="solid"/>
                            <a:miter/>
                            <a:headEnd type="none" w="med" len="med"/>
                            <a:tailEnd type="none" w="med" len="med"/>
                          </a:ln>
                        </wps:spPr>
                        <wps:bodyPr vert="horz" wrap="square" anchor="ctr" anchorCtr="0" upright="1"/>
                      </wps:wsp>
                    </wpg:wgp>
                  </a:graphicData>
                </a:graphic>
              </wp:anchor>
            </w:drawing>
          </mc:Choice>
          <mc:Fallback>
            <w:pict>
              <v:group id="_x0000_s1026" o:spid="_x0000_s1026" o:spt="203" style="position:absolute;left:0pt;margin-left:490pt;margin-top:304.95pt;height:116.1pt;width:120.8pt;z-index:251716608;mso-width-relative:page;mso-height-relative:page;" coordorigin="12749,2690222" coordsize="2416,2322" o:gfxdata="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">
                <o:lock v:ext="edit" aspectratio="f"/>
                <v:shape id="_x0000_s1026" o:spid="_x0000_s1026" o:spt="202" type="#_x0000_t202" style="position:absolute;left:12749;top:2690222;height:2322;width:2416;" filled="f" stroked="f" coordsize="21600,21600" o:gfxdata="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SRR+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384AF60F">
                        <w:pPr>
                          <w:spacing w:line="360" w:lineRule="auto"/>
                          <w:jc w:val="center"/>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图例</w:t>
                        </w:r>
                      </w:p>
                      <w:p w14:paraId="46720216">
                        <w:pPr>
                          <w:keepNext/>
                          <w:keepLines/>
                          <w:widowControl w:val="0"/>
                          <w:numPr>
                            <w:ilvl w:val="2"/>
                            <w:numId w:val="0"/>
                          </w:numPr>
                          <w:tabs>
                            <w:tab w:val="left" w:pos="0"/>
                            <w:tab w:val="left" w:pos="420"/>
                          </w:tabs>
                          <w:spacing w:line="360" w:lineRule="auto"/>
                          <w:ind w:firstLine="422" w:firstLineChars="200"/>
                          <w:jc w:val="both"/>
                          <w:outlineLvl w:val="2"/>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项目范围：</w:t>
                        </w:r>
                      </w:p>
                      <w:p w14:paraId="10BD87A1">
                        <w:pPr>
                          <w:spacing w:line="360" w:lineRule="auto"/>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环境保护目标：</w:t>
                        </w:r>
                      </w:p>
                      <w:p w14:paraId="21611B5A">
                        <w:pPr>
                          <w:keepNext/>
                          <w:keepLines/>
                          <w:widowControl w:val="0"/>
                          <w:numPr>
                            <w:ilvl w:val="2"/>
                            <w:numId w:val="0"/>
                          </w:numPr>
                          <w:tabs>
                            <w:tab w:val="left" w:pos="0"/>
                            <w:tab w:val="left" w:pos="420"/>
                          </w:tabs>
                          <w:spacing w:line="360" w:lineRule="auto"/>
                          <w:ind w:firstLine="422" w:firstLineChars="200"/>
                          <w:jc w:val="both"/>
                          <w:outlineLvl w:val="2"/>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500m范围：</w:t>
                        </w:r>
                      </w:p>
                    </w:txbxContent>
                  </v:textbox>
                </v:shape>
                <v:rect id="矩形 173" o:spid="_x0000_s1026" o:spt="1" style="position:absolute;left:14381;top:2690910;height:330;width:540;v-text-anchor:middle;" filled="f" stroked="t" coordsize="21600,21600" o:gfxdata="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ybdpugAAANsA&#10;AAAPAAAAAAAAAAEAIAAAACIAAABkcnMvZG93bnJldi54bWxQSwECFAAUAAAACACHTuJAMy8FnjsA&#10;AAA5AAAAEAAAAAAAAAABACAAAAAJAQAAZHJzL3NoYXBleG1sLnhtbFBLBQYAAAAABgAGAFsBAACz&#10;AwAAAAA=&#10;">
                  <v:fill on="f" focussize="0,0"/>
                  <v:stroke weight="1.5pt" color="#FF0000" joinstyle="miter"/>
                  <v:imagedata o:title=""/>
                  <o:lock v:ext="edit" aspectratio="f"/>
                </v:rect>
                <v:rect id="矩形 176" o:spid="_x0000_s1026" o:spt="1" style="position:absolute;left:14351;top:2691915;height:330;width:540;v-text-anchor:middle;" filled="f" stroked="t" coordsize="21600,21600" o:gfxdata="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0Nl8W/&#10;AAAA2wAAAA8AAAAAAAAAAQAgAAAAIgAAAGRycy9kb3ducmV2LnhtbFBLAQIUABQAAAAIAIdO4kAz&#10;LwWeOwAAADkAAAAQAAAAAAAAAAEAIAAAAA4BAABkcnMvc2hhcGV4bWwueG1sUEsFBgAAAAAGAAYA&#10;WwEAALgDAAAAAA==&#10;">
                  <v:fill on="f" focussize="0,0"/>
                  <v:stroke weight="1.5pt" color="#1CDBE2" joinstyle="miter"/>
                  <v:imagedata o:title=""/>
                  <o:lock v:ext="edit" aspectratio="f"/>
                </v:rect>
                <v:rect id="矩形 175" o:spid="_x0000_s1026" o:spt="1" style="position:absolute;left:14366;top:2691405;height:330;width:540;v-text-anchor:middle;" filled="f" stroked="t" coordsize="21600,21600" o:gfxdata="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THhxubUAAADbAAAADwAA&#10;AAAAAAABACAAAAAiAAAAZHJzL2Rvd25yZXYueG1sUEsBAhQAFAAAAAgAh07iQDMvBZ47AAAAOQAA&#10;ABAAAAAAAAAAAQAgAAAABAEAAGRycy9zaGFwZXhtbC54bWxQSwUGAAAAAAYABgBbAQAArgMAAAAA&#10;">
                  <v:fill on="f" focussize="0,0"/>
                  <v:stroke weight="1.5pt" color="#FFFF00" joinstyle="miter"/>
                  <v:imagedata o:title=""/>
                  <o:lock v:ext="edit" aspectratio="f"/>
                </v:rect>
              </v:group>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7328" behindDoc="0" locked="0" layoutInCell="1" allowOverlap="1">
                <wp:simplePos x="0" y="0"/>
                <wp:positionH relativeFrom="column">
                  <wp:posOffset>4665980</wp:posOffset>
                </wp:positionH>
                <wp:positionV relativeFrom="paragraph">
                  <wp:posOffset>1536700</wp:posOffset>
                </wp:positionV>
                <wp:extent cx="692785" cy="914400"/>
                <wp:effectExtent l="0" t="0" r="0" b="0"/>
                <wp:wrapNone/>
                <wp:docPr id="80" name="文本框 175"/>
                <wp:cNvGraphicFramePr/>
                <a:graphic xmlns:a="http://schemas.openxmlformats.org/drawingml/2006/main">
                  <a:graphicData uri="http://schemas.microsoft.com/office/word/2010/wordprocessingShape">
                    <wps:wsp>
                      <wps:cNvSpPr txBox="1"/>
                      <wps:spPr>
                        <a:xfrm>
                          <a:off x="0" y="0"/>
                          <a:ext cx="692785" cy="914400"/>
                        </a:xfrm>
                        <a:prstGeom prst="rect">
                          <a:avLst/>
                        </a:prstGeom>
                        <a:noFill/>
                        <a:ln>
                          <a:noFill/>
                        </a:ln>
                      </wps:spPr>
                      <wps:txbx>
                        <w:txbxContent>
                          <w:p w14:paraId="6B3D0C7A">
                            <w:pPr>
                              <w:rPr>
                                <w:rFonts w:hint="default" w:eastAsia="宋体"/>
                                <w:b/>
                                <w:bCs/>
                                <w:color w:val="FF0000"/>
                                <w:shd w:val="clear" w:color="FFFFFF" w:fill="D9D9D9"/>
                                <w:lang w:val="en-US" w:eastAsia="zh-CN"/>
                              </w:rPr>
                            </w:pPr>
                            <w:r>
                              <w:rPr>
                                <w:rFonts w:hint="eastAsia" w:ascii="Times New Roman" w:eastAsia="宋体"/>
                                <w:b/>
                                <w:bCs/>
                                <w:color w:val="FF0000"/>
                                <w:shd w:val="clear" w:color="FFFFFF" w:fill="D9D9D9"/>
                                <w:lang w:val="en-US" w:eastAsia="zh-CN"/>
                              </w:rPr>
                              <w:t>4</w:t>
                            </w:r>
                            <w:r>
                              <w:rPr>
                                <w:rFonts w:hint="eastAsia"/>
                                <w:b/>
                                <w:bCs/>
                                <w:color w:val="FF0000"/>
                                <w:shd w:val="clear" w:color="FFFFFF" w:fill="D9D9D9"/>
                                <w:lang w:val="en-US" w:eastAsia="zh-CN"/>
                              </w:rPr>
                              <w:t>63</w:t>
                            </w:r>
                            <w:r>
                              <w:rPr>
                                <w:rFonts w:hint="eastAsia" w:ascii="Times New Roman" w:eastAsia="宋体"/>
                                <w:b/>
                                <w:bCs/>
                                <w:color w:val="FF0000"/>
                                <w:shd w:val="clear" w:color="FFFFFF" w:fill="D9D9D9"/>
                                <w:lang w:val="en-US" w:eastAsia="zh-CN"/>
                              </w:rPr>
                              <w:t>米</w:t>
                            </w:r>
                          </w:p>
                        </w:txbxContent>
                      </wps:txbx>
                      <wps:bodyPr wrap="square" upright="0">
                        <a:spAutoFit/>
                      </wps:bodyPr>
                    </wps:wsp>
                  </a:graphicData>
                </a:graphic>
              </wp:anchor>
            </w:drawing>
          </mc:Choice>
          <mc:Fallback>
            <w:pict>
              <v:shape id="文本框 175" o:spid="_x0000_s1026" o:spt="202" type="#_x0000_t202" style="position:absolute;left:0pt;margin-left:367.4pt;margin-top:121pt;height:72pt;width:54.55pt;z-index:251747328;mso-width-relative:page;mso-height-relative:page;" filled="f" stroked="f" coordsize="21600,21600" o:gfxdata="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RlRlvZAAAACwEAAA8AAAAAAAAAAQAgAAAAIgAAAGRycy9kb3du&#10;cmV2LnhtbFBLAQIUABQAAAAIAIdO4kAE9u1DxQEAAHgDAAAOAAAAAAAAAAEAIAAAACgBAABkcnMv&#10;ZTJvRG9jLnhtbFBLBQYAAAAABgAGAFkBAABfBQAAAAA=&#10;">
                <v:fill on="f" focussize="0,0"/>
                <v:stroke on="f"/>
                <v:imagedata o:title=""/>
                <o:lock v:ext="edit" aspectratio="f"/>
                <v:textbox style="mso-fit-shape-to-text:t;">
                  <w:txbxContent>
                    <w:p w14:paraId="6B3D0C7A">
                      <w:pPr>
                        <w:rPr>
                          <w:rFonts w:hint="default" w:eastAsia="宋体"/>
                          <w:b/>
                          <w:bCs/>
                          <w:color w:val="FF0000"/>
                          <w:shd w:val="clear" w:color="FFFFFF" w:fill="D9D9D9"/>
                          <w:lang w:val="en-US" w:eastAsia="zh-CN"/>
                        </w:rPr>
                      </w:pPr>
                      <w:r>
                        <w:rPr>
                          <w:rFonts w:hint="eastAsia" w:ascii="Times New Roman" w:eastAsia="宋体"/>
                          <w:b/>
                          <w:bCs/>
                          <w:color w:val="FF0000"/>
                          <w:shd w:val="clear" w:color="FFFFFF" w:fill="D9D9D9"/>
                          <w:lang w:val="en-US" w:eastAsia="zh-CN"/>
                        </w:rPr>
                        <w:t>4</w:t>
                      </w:r>
                      <w:r>
                        <w:rPr>
                          <w:rFonts w:hint="eastAsia"/>
                          <w:b/>
                          <w:bCs/>
                          <w:color w:val="FF0000"/>
                          <w:shd w:val="clear" w:color="FFFFFF" w:fill="D9D9D9"/>
                          <w:lang w:val="en-US" w:eastAsia="zh-CN"/>
                        </w:rPr>
                        <w:t>63</w:t>
                      </w:r>
                      <w:r>
                        <w:rPr>
                          <w:rFonts w:hint="eastAsia" w:ascii="Times New Roman" w:eastAsia="宋体"/>
                          <w:b/>
                          <w:bCs/>
                          <w:color w:val="FF0000"/>
                          <w:shd w:val="clear" w:color="FFFFFF" w:fill="D9D9D9"/>
                          <w:lang w:val="en-US" w:eastAsia="zh-CN"/>
                        </w:rPr>
                        <w:t>米</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6304" behindDoc="0" locked="0" layoutInCell="1" allowOverlap="1">
                <wp:simplePos x="0" y="0"/>
                <wp:positionH relativeFrom="column">
                  <wp:posOffset>4411980</wp:posOffset>
                </wp:positionH>
                <wp:positionV relativeFrom="paragraph">
                  <wp:posOffset>1225550</wp:posOffset>
                </wp:positionV>
                <wp:extent cx="692785" cy="914400"/>
                <wp:effectExtent l="0" t="0" r="0" b="0"/>
                <wp:wrapNone/>
                <wp:docPr id="79" name="文本框 174"/>
                <wp:cNvGraphicFramePr/>
                <a:graphic xmlns:a="http://schemas.openxmlformats.org/drawingml/2006/main">
                  <a:graphicData uri="http://schemas.microsoft.com/office/word/2010/wordprocessingShape">
                    <wps:wsp>
                      <wps:cNvSpPr txBox="1"/>
                      <wps:spPr>
                        <a:xfrm>
                          <a:off x="0" y="0"/>
                          <a:ext cx="692785" cy="914400"/>
                        </a:xfrm>
                        <a:prstGeom prst="rect">
                          <a:avLst/>
                        </a:prstGeom>
                        <a:noFill/>
                        <a:ln>
                          <a:noFill/>
                        </a:ln>
                      </wps:spPr>
                      <wps:txbx>
                        <w:txbxContent>
                          <w:p w14:paraId="1F492FF3">
                            <w:pPr>
                              <w:rPr>
                                <w:rFonts w:hint="default" w:eastAsia="宋体"/>
                                <w:b/>
                                <w:bCs/>
                                <w:color w:val="FF0000"/>
                                <w:shd w:val="clear" w:color="FFFFFF" w:fill="D9D9D9"/>
                                <w:lang w:val="en-US" w:eastAsia="zh-CN"/>
                              </w:rPr>
                            </w:pPr>
                            <w:r>
                              <w:rPr>
                                <w:rFonts w:hint="eastAsia"/>
                                <w:b/>
                                <w:bCs/>
                                <w:color w:val="FF0000"/>
                                <w:shd w:val="clear" w:color="FFFFFF" w:fill="D9D9D9"/>
                                <w:lang w:val="en-US" w:eastAsia="zh-CN"/>
                              </w:rPr>
                              <w:t>377</w:t>
                            </w:r>
                            <w:r>
                              <w:rPr>
                                <w:rFonts w:hint="eastAsia" w:ascii="Times New Roman" w:eastAsia="宋体"/>
                                <w:b/>
                                <w:bCs/>
                                <w:color w:val="FF0000"/>
                                <w:shd w:val="clear" w:color="FFFFFF" w:fill="D9D9D9"/>
                                <w:lang w:val="en-US" w:eastAsia="zh-CN"/>
                              </w:rPr>
                              <w:t>米</w:t>
                            </w:r>
                          </w:p>
                        </w:txbxContent>
                      </wps:txbx>
                      <wps:bodyPr vert="horz" wrap="square" anchor="t" anchorCtr="0" upright="0">
                        <a:spAutoFit/>
                      </wps:bodyPr>
                    </wps:wsp>
                  </a:graphicData>
                </a:graphic>
              </wp:anchor>
            </w:drawing>
          </mc:Choice>
          <mc:Fallback>
            <w:pict>
              <v:shape id="文本框 174" o:spid="_x0000_s1026" o:spt="202" type="#_x0000_t202" style="position:absolute;left:0pt;margin-left:347.4pt;margin-top:96.5pt;height:72pt;width:54.55pt;z-index:251746304;mso-width-relative:page;mso-height-relative:page;" filled="f" stroked="f" coordsize="21600,21600" o:gfxdata="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4Pa4QtgAAAALAQAADwAAAAAA&#10;AAABACAAAAAiAAAAZHJzL2Rvd25yZXYueG1sUEsBAhQAFAAAAAgAh07iQOkKwLHaAQAAnQMAAA4A&#10;AAAAAAAAAQAgAAAAJwEAAGRycy9lMm9Eb2MueG1sUEsFBgAAAAAGAAYAWQEAAHMFAAAAAA==&#10;">
                <v:fill on="f" focussize="0,0"/>
                <v:stroke on="f"/>
                <v:imagedata o:title=""/>
                <o:lock v:ext="edit" aspectratio="f"/>
                <v:textbox style="mso-fit-shape-to-text:t;">
                  <w:txbxContent>
                    <w:p w14:paraId="1F492FF3">
                      <w:pPr>
                        <w:rPr>
                          <w:rFonts w:hint="default" w:eastAsia="宋体"/>
                          <w:b/>
                          <w:bCs/>
                          <w:color w:val="FF0000"/>
                          <w:shd w:val="clear" w:color="FFFFFF" w:fill="D9D9D9"/>
                          <w:lang w:val="en-US" w:eastAsia="zh-CN"/>
                        </w:rPr>
                      </w:pPr>
                      <w:r>
                        <w:rPr>
                          <w:rFonts w:hint="eastAsia"/>
                          <w:b/>
                          <w:bCs/>
                          <w:color w:val="FF0000"/>
                          <w:shd w:val="clear" w:color="FFFFFF" w:fill="D9D9D9"/>
                          <w:lang w:val="en-US" w:eastAsia="zh-CN"/>
                        </w:rPr>
                        <w:t>377</w:t>
                      </w:r>
                      <w:r>
                        <w:rPr>
                          <w:rFonts w:hint="eastAsia" w:ascii="Times New Roman" w:eastAsia="宋体"/>
                          <w:b/>
                          <w:bCs/>
                          <w:color w:val="FF0000"/>
                          <w:shd w:val="clear" w:color="FFFFFF" w:fill="D9D9D9"/>
                          <w:lang w:val="en-US" w:eastAsia="zh-CN"/>
                        </w:rPr>
                        <w:t>米</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5280" behindDoc="0" locked="0" layoutInCell="1" allowOverlap="1">
                <wp:simplePos x="0" y="0"/>
                <wp:positionH relativeFrom="column">
                  <wp:posOffset>4368165</wp:posOffset>
                </wp:positionH>
                <wp:positionV relativeFrom="paragraph">
                  <wp:posOffset>1108075</wp:posOffset>
                </wp:positionV>
                <wp:extent cx="455930" cy="1218565"/>
                <wp:effectExtent l="4445" t="1905" r="15875" b="17780"/>
                <wp:wrapNone/>
                <wp:docPr id="78" name="任意多边形 173"/>
                <wp:cNvGraphicFramePr/>
                <a:graphic xmlns:a="http://schemas.openxmlformats.org/drawingml/2006/main">
                  <a:graphicData uri="http://schemas.microsoft.com/office/word/2010/wordprocessingShape">
                    <wps:wsp>
                      <wps:cNvSpPr/>
                      <wps:spPr>
                        <a:xfrm>
                          <a:off x="0" y="0"/>
                          <a:ext cx="455930" cy="1218565"/>
                        </a:xfrm>
                        <a:custGeom>
                          <a:avLst/>
                          <a:gdLst/>
                          <a:ahLst/>
                          <a:cxnLst/>
                          <a:pathLst>
                            <a:path w="718" h="1919">
                              <a:moveTo>
                                <a:pt x="718" y="0"/>
                              </a:moveTo>
                              <a:lnTo>
                                <a:pt x="0" y="1919"/>
                              </a:lnTo>
                            </a:path>
                          </a:pathLst>
                        </a:custGeom>
                        <a:solidFill>
                          <a:srgbClr val="21DDDB"/>
                        </a:solidFill>
                        <a:ln w="9525" cap="flat" cmpd="sng">
                          <a:solidFill>
                            <a:srgbClr val="21DDDB"/>
                          </a:solidFill>
                          <a:prstDash val="solid"/>
                          <a:headEnd type="none" w="med" len="med"/>
                          <a:tailEnd type="none" w="med" len="med"/>
                        </a:ln>
                      </wps:spPr>
                      <wps:bodyPr vert="horz" wrap="square" anchor="t" anchorCtr="0" upright="1"/>
                    </wps:wsp>
                  </a:graphicData>
                </a:graphic>
              </wp:anchor>
            </w:drawing>
          </mc:Choice>
          <mc:Fallback>
            <w:pict>
              <v:shape id="任意多边形 173" o:spid="_x0000_s1026" o:spt="100" style="position:absolute;left:0pt;margin-left:343.95pt;margin-top:87.25pt;height:95.95pt;width:35.9pt;z-index:251745280;mso-width-relative:page;mso-height-relative:page;" fillcolor="#21DDDB" filled="t" stroked="t" coordsize="718,1919" o:gfxdata="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6KhhZ2QAAAAsBAAAPAAAAAAAAAAEAIAAAACIAAABkcnMvZG93bnJldi54bWxQSwECFAAUAAAA&#10;CACHTuJAxkDWFl8CAADwBAAADgAAAAAAAAABACAAAAAoAQAAZHJzL2Uyb0RvYy54bWxQSwUGAAAA&#10;AAYABgBZAQAA+QUAAAAA&#10;" path="m718,0l0,1919e">
                <v:fill on="t" focussize="0,0"/>
                <v:stroke color="#21DDDB" joinstyle="round"/>
                <v:imagedata o:title=""/>
                <o:lock v:ext="edit" aspectratio="f"/>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4256" behindDoc="0" locked="0" layoutInCell="1" allowOverlap="1">
                <wp:simplePos x="0" y="0"/>
                <wp:positionH relativeFrom="column">
                  <wp:posOffset>4723130</wp:posOffset>
                </wp:positionH>
                <wp:positionV relativeFrom="paragraph">
                  <wp:posOffset>833120</wp:posOffset>
                </wp:positionV>
                <wp:extent cx="914400" cy="914400"/>
                <wp:effectExtent l="0" t="0" r="0" b="0"/>
                <wp:wrapNone/>
                <wp:docPr id="77" name="文本框 17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a:noFill/>
                        </a:ln>
                      </wps:spPr>
                      <wps:txbx>
                        <w:txbxContent>
                          <w:p w14:paraId="5CBF366F">
                            <w:pPr>
                              <w:rPr>
                                <w:rFonts w:hint="default" w:eastAsia="宋体"/>
                                <w:b/>
                                <w:bCs/>
                                <w:color w:val="FF0000"/>
                                <w:lang w:val="en-US" w:eastAsia="zh-CN"/>
                              </w:rPr>
                            </w:pPr>
                            <w:r>
                              <w:rPr>
                                <w:rFonts w:hint="eastAsia" w:ascii="Times New Roman" w:eastAsia="宋体"/>
                                <w:b/>
                                <w:bCs/>
                                <w:color w:val="FF0000"/>
                                <w:lang w:val="en-US" w:eastAsia="zh-CN"/>
                              </w:rPr>
                              <w:t>村落</w:t>
                            </w:r>
                          </w:p>
                        </w:txbxContent>
                      </wps:txbx>
                      <wps:bodyPr vert="horz" wrap="square" anchor="t" anchorCtr="0" upright="0">
                        <a:spAutoFit/>
                      </wps:bodyPr>
                    </wps:wsp>
                  </a:graphicData>
                </a:graphic>
              </wp:anchor>
            </w:drawing>
          </mc:Choice>
          <mc:Fallback>
            <w:pict>
              <v:shape id="文本框 172" o:spid="_x0000_s1026" o:spt="202" type="#_x0000_t202" style="position:absolute;left:0pt;margin-left:371.9pt;margin-top:65.6pt;height:72pt;width:72pt;z-index:251744256;mso-width-relative:page;mso-height-relative:page;" filled="f" stroked="f" coordsize="21600,21600" o:gfxdata="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NRIvtgAAAALAQAADwAAAAAAAAABACAA&#10;AAAiAAAAZHJzL2Rvd25yZXYueG1sUEsBAhQAFAAAAAgAh07iQBOcyAvUAQAAnQMAAA4AAAAAAAAA&#10;AQAgAAAAJwEAAGRycy9lMm9Eb2MueG1sUEsFBgAAAAAGAAYAWQEAAG0FAAAAAA==&#10;">
                <v:fill on="f" focussize="0,0"/>
                <v:stroke on="f"/>
                <v:imagedata o:title=""/>
                <o:lock v:ext="edit" aspectratio="f"/>
                <v:textbox style="mso-fit-shape-to-text:t;">
                  <w:txbxContent>
                    <w:p w14:paraId="5CBF366F">
                      <w:pPr>
                        <w:rPr>
                          <w:rFonts w:hint="default" w:eastAsia="宋体"/>
                          <w:b/>
                          <w:bCs/>
                          <w:color w:val="FF0000"/>
                          <w:lang w:val="en-US" w:eastAsia="zh-CN"/>
                        </w:rPr>
                      </w:pPr>
                      <w:r>
                        <w:rPr>
                          <w:rFonts w:hint="eastAsia" w:ascii="Times New Roman" w:eastAsia="宋体"/>
                          <w:b/>
                          <w:bCs/>
                          <w:color w:val="FF0000"/>
                          <w:lang w:val="en-US" w:eastAsia="zh-CN"/>
                        </w:rPr>
                        <w:t>村落</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3232" behindDoc="0" locked="0" layoutInCell="1" allowOverlap="1">
                <wp:simplePos x="0" y="0"/>
                <wp:positionH relativeFrom="column">
                  <wp:posOffset>4832350</wp:posOffset>
                </wp:positionH>
                <wp:positionV relativeFrom="paragraph">
                  <wp:posOffset>836295</wp:posOffset>
                </wp:positionV>
                <wp:extent cx="259080" cy="271780"/>
                <wp:effectExtent l="4445" t="4445" r="22225" b="9525"/>
                <wp:wrapNone/>
                <wp:docPr id="76" name="任意多边形 169"/>
                <wp:cNvGraphicFramePr/>
                <a:graphic xmlns:a="http://schemas.openxmlformats.org/drawingml/2006/main">
                  <a:graphicData uri="http://schemas.microsoft.com/office/word/2010/wordprocessingShape">
                    <wps:wsp>
                      <wps:cNvSpPr/>
                      <wps:spPr>
                        <a:xfrm>
                          <a:off x="0" y="0"/>
                          <a:ext cx="259080" cy="271780"/>
                        </a:xfrm>
                        <a:custGeom>
                          <a:avLst/>
                          <a:gdLst/>
                          <a:ahLst/>
                          <a:cxnLst/>
                          <a:pathLst>
                            <a:path w="408" h="428">
                              <a:moveTo>
                                <a:pt x="8" y="428"/>
                              </a:moveTo>
                              <a:lnTo>
                                <a:pt x="0" y="22"/>
                              </a:lnTo>
                              <a:lnTo>
                                <a:pt x="322" y="0"/>
                              </a:lnTo>
                              <a:lnTo>
                                <a:pt x="408" y="378"/>
                              </a:lnTo>
                              <a:lnTo>
                                <a:pt x="315" y="428"/>
                              </a:lnTo>
                              <a:lnTo>
                                <a:pt x="8" y="428"/>
                              </a:lnTo>
                              <a:close/>
                            </a:path>
                          </a:pathLst>
                        </a:custGeom>
                        <a:noFill/>
                        <a:ln w="9525" cap="flat" cmpd="sng">
                          <a:solidFill>
                            <a:srgbClr val="FFFF00"/>
                          </a:solidFill>
                          <a:prstDash val="solid"/>
                          <a:headEnd type="none" w="med" len="med"/>
                          <a:tailEnd type="none" w="med" len="med"/>
                        </a:ln>
                      </wps:spPr>
                      <wps:bodyPr vert="horz" wrap="square" anchor="t" anchorCtr="0" upright="1"/>
                    </wps:wsp>
                  </a:graphicData>
                </a:graphic>
              </wp:anchor>
            </w:drawing>
          </mc:Choice>
          <mc:Fallback>
            <w:pict>
              <v:shape id="任意多边形 169" o:spid="_x0000_s1026" o:spt="100" style="position:absolute;left:0pt;margin-left:380.5pt;margin-top:65.85pt;height:21.4pt;width:20.4pt;z-index:251743232;mso-width-relative:page;mso-height-relative:page;" filled="f" stroked="t" coordsize="408,428" o:gfxdata="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yVIML2gAAAAsBAAAP&#10;AAAAAAAAAAEAIAAAACIAAABkcnMvZG93bnJldi54bWxQSwECFAAUAAAACACHTuJATDi+yIgCAABp&#10;BQAADgAAAAAAAAABACAAAAApAQAAZHJzL2Uyb0RvYy54bWxQSwUGAAAAAAYABgBZAQAAIwYAAAAA&#10;" path="m8,428l0,22,322,0,408,378,315,428,8,428xe">
                <v:fill on="f" focussize="0,0"/>
                <v:stroke color="#FFFF00" joinstyle="round"/>
                <v:imagedata o:title=""/>
                <o:lock v:ext="edit" aspectratio="f"/>
              </v:shape>
            </w:pict>
          </mc:Fallback>
        </mc:AlternateContent>
      </w:r>
      <w:r>
        <w:rPr>
          <w:rFonts w:ascii="宋体" w:hAnsi="Courier New" w:eastAsia="宋体" w:cs="Times New Roman"/>
          <w:color w:val="auto"/>
          <w:kern w:val="2"/>
          <w:sz w:val="21"/>
          <w:szCs w:val="20"/>
          <w:highlight w:val="none"/>
          <w:lang w:val="en-US" w:eastAsia="zh-CN" w:bidi="ar-SA"/>
        </w:rPr>
        <w:drawing>
          <wp:inline distT="0" distB="0" distL="114300" distR="114300">
            <wp:extent cx="7306310" cy="5487670"/>
            <wp:effectExtent l="0" t="0" r="8890" b="17780"/>
            <wp:docPr id="126"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609"/>
                    <pic:cNvPicPr>
                      <a:picLocks noChangeAspect="1"/>
                    </pic:cNvPicPr>
                  </pic:nvPicPr>
                  <pic:blipFill>
                    <a:blip r:embed="rId80"/>
                    <a:stretch>
                      <a:fillRect/>
                    </a:stretch>
                  </pic:blipFill>
                  <pic:spPr>
                    <a:xfrm>
                      <a:off x="0" y="0"/>
                      <a:ext cx="7306310" cy="5487670"/>
                    </a:xfrm>
                    <a:prstGeom prst="rect">
                      <a:avLst/>
                    </a:prstGeom>
                    <a:noFill/>
                    <a:ln>
                      <a:noFill/>
                    </a:ln>
                  </pic:spPr>
                </pic:pic>
              </a:graphicData>
            </a:graphic>
          </wp:inline>
        </w:drawing>
      </w:r>
      <w:r>
        <w:rPr>
          <w:rFonts w:ascii="宋体" w:hAnsi="Courier New" w:eastAsia="宋体" w:cs="Times New Roman"/>
          <w:color w:val="auto"/>
          <w:kern w:val="2"/>
          <w:sz w:val="21"/>
          <w:szCs w:val="20"/>
          <w:highlight w:val="none"/>
          <w:lang w:val="en-US" w:eastAsia="zh-CN" w:bidi="ar-SA"/>
        </w:rPr>
        <w:drawing>
          <wp:anchor distT="0" distB="0" distL="114300" distR="114300" simplePos="0" relativeHeight="251712512" behindDoc="0" locked="0" layoutInCell="1" allowOverlap="1">
            <wp:simplePos x="0" y="0"/>
            <wp:positionH relativeFrom="column">
              <wp:posOffset>6791960</wp:posOffset>
            </wp:positionH>
            <wp:positionV relativeFrom="paragraph">
              <wp:posOffset>34925</wp:posOffset>
            </wp:positionV>
            <wp:extent cx="1039495" cy="975360"/>
            <wp:effectExtent l="0" t="0" r="8255" b="15240"/>
            <wp:wrapNone/>
            <wp:docPr id="61" name="图片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88"/>
                    <pic:cNvPicPr>
                      <a:picLocks noChangeAspect="1"/>
                    </pic:cNvPicPr>
                  </pic:nvPicPr>
                  <pic:blipFill>
                    <a:blip r:embed="rId81"/>
                    <a:stretch>
                      <a:fillRect/>
                    </a:stretch>
                  </pic:blipFill>
                  <pic:spPr>
                    <a:xfrm>
                      <a:off x="0" y="0"/>
                      <a:ext cx="1039495" cy="975360"/>
                    </a:xfrm>
                    <a:prstGeom prst="rect">
                      <a:avLst/>
                    </a:prstGeom>
                    <a:noFill/>
                    <a:ln>
                      <a:noFill/>
                    </a:ln>
                  </pic:spPr>
                </pic:pic>
              </a:graphicData>
            </a:graphic>
          </wp:anchor>
        </w:drawing>
      </w:r>
      <w:bookmarkStart w:id="104" w:name="_Toc31546"/>
    </w:p>
    <w:bookmarkEnd w:id="104"/>
    <w:p w14:paraId="6F619C7E">
      <w:pPr>
        <w:spacing w:line="240" w:lineRule="auto"/>
        <w:jc w:val="center"/>
        <w:outlineLvl w:val="0"/>
        <w:rPr>
          <w:rFonts w:hint="default" w:ascii="Times New Roman" w:hAnsi="Times New Roman" w:eastAsia="宋体" w:cs="Times New Roman"/>
          <w:color w:val="auto"/>
          <w:highlight w:val="none"/>
        </w:rPr>
      </w:pPr>
      <w:bookmarkStart w:id="105" w:name="_Toc23610"/>
      <w:r>
        <w:rPr>
          <w:rFonts w:hint="default" w:ascii="Times New Roman" w:hAnsi="Times New Roman" w:eastAsia="宋体" w:cs="Times New Roman"/>
          <w:b/>
          <w:bCs/>
          <w:color w:val="auto"/>
          <w:sz w:val="24"/>
          <w:highlight w:val="none"/>
        </w:rPr>
        <w:t>附</w:t>
      </w:r>
      <w:r>
        <w:rPr>
          <w:rFonts w:hint="default" w:ascii="Times New Roman" w:hAnsi="Times New Roman" w:eastAsia="宋体" w:cs="Times New Roman"/>
          <w:b/>
          <w:bCs/>
          <w:color w:val="auto"/>
          <w:kern w:val="2"/>
          <w:sz w:val="24"/>
          <w:szCs w:val="20"/>
          <w:highlight w:val="none"/>
          <w:lang w:val="en-US" w:eastAsia="zh-CN" w:bidi="ar-SA"/>
        </w:rPr>
        <w:t>图</w:t>
      </w:r>
      <w:r>
        <w:rPr>
          <w:rFonts w:hint="eastAsia" w:ascii="Times New Roman" w:hAnsi="Times New Roman" w:eastAsia="宋体" w:cs="Times New Roman"/>
          <w:b/>
          <w:bCs/>
          <w:color w:val="auto"/>
          <w:kern w:val="2"/>
          <w:sz w:val="24"/>
          <w:szCs w:val="20"/>
          <w:highlight w:val="none"/>
          <w:lang w:val="en-US" w:eastAsia="zh-CN" w:bidi="ar-SA"/>
        </w:rPr>
        <w:t>11</w:t>
      </w:r>
      <w:r>
        <w:rPr>
          <w:rFonts w:hint="default" w:ascii="Times New Roman" w:hAnsi="Times New Roman" w:eastAsia="宋体" w:cs="Times New Roman"/>
          <w:b/>
          <w:bCs/>
          <w:color w:val="auto"/>
          <w:kern w:val="2"/>
          <w:sz w:val="24"/>
          <w:szCs w:val="20"/>
          <w:highlight w:val="none"/>
          <w:lang w:val="en-US" w:eastAsia="zh-CN" w:bidi="ar-SA"/>
        </w:rPr>
        <w:t xml:space="preserve"> </w:t>
      </w:r>
      <w:r>
        <w:rPr>
          <w:rFonts w:hint="eastAsia" w:ascii="Times New Roman" w:hAnsi="Times New Roman" w:eastAsia="宋体" w:cs="Times New Roman"/>
          <w:b/>
          <w:bCs/>
          <w:color w:val="auto"/>
          <w:kern w:val="2"/>
          <w:sz w:val="24"/>
          <w:szCs w:val="20"/>
          <w:highlight w:val="none"/>
          <w:lang w:val="en-US" w:eastAsia="zh-CN" w:bidi="ar-SA"/>
        </w:rPr>
        <w:t>项目周边</w:t>
      </w:r>
      <w:r>
        <w:rPr>
          <w:rFonts w:hint="default" w:ascii="Times New Roman" w:hAnsi="Times New Roman" w:eastAsia="宋体" w:cs="Times New Roman"/>
          <w:b/>
          <w:bCs/>
          <w:color w:val="auto"/>
          <w:kern w:val="2"/>
          <w:sz w:val="24"/>
          <w:szCs w:val="20"/>
          <w:highlight w:val="none"/>
          <w:lang w:val="en-US" w:eastAsia="zh-CN" w:bidi="ar-SA"/>
        </w:rPr>
        <w:t>环境</w:t>
      </w:r>
      <w:r>
        <w:rPr>
          <w:rFonts w:hint="default" w:ascii="Times New Roman" w:hAnsi="Times New Roman" w:eastAsia="宋体" w:cs="Times New Roman"/>
          <w:b/>
          <w:bCs/>
          <w:color w:val="auto"/>
          <w:sz w:val="24"/>
          <w:highlight w:val="none"/>
          <w:lang w:val="en-US" w:eastAsia="zh-CN"/>
        </w:rPr>
        <w:t>保护目标分布</w:t>
      </w:r>
      <w:r>
        <w:rPr>
          <w:rFonts w:hint="default" w:ascii="Times New Roman" w:hAnsi="Times New Roman" w:eastAsia="宋体" w:cs="Times New Roman"/>
          <w:b/>
          <w:bCs/>
          <w:color w:val="auto"/>
          <w:sz w:val="24"/>
          <w:highlight w:val="none"/>
        </w:rPr>
        <w:t>示意图</w:t>
      </w:r>
      <w:bookmarkEnd w:id="105"/>
    </w:p>
    <w:p w14:paraId="0B2884C0">
      <w:pPr>
        <w:jc w:val="center"/>
        <w:rPr>
          <w:rFonts w:ascii="Times New Roman"/>
          <w:color w:val="auto"/>
          <w:highlight w:val="none"/>
        </w:rPr>
        <w:sectPr>
          <w:pgSz w:w="16838" w:h="11906" w:orient="landscape"/>
          <w:pgMar w:top="1440" w:right="1800" w:bottom="1440" w:left="1800" w:header="851" w:footer="992" w:gutter="0"/>
          <w:pgBorders>
            <w:top w:val="none" w:sz="0" w:space="0"/>
            <w:left w:val="none" w:sz="0" w:space="0"/>
            <w:bottom w:val="none" w:sz="0" w:space="0"/>
            <w:right w:val="none" w:sz="0" w:space="0"/>
          </w:pgBorders>
          <w:pgNumType w:fmt="decimal"/>
          <w:cols w:space="720" w:num="1"/>
          <w:rtlGutter w:val="0"/>
          <w:docGrid w:type="lines" w:linePitch="334" w:charSpace="0"/>
        </w:sectPr>
      </w:pPr>
    </w:p>
    <w:bookmarkEnd w:id="103"/>
    <w:p w14:paraId="0C3845A7">
      <w:pPr>
        <w:keepNext w:val="0"/>
        <w:keepLines w:val="0"/>
        <w:pageBreakBefore w:val="0"/>
        <w:widowControl w:val="0"/>
        <w:kinsoku/>
        <w:wordWrap/>
        <w:overflowPunct/>
        <w:topLinePunct w:val="0"/>
        <w:autoSpaceDE w:val="0"/>
        <w:autoSpaceDN w:val="0"/>
        <w:bidi w:val="0"/>
        <w:adjustRightInd w:val="0"/>
        <w:snapToGrid w:val="0"/>
        <w:jc w:val="center"/>
        <w:textAlignment w:val="auto"/>
        <w:rPr>
          <w:rFonts w:ascii="Times New Roman" w:hAnsi="Times New Roman" w:eastAsia="宋体....." w:cs="Times New Roman"/>
          <w:color w:val="auto"/>
          <w:kern w:val="2"/>
          <w:sz w:val="24"/>
          <w:szCs w:val="24"/>
          <w:highlight w:val="none"/>
          <w:lang w:val="en-US" w:eastAsia="zh-CN" w:bidi="ar-SA"/>
        </w:rPr>
      </w:pPr>
      <w:r>
        <w:rPr>
          <w:rFonts w:ascii="宋体....." w:hAnsi="Times New Roman" w:eastAsia="宋体....." w:cs="宋体....."/>
          <w:color w:val="auto"/>
          <w:kern w:val="2"/>
          <w:sz w:val="24"/>
          <w:szCs w:val="24"/>
          <w:highlight w:val="none"/>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6282055</wp:posOffset>
                </wp:positionH>
                <wp:positionV relativeFrom="paragraph">
                  <wp:posOffset>1232535</wp:posOffset>
                </wp:positionV>
                <wp:extent cx="777875" cy="365760"/>
                <wp:effectExtent l="541020" t="4445" r="14605" b="239395"/>
                <wp:wrapNone/>
                <wp:docPr id="11" name="自选图形 1119"/>
                <wp:cNvGraphicFramePr/>
                <a:graphic xmlns:a="http://schemas.openxmlformats.org/drawingml/2006/main">
                  <a:graphicData uri="http://schemas.microsoft.com/office/word/2010/wordprocessingShape">
                    <wps:wsp>
                      <wps:cNvSpPr/>
                      <wps:spPr>
                        <a:xfrm>
                          <a:off x="0" y="0"/>
                          <a:ext cx="777875" cy="365760"/>
                        </a:xfrm>
                        <a:prstGeom prst="wedgeRoundRectCallout">
                          <a:avLst>
                            <a:gd name="adj1" fmla="val -115218"/>
                            <a:gd name="adj2" fmla="val 105384"/>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67F7B1BD">
                            <w:pPr>
                              <w:rPr>
                                <w:rFonts w:hint="default" w:eastAsia="宋体"/>
                                <w:b/>
                                <w:bCs/>
                                <w:color w:val="auto"/>
                                <w:lang w:val="en-US" w:eastAsia="zh-CN"/>
                              </w:rPr>
                            </w:pPr>
                            <w:r>
                              <w:rPr>
                                <w:rFonts w:hint="eastAsia" w:ascii="Times New Roman" w:eastAsia="宋体"/>
                                <w:b/>
                                <w:bCs/>
                                <w:color w:val="auto"/>
                                <w:lang w:val="en-US" w:eastAsia="zh-CN"/>
                              </w:rPr>
                              <w:t>项目选址</w:t>
                            </w:r>
                          </w:p>
                        </w:txbxContent>
                      </wps:txbx>
                      <wps:bodyPr vert="horz" wrap="square" anchor="t" anchorCtr="0" upright="1"/>
                    </wps:wsp>
                  </a:graphicData>
                </a:graphic>
              </wp:anchor>
            </w:drawing>
          </mc:Choice>
          <mc:Fallback>
            <w:pict>
              <v:shape id="自选图形 1119" o:spid="_x0000_s1026" o:spt="62" type="#_x0000_t62" style="position:absolute;left:0pt;margin-left:494.65pt;margin-top:97.05pt;height:28.8pt;width:61.25pt;z-index:251666432;mso-width-relative:page;mso-height-relative:page;" fillcolor="#FFFFFF" filled="t" stroked="t" coordsize="21600,21600" o:gfxdata="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urYFx1wAAAAwBAAAPAAAAAAAAAAEAIAAAACIAAABkcnMvZG93bnJldi54bWxQ&#10;SwECFAAUAAAACACHTuJAyoYDTWoCAADuBAAADgAAAAAAAAABACAAAAAmAQAAZHJzL2Uyb0RvYy54&#10;bWxQSwUGAAAAAAYABgBZAQAAAgYAAAAA&#10;" adj="-14087,33563,14400">
                <v:fill on="t" focussize="0,0"/>
                <v:stroke color="#000000" joinstyle="miter"/>
                <v:imagedata o:title=""/>
                <o:lock v:ext="edit" aspectratio="f"/>
                <v:textbox>
                  <w:txbxContent>
                    <w:p w14:paraId="67F7B1BD">
                      <w:pPr>
                        <w:rPr>
                          <w:rFonts w:hint="default" w:eastAsia="宋体"/>
                          <w:b/>
                          <w:bCs/>
                          <w:color w:val="auto"/>
                          <w:lang w:val="en-US" w:eastAsia="zh-CN"/>
                        </w:rPr>
                      </w:pPr>
                      <w:r>
                        <w:rPr>
                          <w:rFonts w:hint="eastAsia" w:ascii="Times New Roman" w:eastAsia="宋体"/>
                          <w:b/>
                          <w:bCs/>
                          <w:color w:val="auto"/>
                          <w:lang w:val="en-US" w:eastAsia="zh-CN"/>
                        </w:rPr>
                        <w:t>项目选址</w:t>
                      </w:r>
                    </w:p>
                  </w:txbxContent>
                </v:textbox>
              </v:shape>
            </w:pict>
          </mc:Fallback>
        </mc:AlternateContent>
      </w:r>
      <w:r>
        <w:rPr>
          <w:rFonts w:ascii="宋体....." w:hAnsi="Times New Roman" w:eastAsia="宋体....." w:cs="宋体....."/>
          <w:color w:val="auto"/>
          <w:kern w:val="2"/>
          <w:sz w:val="21"/>
          <w:szCs w:val="24"/>
          <w:highlight w:val="none"/>
          <w:lang w:val="en-US" w:eastAsia="zh-CN" w:bidi="ar-SA"/>
        </w:rPr>
        <mc:AlternateContent>
          <mc:Choice Requires="wps">
            <w:drawing>
              <wp:anchor distT="0" distB="0" distL="114300" distR="114300" simplePos="0" relativeHeight="251713536" behindDoc="0" locked="0" layoutInCell="1" allowOverlap="1">
                <wp:simplePos x="0" y="0"/>
                <wp:positionH relativeFrom="column">
                  <wp:posOffset>5472430</wp:posOffset>
                </wp:positionH>
                <wp:positionV relativeFrom="paragraph">
                  <wp:posOffset>1755140</wp:posOffset>
                </wp:positionV>
                <wp:extent cx="394970" cy="327025"/>
                <wp:effectExtent l="6350" t="6350" r="17780" b="9525"/>
                <wp:wrapNone/>
                <wp:docPr id="62" name="任意多边形 118"/>
                <wp:cNvGraphicFramePr/>
                <a:graphic xmlns:a="http://schemas.openxmlformats.org/drawingml/2006/main">
                  <a:graphicData uri="http://schemas.microsoft.com/office/word/2010/wordprocessingShape">
                    <wps:wsp>
                      <wps:cNvSpPr/>
                      <wps:spPr>
                        <a:xfrm>
                          <a:off x="0" y="0"/>
                          <a:ext cx="394970" cy="327025"/>
                        </a:xfrm>
                        <a:custGeom>
                          <a:avLst/>
                          <a:gdLst/>
                          <a:ahLst/>
                          <a:cxnLst/>
                          <a:pathLst>
                            <a:path w="622" h="515">
                              <a:moveTo>
                                <a:pt x="504" y="515"/>
                              </a:moveTo>
                              <a:lnTo>
                                <a:pt x="590" y="128"/>
                              </a:lnTo>
                              <a:lnTo>
                                <a:pt x="622" y="0"/>
                              </a:lnTo>
                              <a:lnTo>
                                <a:pt x="11" y="22"/>
                              </a:lnTo>
                              <a:lnTo>
                                <a:pt x="0" y="428"/>
                              </a:lnTo>
                              <a:lnTo>
                                <a:pt x="504" y="515"/>
                              </a:lnTo>
                              <a:close/>
                            </a:path>
                          </a:pathLst>
                        </a:custGeom>
                        <a:noFill/>
                        <a:ln w="12700"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18" o:spid="_x0000_s1026" o:spt="100" style="position:absolute;left:0pt;margin-left:430.9pt;margin-top:138.2pt;height:25.75pt;width:31.1pt;z-index:251713536;mso-width-relative:page;mso-height-relative:page;" filled="f" stroked="t" coordsize="622,515" o:gfxdata="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kySf2QAAAAsBAAAPAAAA&#10;AAAAAAEAIAAAACIAAABkcnMvZG93bnJldi54bWxQSwECFAAUAAAACACHTuJACG2A8YYCAABtBQAA&#10;DgAAAAAAAAABACAAAAAoAQAAZHJzL2Uyb0RvYy54bWxQSwUGAAAAAAYABgBZAQAAIAYAAAAA&#10;" path="m504,515l590,128,622,0,11,22,0,428,504,515xe">
                <v:fill on="f" focussize="0,0"/>
                <v:stroke weight="1pt" color="#FF0000" joinstyle="round"/>
                <v:imagedata o:title=""/>
                <o:lock v:ext="edit" aspectratio="f"/>
              </v:shape>
            </w:pict>
          </mc:Fallback>
        </mc:AlternateContent>
      </w:r>
      <w:r>
        <w:rPr>
          <w:rFonts w:hint="eastAsia" w:ascii="宋体....." w:hAnsi="Times New Roman" w:eastAsia="宋体....." w:cs="宋体....."/>
          <w:color w:val="auto"/>
          <w:kern w:val="2"/>
          <w:sz w:val="24"/>
          <w:szCs w:val="24"/>
          <w:highlight w:val="none"/>
          <w:lang w:val="en-US" w:eastAsia="zh-CN" w:bidi="ar-SA"/>
        </w:rPr>
        <w:drawing>
          <wp:inline distT="0" distB="0" distL="114300" distR="114300">
            <wp:extent cx="10999470" cy="8804910"/>
            <wp:effectExtent l="9525" t="9525" r="20955" b="24765"/>
            <wp:docPr id="127" name="图片 410" descr="01城东法定图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410" descr="01城东法定图则"/>
                    <pic:cNvPicPr>
                      <a:picLocks noChangeAspect="1"/>
                    </pic:cNvPicPr>
                  </pic:nvPicPr>
                  <pic:blipFill>
                    <a:blip r:embed="rId82"/>
                    <a:srcRect l="827" t="2052" r="32103" b="21954"/>
                    <a:stretch>
                      <a:fillRect/>
                    </a:stretch>
                  </pic:blipFill>
                  <pic:spPr>
                    <a:xfrm>
                      <a:off x="0" y="0"/>
                      <a:ext cx="10999470" cy="880491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566FA18E">
      <w:pPr>
        <w:spacing w:line="240" w:lineRule="auto"/>
        <w:jc w:val="center"/>
        <w:outlineLvl w:val="0"/>
        <w:rPr>
          <w:rFonts w:hint="default" w:ascii="Times New Roman" w:hAnsi="Times New Roman" w:cs="Times New Roman"/>
          <w:color w:val="auto"/>
          <w:highlight w:val="none"/>
        </w:rPr>
      </w:pPr>
      <w:bookmarkStart w:id="106" w:name="_Toc28121"/>
      <w:bookmarkStart w:id="107" w:name="_Toc1941"/>
      <w:bookmarkStart w:id="108" w:name="_Toc30352"/>
      <w:bookmarkStart w:id="109" w:name="_Toc10279"/>
      <w:bookmarkStart w:id="110" w:name="_Toc5413"/>
      <w:bookmarkStart w:id="111" w:name="_Toc24107"/>
      <w:r>
        <w:rPr>
          <w:rFonts w:hint="default" w:ascii="Times New Roman" w:hAnsi="Times New Roman" w:eastAsia="宋体" w:cs="Times New Roman"/>
          <w:b/>
          <w:bCs/>
          <w:color w:val="auto"/>
          <w:sz w:val="24"/>
          <w:highlight w:val="none"/>
        </w:rPr>
        <w:t>附图</w:t>
      </w:r>
      <w:r>
        <w:rPr>
          <w:rFonts w:hint="eastAsia" w:ascii="Times New Roman" w:hAnsi="Times New Roman" w:eastAsia="宋体" w:cs="Times New Roman"/>
          <w:b/>
          <w:bCs/>
          <w:color w:val="auto"/>
          <w:sz w:val="24"/>
          <w:highlight w:val="none"/>
          <w:lang w:val="en-US" w:eastAsia="zh-CN"/>
        </w:rPr>
        <w:t>12</w:t>
      </w:r>
      <w:r>
        <w:rPr>
          <w:rFonts w:hint="default" w:ascii="Times New Roman" w:hAnsi="Times New Roman" w:eastAsia="宋体" w:cs="Times New Roman"/>
          <w:b/>
          <w:bCs/>
          <w:color w:val="auto"/>
          <w:sz w:val="24"/>
          <w:highlight w:val="none"/>
        </w:rPr>
        <w:t xml:space="preserve"> </w:t>
      </w:r>
      <w:bookmarkEnd w:id="106"/>
      <w:r>
        <w:rPr>
          <w:rFonts w:hint="eastAsia" w:ascii="Times New Roman" w:hAnsi="Times New Roman" w:cs="Times New Roman"/>
          <w:b/>
          <w:bCs/>
          <w:color w:val="auto"/>
          <w:sz w:val="24"/>
          <w:highlight w:val="none"/>
          <w:lang w:val="en-US" w:eastAsia="zh-CN"/>
        </w:rPr>
        <w:t>韶关乐</w:t>
      </w:r>
      <w:r>
        <w:rPr>
          <w:rFonts w:hint="eastAsia" w:ascii="Times New Roman" w:hAnsi="Times New Roman" w:eastAsia="宋体" w:cs="Times New Roman"/>
          <w:b/>
          <w:bCs/>
          <w:color w:val="auto"/>
          <w:sz w:val="24"/>
          <w:highlight w:val="none"/>
          <w:lang w:val="en-US" w:eastAsia="zh-CN"/>
        </w:rPr>
        <w:t>昌经济开发区</w:t>
      </w:r>
      <w:r>
        <w:rPr>
          <w:rFonts w:hint="default" w:ascii="Times New Roman" w:hAnsi="Times New Roman" w:eastAsia="宋体" w:cs="Times New Roman"/>
          <w:b/>
          <w:bCs/>
          <w:color w:val="auto"/>
          <w:sz w:val="24"/>
          <w:highlight w:val="none"/>
          <w:lang w:val="en-US" w:eastAsia="zh-CN"/>
        </w:rPr>
        <w:t>城东片区控制性详细规划</w:t>
      </w:r>
      <w:r>
        <w:rPr>
          <w:rFonts w:hint="eastAsia" w:ascii="Times New Roman" w:hAnsi="Times New Roman" w:eastAsia="宋体" w:cs="Times New Roman"/>
          <w:b/>
          <w:bCs/>
          <w:color w:val="auto"/>
          <w:sz w:val="24"/>
          <w:highlight w:val="none"/>
        </w:rPr>
        <w:t>图</w:t>
      </w:r>
      <w:bookmarkEnd w:id="107"/>
      <w:bookmarkEnd w:id="108"/>
      <w:bookmarkEnd w:id="109"/>
      <w:bookmarkEnd w:id="110"/>
      <w:bookmarkEnd w:id="111"/>
    </w:p>
    <w:p w14:paraId="78226463">
      <w:pPr>
        <w:spacing w:line="240" w:lineRule="auto"/>
        <w:rPr>
          <w:rFonts w:hint="default" w:ascii="Times New Roman" w:hAnsi="Times New Roman" w:cs="Times New Roman"/>
          <w:color w:val="auto"/>
          <w:highlight w:val="none"/>
        </w:rPr>
        <w:sectPr>
          <w:pgSz w:w="23811" w:h="16838" w:orient="landscape"/>
          <w:pgMar w:top="1134" w:right="1417" w:bottom="1077" w:left="1417" w:header="850" w:footer="907" w:gutter="340"/>
          <w:pgBorders>
            <w:top w:val="none" w:sz="0" w:space="0"/>
            <w:left w:val="none" w:sz="0" w:space="0"/>
            <w:bottom w:val="none" w:sz="0" w:space="0"/>
            <w:right w:val="none" w:sz="0" w:space="0"/>
          </w:pgBorders>
          <w:pgNumType w:fmt="decimal"/>
          <w:cols w:space="720" w:num="1"/>
          <w:docGrid w:type="lines" w:linePitch="412" w:charSpace="0"/>
        </w:sectPr>
      </w:pPr>
    </w:p>
    <w:p w14:paraId="19FF17C2">
      <w:pPr>
        <w:widowControl w:val="0"/>
        <w:spacing w:line="240" w:lineRule="auto"/>
        <w:ind w:left="0" w:leftChars="0" w:firstLine="0" w:firstLineChars="0"/>
        <w:jc w:val="center"/>
        <w:rPr>
          <w:rFonts w:hint="eastAsia" w:ascii="Times New Roman" w:hAnsi="Times New Roman" w:eastAsia="宋体" w:cs="Times New Roman"/>
          <w:b/>
          <w:bCs/>
          <w:color w:val="auto"/>
          <w:kern w:val="2"/>
          <w:sz w:val="24"/>
          <w:szCs w:val="24"/>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09440" behindDoc="0" locked="0" layoutInCell="1" allowOverlap="1">
                <wp:simplePos x="0" y="0"/>
                <wp:positionH relativeFrom="column">
                  <wp:posOffset>981710</wp:posOffset>
                </wp:positionH>
                <wp:positionV relativeFrom="paragraph">
                  <wp:posOffset>5452110</wp:posOffset>
                </wp:positionV>
                <wp:extent cx="266700" cy="142875"/>
                <wp:effectExtent l="4445" t="5080" r="14605" b="4445"/>
                <wp:wrapNone/>
                <wp:docPr id="56" name="矩形 16"/>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F3ADAD"/>
                        </a:solidFill>
                        <a:ln w="0" cap="flat" cmpd="sng">
                          <a:solidFill>
                            <a:srgbClr val="FF0000"/>
                          </a:solidFill>
                          <a:prstDash val="solid"/>
                          <a:miter/>
                          <a:headEnd type="none" w="med" len="med"/>
                          <a:tailEnd type="none" w="med" len="med"/>
                        </a:ln>
                      </wps:spPr>
                      <wps:bodyPr wrap="square" upright="1"/>
                    </wps:wsp>
                  </a:graphicData>
                </a:graphic>
              </wp:anchor>
            </w:drawing>
          </mc:Choice>
          <mc:Fallback>
            <w:pict>
              <v:rect id="矩形 16" o:spid="_x0000_s1026" o:spt="1" style="position:absolute;left:0pt;margin-left:77.3pt;margin-top:429.3pt;height:11.25pt;width:21pt;z-index:251709440;mso-width-relative:page;mso-height-relative:page;" fillcolor="#F3ADAD" filled="t" stroked="t" coordsize="21600,21600" o:gfxdata="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XcUidoAAAALAQAADwAAAAAAAAABACAAAAAiAAAA&#10;ZHJzL2Rvd25yZXYueG1sUEsBAhQAFAAAAAgAh07iQF9nB5gFAgAAKgQAAA4AAAAAAAAAAQAgAAAA&#10;KQEAAGRycy9lMm9Eb2MueG1sUEsFBgAAAAAGAAYAWQEAAKAFAAAAAA==&#10;">
                <v:fill on="t" focussize="0,0"/>
                <v:stroke weight="0pt" color="#FF000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10464" behindDoc="0" locked="0" layoutInCell="1" allowOverlap="1">
                <wp:simplePos x="0" y="0"/>
                <wp:positionH relativeFrom="column">
                  <wp:posOffset>974090</wp:posOffset>
                </wp:positionH>
                <wp:positionV relativeFrom="paragraph">
                  <wp:posOffset>5182235</wp:posOffset>
                </wp:positionV>
                <wp:extent cx="266700" cy="142875"/>
                <wp:effectExtent l="4445" t="5080" r="14605" b="4445"/>
                <wp:wrapNone/>
                <wp:docPr id="57" name="矩形 17"/>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FFFF00">
                            <a:alpha val="71999"/>
                          </a:srgbClr>
                        </a:solidFill>
                        <a:ln w="0" cap="flat" cmpd="sng">
                          <a:solidFill>
                            <a:srgbClr val="FFFF00"/>
                          </a:solidFill>
                          <a:prstDash val="solid"/>
                          <a:miter/>
                          <a:headEnd type="none" w="med" len="med"/>
                          <a:tailEnd type="none" w="med" len="med"/>
                        </a:ln>
                      </wps:spPr>
                      <wps:bodyPr vert="horz" wrap="square" anchor="t" anchorCtr="0" upright="1"/>
                    </wps:wsp>
                  </a:graphicData>
                </a:graphic>
              </wp:anchor>
            </w:drawing>
          </mc:Choice>
          <mc:Fallback>
            <w:pict>
              <v:rect id="矩形 17" o:spid="_x0000_s1026" o:spt="1" style="position:absolute;left:0pt;margin-left:76.7pt;margin-top:408.05pt;height:11.25pt;width:21pt;z-index:251710464;mso-width-relative:page;mso-height-relative:page;" fillcolor="#FFFF00" filled="t" stroked="t" coordsize="21600,21600" o:gfxdata="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xyZcDWAAAACwEAAA8AAAAAAAAAAQAgAAAAIgAAAGRycy9kb3ducmV2LnhtbFBLAQIUABQAAAAI&#10;AIdO4kBbJ6xzKAIAAHAEAAAOAAAAAAAAAAEAIAAAACUBAABkcnMvZTJvRG9jLnhtbFBLBQYAAAAA&#10;BgAGAFkBAAC/BQAAAAA=&#10;">
                <v:fill on="t" opacity="47185f" focussize="0,0"/>
                <v:stroke weight="0pt" color="#FFFF0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08416" behindDoc="0" locked="0" layoutInCell="1" allowOverlap="1">
                <wp:simplePos x="0" y="0"/>
                <wp:positionH relativeFrom="column">
                  <wp:posOffset>980440</wp:posOffset>
                </wp:positionH>
                <wp:positionV relativeFrom="paragraph">
                  <wp:posOffset>4946650</wp:posOffset>
                </wp:positionV>
                <wp:extent cx="266700" cy="142875"/>
                <wp:effectExtent l="4445" t="5080" r="14605" b="4445"/>
                <wp:wrapNone/>
                <wp:docPr id="55" name="矩形 15"/>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00B050">
                            <a:alpha val="71999"/>
                          </a:srgbClr>
                        </a:solidFill>
                        <a:ln w="0" cap="flat" cmpd="sng">
                          <a:solidFill>
                            <a:srgbClr val="00B050"/>
                          </a:solidFill>
                          <a:prstDash val="solid"/>
                          <a:miter/>
                          <a:headEnd type="none" w="med" len="med"/>
                          <a:tailEnd type="none" w="med" len="med"/>
                        </a:ln>
                      </wps:spPr>
                      <wps:bodyPr vert="horz" wrap="square" anchor="t" anchorCtr="0" upright="1"/>
                    </wps:wsp>
                  </a:graphicData>
                </a:graphic>
              </wp:anchor>
            </w:drawing>
          </mc:Choice>
          <mc:Fallback>
            <w:pict>
              <v:rect id="矩形 15" o:spid="_x0000_s1026" o:spt="1" style="position:absolute;left:0pt;margin-left:77.2pt;margin-top:389.5pt;height:11.25pt;width:21pt;z-index:251708416;mso-width-relative:page;mso-height-relative:page;" fillcolor="#00B050" filled="t" stroked="t" coordsize="21600,21600" o:gfxdata="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kSdBE2QAAAAsBAAAPAAAAAAAAAAEAIAAAACIAAABkcnMvZG93bnJldi54bWxQSwECFAAUAAAA&#10;CACHTuJABthZzCYCAABwBAAADgAAAAAAAAABACAAAAAoAQAAZHJzL2Uyb0RvYy54bWxQSwUGAAAA&#10;AAYABgBZAQAAwAUAAAAA&#10;">
                <v:fill on="t" opacity="47185f" focussize="0,0"/>
                <v:stroke weight="0pt" color="#00B05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07392" behindDoc="0" locked="0" layoutInCell="1" allowOverlap="1">
                <wp:simplePos x="0" y="0"/>
                <wp:positionH relativeFrom="column">
                  <wp:posOffset>925830</wp:posOffset>
                </wp:positionH>
                <wp:positionV relativeFrom="paragraph">
                  <wp:posOffset>4577715</wp:posOffset>
                </wp:positionV>
                <wp:extent cx="1608455" cy="1123315"/>
                <wp:effectExtent l="4445" t="4445" r="6350" b="15240"/>
                <wp:wrapNone/>
                <wp:docPr id="54" name="矩形 14"/>
                <wp:cNvGraphicFramePr/>
                <a:graphic xmlns:a="http://schemas.openxmlformats.org/drawingml/2006/main">
                  <a:graphicData uri="http://schemas.microsoft.com/office/word/2010/wordprocessingShape">
                    <wps:wsp>
                      <wps:cNvSpPr/>
                      <wps:spPr>
                        <a:xfrm>
                          <a:off x="0" y="0"/>
                          <a:ext cx="1608455" cy="1123315"/>
                        </a:xfrm>
                        <a:prstGeom prst="rect">
                          <a:avLst/>
                        </a:prstGeom>
                        <a:solidFill>
                          <a:srgbClr val="FFFFFF">
                            <a:alpha val="39999"/>
                          </a:srgbClr>
                        </a:solidFill>
                        <a:ln w="9525" cap="flat" cmpd="sng">
                          <a:solidFill>
                            <a:srgbClr val="000000"/>
                          </a:solidFill>
                          <a:prstDash val="solid"/>
                          <a:miter/>
                          <a:headEnd type="none" w="med" len="med"/>
                          <a:tailEnd type="none" w="med" len="med"/>
                        </a:ln>
                      </wps:spPr>
                      <wps:txbx>
                        <w:txbxContent>
                          <w:p w14:paraId="2C358600">
                            <w:pPr>
                              <w:spacing w:line="240" w:lineRule="auto"/>
                              <w:jc w:val="center"/>
                              <w:rPr>
                                <w:rFonts w:hint="eastAsia"/>
                                <w:b/>
                                <w:bCs/>
                                <w:lang w:val="en-US" w:eastAsia="zh-CN"/>
                              </w:rPr>
                            </w:pPr>
                            <w:r>
                              <w:rPr>
                                <w:rFonts w:hint="eastAsia" w:ascii="Times New Roman" w:eastAsia="宋体"/>
                                <w:b/>
                                <w:bCs/>
                                <w:lang w:val="en-US" w:eastAsia="zh-CN"/>
                              </w:rPr>
                              <w:t>图 例</w:t>
                            </w:r>
                          </w:p>
                          <w:p w14:paraId="3124EBEE">
                            <w:pPr>
                              <w:jc w:val="center"/>
                              <w:rPr>
                                <w:rFonts w:hint="eastAsia"/>
                                <w:b/>
                                <w:bCs/>
                                <w:lang w:val="en-US" w:eastAsia="zh-CN"/>
                              </w:rPr>
                            </w:pPr>
                            <w:r>
                              <w:rPr>
                                <w:rFonts w:hint="eastAsia" w:ascii="Times New Roman" w:eastAsia="宋体"/>
                                <w:b/>
                                <w:bCs/>
                                <w:lang w:val="en-US" w:eastAsia="zh-CN"/>
                              </w:rPr>
                              <w:t>：生态保护红线</w:t>
                            </w:r>
                          </w:p>
                          <w:p w14:paraId="2AB08559">
                            <w:pPr>
                              <w:jc w:val="center"/>
                              <w:rPr>
                                <w:rFonts w:hint="default"/>
                                <w:b/>
                                <w:bCs/>
                                <w:lang w:val="en-US" w:eastAsia="zh-CN"/>
                              </w:rPr>
                            </w:pPr>
                            <w:r>
                              <w:rPr>
                                <w:rFonts w:hint="eastAsia" w:ascii="Times New Roman" w:eastAsia="宋体"/>
                                <w:b/>
                                <w:bCs/>
                                <w:lang w:val="en-US" w:eastAsia="zh-CN"/>
                              </w:rPr>
                              <w:t>：永久基本农田</w:t>
                            </w:r>
                          </w:p>
                          <w:p w14:paraId="11E621BE">
                            <w:pPr>
                              <w:jc w:val="center"/>
                              <w:rPr>
                                <w:rFonts w:hint="default"/>
                                <w:b/>
                                <w:bCs/>
                                <w:lang w:val="en-US" w:eastAsia="zh-CN"/>
                              </w:rPr>
                            </w:pPr>
                            <w:r>
                              <w:rPr>
                                <w:rFonts w:hint="eastAsia" w:ascii="Times New Roman" w:eastAsia="宋体"/>
                                <w:b/>
                                <w:bCs/>
                                <w:lang w:val="en-US" w:eastAsia="zh-CN"/>
                              </w:rPr>
                              <w:t>：城镇开发边界</w:t>
                            </w:r>
                          </w:p>
                        </w:txbxContent>
                      </wps:txbx>
                      <wps:bodyPr vert="horz" wrap="square" anchor="t" anchorCtr="0" upright="1"/>
                    </wps:wsp>
                  </a:graphicData>
                </a:graphic>
              </wp:anchor>
            </w:drawing>
          </mc:Choice>
          <mc:Fallback>
            <w:pict>
              <v:rect id="矩形 14" o:spid="_x0000_s1026" o:spt="1" style="position:absolute;left:0pt;margin-left:72.9pt;margin-top:360.45pt;height:88.45pt;width:126.65pt;z-index:251707392;mso-width-relative:page;mso-height-relative:page;" fillcolor="#FFFFFF" filled="t" stroked="t" coordsize="21600,21600" o:gfxdata="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dzekXcAAAACwEAAA8AAAAAAAAAAQAgAAAAIgAAAGRycy9kb3ducmV2&#10;LnhtbFBLAQIUABQAAAAIAIdO4kBo8GL7MQIAAIAEAAAOAAAAAAAAAAEAIAAAACsBAABkcnMvZTJv&#10;RG9jLnhtbFBLBQYAAAAABgAGAFkBAADOBQAAAAA=&#10;">
                <v:fill on="t" opacity="26213f" focussize="0,0"/>
                <v:stroke color="#000000" joinstyle="miter"/>
                <v:imagedata o:title=""/>
                <o:lock v:ext="edit" aspectratio="f"/>
                <v:textbox>
                  <w:txbxContent>
                    <w:p w14:paraId="2C358600">
                      <w:pPr>
                        <w:spacing w:line="240" w:lineRule="auto"/>
                        <w:jc w:val="center"/>
                        <w:rPr>
                          <w:rFonts w:hint="eastAsia"/>
                          <w:b/>
                          <w:bCs/>
                          <w:lang w:val="en-US" w:eastAsia="zh-CN"/>
                        </w:rPr>
                      </w:pPr>
                      <w:r>
                        <w:rPr>
                          <w:rFonts w:hint="eastAsia" w:ascii="Times New Roman" w:eastAsia="宋体"/>
                          <w:b/>
                          <w:bCs/>
                          <w:lang w:val="en-US" w:eastAsia="zh-CN"/>
                        </w:rPr>
                        <w:t>图 例</w:t>
                      </w:r>
                    </w:p>
                    <w:p w14:paraId="3124EBEE">
                      <w:pPr>
                        <w:jc w:val="center"/>
                        <w:rPr>
                          <w:rFonts w:hint="eastAsia"/>
                          <w:b/>
                          <w:bCs/>
                          <w:lang w:val="en-US" w:eastAsia="zh-CN"/>
                        </w:rPr>
                      </w:pPr>
                      <w:r>
                        <w:rPr>
                          <w:rFonts w:hint="eastAsia" w:ascii="Times New Roman" w:eastAsia="宋体"/>
                          <w:b/>
                          <w:bCs/>
                          <w:lang w:val="en-US" w:eastAsia="zh-CN"/>
                        </w:rPr>
                        <w:t>：生态保护红线</w:t>
                      </w:r>
                    </w:p>
                    <w:p w14:paraId="2AB08559">
                      <w:pPr>
                        <w:jc w:val="center"/>
                        <w:rPr>
                          <w:rFonts w:hint="default"/>
                          <w:b/>
                          <w:bCs/>
                          <w:lang w:val="en-US" w:eastAsia="zh-CN"/>
                        </w:rPr>
                      </w:pPr>
                      <w:r>
                        <w:rPr>
                          <w:rFonts w:hint="eastAsia" w:ascii="Times New Roman" w:eastAsia="宋体"/>
                          <w:b/>
                          <w:bCs/>
                          <w:lang w:val="en-US" w:eastAsia="zh-CN"/>
                        </w:rPr>
                        <w:t>：永久基本农田</w:t>
                      </w:r>
                    </w:p>
                    <w:p w14:paraId="11E621BE">
                      <w:pPr>
                        <w:jc w:val="center"/>
                        <w:rPr>
                          <w:rFonts w:hint="default"/>
                          <w:b/>
                          <w:bCs/>
                          <w:lang w:val="en-US" w:eastAsia="zh-CN"/>
                        </w:rPr>
                      </w:pPr>
                      <w:r>
                        <w:rPr>
                          <w:rFonts w:hint="eastAsia" w:ascii="Times New Roman" w:eastAsia="宋体"/>
                          <w:b/>
                          <w:bCs/>
                          <w:lang w:val="en-US" w:eastAsia="zh-CN"/>
                        </w:rPr>
                        <w:t>：城镇开发边界</w:t>
                      </w:r>
                    </w:p>
                  </w:txbxContent>
                </v:textbox>
              </v:rect>
            </w:pict>
          </mc:Fallback>
        </mc:AlternateContent>
      </w:r>
      <w:r>
        <w:rPr>
          <w:rFonts w:ascii="Times New Roman" w:hAnsi="Times New Roman" w:eastAsia="宋体" w:cs="Times New Roman"/>
          <w:color w:val="auto"/>
          <w:kern w:val="2"/>
          <w:sz w:val="24"/>
          <w:szCs w:val="22"/>
          <w:highlight w:val="none"/>
          <w:lang w:val="en-US" w:eastAsia="zh-CN" w:bidi="ar-SA"/>
        </w:rPr>
        <w:drawing>
          <wp:anchor distT="0" distB="0" distL="114300" distR="114300" simplePos="0" relativeHeight="251692032" behindDoc="0" locked="0" layoutInCell="1" allowOverlap="1">
            <wp:simplePos x="0" y="0"/>
            <wp:positionH relativeFrom="column">
              <wp:posOffset>915670</wp:posOffset>
            </wp:positionH>
            <wp:positionV relativeFrom="paragraph">
              <wp:posOffset>53975</wp:posOffset>
            </wp:positionV>
            <wp:extent cx="1073150" cy="1005840"/>
            <wp:effectExtent l="0" t="0" r="12700" b="3810"/>
            <wp:wrapNone/>
            <wp:docPr id="37" name="图片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89"/>
                    <pic:cNvPicPr>
                      <a:picLocks noChangeAspect="1"/>
                    </pic:cNvPicPr>
                  </pic:nvPicPr>
                  <pic:blipFill>
                    <a:blip r:embed="rId83"/>
                    <a:stretch>
                      <a:fillRect/>
                    </a:stretch>
                  </pic:blipFill>
                  <pic:spPr>
                    <a:xfrm>
                      <a:off x="0" y="0"/>
                      <a:ext cx="1073150" cy="1005840"/>
                    </a:xfrm>
                    <a:prstGeom prst="rect">
                      <a:avLst/>
                    </a:prstGeom>
                    <a:noFill/>
                    <a:ln>
                      <a:noFill/>
                    </a:ln>
                  </pic:spPr>
                </pic:pic>
              </a:graphicData>
            </a:graphic>
          </wp:anchor>
        </w:drawing>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4549775</wp:posOffset>
                </wp:positionH>
                <wp:positionV relativeFrom="paragraph">
                  <wp:posOffset>1430655</wp:posOffset>
                </wp:positionV>
                <wp:extent cx="777875" cy="365760"/>
                <wp:effectExtent l="4445" t="4445" r="246380" b="353695"/>
                <wp:wrapNone/>
                <wp:docPr id="15" name="自选图形 1855"/>
                <wp:cNvGraphicFramePr/>
                <a:graphic xmlns:a="http://schemas.openxmlformats.org/drawingml/2006/main">
                  <a:graphicData uri="http://schemas.microsoft.com/office/word/2010/wordprocessingShape">
                    <wps:wsp>
                      <wps:cNvSpPr/>
                      <wps:spPr>
                        <a:xfrm>
                          <a:off x="0" y="0"/>
                          <a:ext cx="777875" cy="365760"/>
                        </a:xfrm>
                        <a:prstGeom prst="wedgeRoundRectCallout">
                          <a:avLst>
                            <a:gd name="adj1" fmla="val 76366"/>
                            <a:gd name="adj2" fmla="val 137847"/>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8B648D4">
                            <w:pPr>
                              <w:rPr>
                                <w:rFonts w:hint="default" w:eastAsia="宋体"/>
                                <w:b/>
                                <w:bCs/>
                                <w:color w:val="auto"/>
                                <w:lang w:val="en-US" w:eastAsia="zh-CN"/>
                              </w:rPr>
                            </w:pPr>
                            <w:r>
                              <w:rPr>
                                <w:rFonts w:hint="eastAsia" w:ascii="Times New Roman" w:eastAsia="宋体"/>
                                <w:b/>
                                <w:bCs/>
                                <w:color w:val="auto"/>
                                <w:lang w:val="en-US" w:eastAsia="zh-CN"/>
                              </w:rPr>
                              <w:t>项目选址</w:t>
                            </w:r>
                          </w:p>
                        </w:txbxContent>
                      </wps:txbx>
                      <wps:bodyPr vert="horz" wrap="square" anchor="t" anchorCtr="0" upright="1"/>
                    </wps:wsp>
                  </a:graphicData>
                </a:graphic>
              </wp:anchor>
            </w:drawing>
          </mc:Choice>
          <mc:Fallback>
            <w:pict>
              <v:shape id="自选图形 1855" o:spid="_x0000_s1026" o:spt="62" type="#_x0000_t62" style="position:absolute;left:0pt;margin-left:358.25pt;margin-top:112.65pt;height:28.8pt;width:61.25pt;z-index:251671552;mso-width-relative:page;mso-height-relative:page;" fillcolor="#FFFFFF" filled="t" stroked="t" coordsize="21600,21600" o:gfxdata="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4UYSz2QAAAAsBAAAPAAAAAAAAAAEAIAAAACIAAABkcnMvZG93bnJldi54bWxQ&#10;SwECFAAUAAAACACHTuJAiVOximgCAADsBAAADgAAAAAAAAABACAAAAAoAQAAZHJzL2Uyb0RvYy54&#10;bWxQSwUGAAAAAAYABgBZAQAAAgYAAAAA&#10;" adj="27295,40575,14400">
                <v:fill on="t" focussize="0,0"/>
                <v:stroke color="#000000" joinstyle="miter"/>
                <v:imagedata o:title=""/>
                <o:lock v:ext="edit" aspectratio="f"/>
                <v:textbox>
                  <w:txbxContent>
                    <w:p w14:paraId="08B648D4">
                      <w:pPr>
                        <w:rPr>
                          <w:rFonts w:hint="default" w:eastAsia="宋体"/>
                          <w:b/>
                          <w:bCs/>
                          <w:color w:val="auto"/>
                          <w:lang w:val="en-US" w:eastAsia="zh-CN"/>
                        </w:rPr>
                      </w:pPr>
                      <w:r>
                        <w:rPr>
                          <w:rFonts w:hint="eastAsia" w:ascii="Times New Roman" w:eastAsia="宋体"/>
                          <w:b/>
                          <w:bCs/>
                          <w:color w:val="auto"/>
                          <w:lang w:val="en-US" w:eastAsia="zh-CN"/>
                        </w:rPr>
                        <w:t>项目选址</w:t>
                      </w:r>
                    </w:p>
                  </w:txbxContent>
                </v:textbox>
              </v:shape>
            </w:pict>
          </mc:Fallback>
        </mc:AlternateContent>
      </w:r>
      <w:r>
        <w:rPr>
          <w:rFonts w:ascii="Times New Roman" w:hAnsi="Times New Roman" w:eastAsia="宋体" w:cs="Times New Roman"/>
          <w:color w:val="auto"/>
          <w:kern w:val="2"/>
          <w:sz w:val="24"/>
          <w:szCs w:val="22"/>
          <w:highlight w:val="none"/>
          <w:lang w:val="en-US" w:eastAsia="zh-CN" w:bidi="ar-SA"/>
        </w:rPr>
        <w:drawing>
          <wp:inline distT="0" distB="0" distL="114300" distR="114300">
            <wp:extent cx="7082790" cy="5649595"/>
            <wp:effectExtent l="0" t="0" r="3810" b="8255"/>
            <wp:docPr id="128"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586"/>
                    <pic:cNvPicPr>
                      <a:picLocks noChangeAspect="1"/>
                    </pic:cNvPicPr>
                  </pic:nvPicPr>
                  <pic:blipFill>
                    <a:blip r:embed="rId84"/>
                    <a:stretch>
                      <a:fillRect/>
                    </a:stretch>
                  </pic:blipFill>
                  <pic:spPr>
                    <a:xfrm>
                      <a:off x="0" y="0"/>
                      <a:ext cx="7082790" cy="5649595"/>
                    </a:xfrm>
                    <a:prstGeom prst="rect">
                      <a:avLst/>
                    </a:prstGeom>
                    <a:noFill/>
                    <a:ln>
                      <a:noFill/>
                    </a:ln>
                  </pic:spPr>
                </pic:pic>
              </a:graphicData>
            </a:graphic>
          </wp:inline>
        </w:drawing>
      </w:r>
    </w:p>
    <w:p w14:paraId="17B0AEA2">
      <w:pPr>
        <w:spacing w:line="240" w:lineRule="auto"/>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12" w:name="_Toc8794"/>
      <w:bookmarkStart w:id="113" w:name="_Toc5326"/>
      <w:bookmarkStart w:id="114" w:name="_Toc11664"/>
      <w:bookmarkStart w:id="115" w:name="_Toc22255"/>
      <w:r>
        <w:rPr>
          <w:rFonts w:hint="eastAsia" w:ascii="Times New Roman" w:hAnsi="Times New Roman" w:eastAsia="宋体" w:cs="Times New Roman"/>
          <w:b/>
          <w:bCs/>
          <w:color w:val="auto"/>
          <w:kern w:val="2"/>
          <w:sz w:val="24"/>
          <w:szCs w:val="24"/>
          <w:highlight w:val="none"/>
          <w:lang w:val="en-US" w:eastAsia="zh-CN" w:bidi="ar-SA"/>
        </w:rPr>
        <w:t>附图13 项目与广东省“三区三线”的位置关系</w:t>
      </w:r>
      <w:r>
        <w:rPr>
          <w:rFonts w:hint="default" w:ascii="Times New Roman" w:hAnsi="Times New Roman" w:eastAsia="宋体" w:cs="Times New Roman"/>
          <w:b/>
          <w:bCs/>
          <w:color w:val="auto"/>
          <w:kern w:val="2"/>
          <w:sz w:val="24"/>
          <w:szCs w:val="24"/>
          <w:highlight w:val="none"/>
          <w:lang w:val="en-US" w:eastAsia="zh-CN" w:bidi="ar-SA"/>
        </w:rPr>
        <w:t>图</w:t>
      </w:r>
      <w:bookmarkEnd w:id="112"/>
      <w:bookmarkEnd w:id="113"/>
      <w:bookmarkEnd w:id="114"/>
      <w:bookmarkEnd w:id="115"/>
    </w:p>
    <w:p w14:paraId="2D775DE0">
      <w:pPr>
        <w:spacing w:line="240" w:lineRule="auto"/>
        <w:jc w:val="center"/>
        <w:outlineLvl w:val="0"/>
        <w:rPr>
          <w:rFonts w:hint="default" w:ascii="Times New Roman" w:hAnsi="Times New Roman" w:eastAsia="宋体" w:cs="Times New Roman"/>
          <w:b/>
          <w:bCs/>
          <w:color w:val="auto"/>
          <w:kern w:val="2"/>
          <w:sz w:val="24"/>
          <w:szCs w:val="24"/>
          <w:highlight w:val="none"/>
          <w:lang w:val="en-US" w:eastAsia="zh-CN" w:bidi="ar-SA"/>
        </w:rPr>
        <w:sectPr>
          <w:pgSz w:w="16783" w:h="11850" w:orient="landscape"/>
          <w:pgMar w:top="1020" w:right="1417" w:bottom="964" w:left="1417" w:header="850" w:footer="964" w:gutter="340"/>
          <w:pgBorders>
            <w:top w:val="none" w:sz="0" w:space="0"/>
            <w:left w:val="none" w:sz="0" w:space="0"/>
            <w:bottom w:val="none" w:sz="0" w:space="0"/>
            <w:right w:val="none" w:sz="0" w:space="0"/>
          </w:pgBorders>
          <w:pgNumType w:fmt="decimal"/>
          <w:cols w:space="720" w:num="1"/>
          <w:docGrid w:type="lines" w:linePitch="412" w:charSpace="0"/>
        </w:sectPr>
      </w:pPr>
    </w:p>
    <w:bookmarkEnd w:id="82"/>
    <w:bookmarkEnd w:id="83"/>
    <w:p w14:paraId="39CCCB1F">
      <w:pPr>
        <w:spacing w:line="240" w:lineRule="auto"/>
        <w:jc w:val="center"/>
        <w:outlineLvl w:val="9"/>
        <w:rPr>
          <w:color w:val="auto"/>
          <w:highlight w:val="none"/>
        </w:rPr>
      </w:pPr>
      <w:bookmarkStart w:id="116" w:name="_Toc1930"/>
      <w:bookmarkStart w:id="117" w:name="_Toc23573"/>
      <w:bookmarkStart w:id="118" w:name="_Toc8158"/>
      <w:bookmarkStart w:id="119" w:name="_Toc25812"/>
      <w:bookmarkStart w:id="120" w:name="_Toc11854"/>
      <w:r>
        <w:rPr>
          <w:color w:val="auto"/>
          <w:highlight w:val="none"/>
        </w:rPr>
        <w:drawing>
          <wp:inline distT="0" distB="0" distL="114300" distR="114300">
            <wp:extent cx="7844790" cy="5240655"/>
            <wp:effectExtent l="0" t="0" r="3810" b="17145"/>
            <wp:docPr id="129"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83"/>
                    <pic:cNvPicPr>
                      <a:picLocks noChangeAspect="1"/>
                    </pic:cNvPicPr>
                  </pic:nvPicPr>
                  <pic:blipFill>
                    <a:blip r:embed="rId85"/>
                    <a:stretch>
                      <a:fillRect/>
                    </a:stretch>
                  </pic:blipFill>
                  <pic:spPr>
                    <a:xfrm>
                      <a:off x="0" y="0"/>
                      <a:ext cx="7844790" cy="5240655"/>
                    </a:xfrm>
                    <a:prstGeom prst="rect">
                      <a:avLst/>
                    </a:prstGeom>
                    <a:noFill/>
                    <a:ln>
                      <a:noFill/>
                    </a:ln>
                  </pic:spPr>
                </pic:pic>
              </a:graphicData>
            </a:graphic>
          </wp:inline>
        </w:drawing>
      </w:r>
    </w:p>
    <w:p w14:paraId="6258EB3B">
      <w:pPr>
        <w:widowControl w:val="0"/>
        <w:autoSpaceDE w:val="0"/>
        <w:autoSpaceDN w:val="0"/>
        <w:adjustRightInd w:val="0"/>
        <w:jc w:val="center"/>
        <w:outlineLvl w:val="9"/>
        <w:rPr>
          <w:rFonts w:ascii="宋体....." w:hAnsi="Times New Roman" w:eastAsia="宋体....." w:cs="宋体....."/>
          <w:color w:val="auto"/>
          <w:kern w:val="2"/>
          <w:sz w:val="24"/>
          <w:szCs w:val="24"/>
          <w:highlight w:val="none"/>
          <w:lang w:val="en-US" w:eastAsia="zh-CN" w:bidi="ar-SA"/>
        </w:rPr>
      </w:pPr>
      <w:bookmarkStart w:id="121" w:name="_Toc25232"/>
      <w:bookmarkStart w:id="122" w:name="_Toc22069"/>
      <w:r>
        <w:rPr>
          <w:rFonts w:hint="eastAsia" w:ascii="Times New Roman" w:hAnsi="Times New Roman" w:eastAsia="宋体....." w:cs="Times New Roman"/>
          <w:b/>
          <w:bCs/>
          <w:color w:val="auto"/>
          <w:kern w:val="2"/>
          <w:sz w:val="24"/>
          <w:szCs w:val="24"/>
          <w:highlight w:val="none"/>
          <w:lang w:val="en-US" w:eastAsia="zh-CN" w:bidi="ar-SA"/>
        </w:rPr>
        <w:t>附图14-1 广东省</w:t>
      </w:r>
      <w:r>
        <w:rPr>
          <w:rFonts w:hint="eastAsia" w:eastAsia="宋体....." w:cs="Times New Roman"/>
          <w:b/>
          <w:bCs/>
          <w:color w:val="auto"/>
          <w:kern w:val="2"/>
          <w:sz w:val="24"/>
          <w:szCs w:val="24"/>
          <w:highlight w:val="none"/>
          <w:lang w:val="en-US" w:eastAsia="zh-CN" w:bidi="ar-SA"/>
        </w:rPr>
        <w:t>生态环境分区</w:t>
      </w:r>
      <w:r>
        <w:rPr>
          <w:rFonts w:hint="eastAsia" w:ascii="Times New Roman" w:hAnsi="Times New Roman" w:eastAsia="宋体....." w:cs="Times New Roman"/>
          <w:b/>
          <w:bCs/>
          <w:color w:val="auto"/>
          <w:kern w:val="2"/>
          <w:sz w:val="24"/>
          <w:szCs w:val="24"/>
          <w:highlight w:val="none"/>
          <w:lang w:val="en-US" w:eastAsia="zh-CN" w:bidi="ar-SA"/>
        </w:rPr>
        <w:t>管控</w:t>
      </w:r>
      <w:r>
        <w:rPr>
          <w:rFonts w:hint="eastAsia" w:eastAsia="宋体....." w:cs="Times New Roman"/>
          <w:b/>
          <w:bCs/>
          <w:color w:val="auto"/>
          <w:kern w:val="2"/>
          <w:sz w:val="24"/>
          <w:szCs w:val="24"/>
          <w:highlight w:val="none"/>
          <w:lang w:val="en-US" w:eastAsia="zh-CN" w:bidi="ar-SA"/>
        </w:rPr>
        <w:t>信息平台</w:t>
      </w:r>
      <w:r>
        <w:rPr>
          <w:rFonts w:hint="eastAsia" w:ascii="Times New Roman" w:hAnsi="Times New Roman" w:eastAsia="宋体....." w:cs="Times New Roman"/>
          <w:b/>
          <w:bCs/>
          <w:color w:val="auto"/>
          <w:kern w:val="2"/>
          <w:sz w:val="24"/>
          <w:szCs w:val="24"/>
          <w:highlight w:val="none"/>
          <w:lang w:val="en-US" w:eastAsia="zh-CN" w:bidi="ar-SA"/>
        </w:rPr>
        <w:t>陆域环境管控单元截图</w:t>
      </w:r>
      <w:bookmarkEnd w:id="121"/>
      <w:bookmarkEnd w:id="122"/>
      <w:bookmarkStart w:id="123" w:name="_Toc7275"/>
      <w:bookmarkStart w:id="124" w:name="_Toc21069"/>
      <w:r>
        <w:rPr>
          <w:rFonts w:hint="eastAsia" w:ascii="Times New Roman" w:hAnsi="Times New Roman" w:eastAsia="宋体....." w:cs="Times New Roman"/>
          <w:b/>
          <w:bCs/>
          <w:color w:val="auto"/>
          <w:kern w:val="2"/>
          <w:sz w:val="24"/>
          <w:szCs w:val="24"/>
          <w:highlight w:val="none"/>
          <w:lang w:val="en-US" w:eastAsia="zh-CN" w:bidi="ar-SA"/>
        </w:rPr>
        <w:br w:type="page"/>
      </w:r>
      <w:bookmarkEnd w:id="123"/>
      <w:bookmarkEnd w:id="124"/>
      <w:r>
        <w:rPr>
          <w:rFonts w:ascii="宋体....." w:hAnsi="Times New Roman" w:eastAsia="宋体....." w:cs="宋体....."/>
          <w:color w:val="auto"/>
          <w:kern w:val="2"/>
          <w:sz w:val="24"/>
          <w:szCs w:val="24"/>
          <w:highlight w:val="none"/>
          <w:lang w:val="en-US" w:eastAsia="zh-CN" w:bidi="ar-SA"/>
        </w:rPr>
        <w:drawing>
          <wp:inline distT="0" distB="0" distL="114300" distR="114300">
            <wp:extent cx="9058910" cy="5504180"/>
            <wp:effectExtent l="0" t="0" r="8890" b="1270"/>
            <wp:docPr id="130"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585"/>
                    <pic:cNvPicPr>
                      <a:picLocks noChangeAspect="1"/>
                    </pic:cNvPicPr>
                  </pic:nvPicPr>
                  <pic:blipFill>
                    <a:blip r:embed="rId86"/>
                    <a:srcRect r="7420"/>
                    <a:stretch>
                      <a:fillRect/>
                    </a:stretch>
                  </pic:blipFill>
                  <pic:spPr>
                    <a:xfrm>
                      <a:off x="0" y="0"/>
                      <a:ext cx="9058910" cy="5504180"/>
                    </a:xfrm>
                    <a:prstGeom prst="rect">
                      <a:avLst/>
                    </a:prstGeom>
                    <a:noFill/>
                    <a:ln>
                      <a:noFill/>
                    </a:ln>
                  </pic:spPr>
                </pic:pic>
              </a:graphicData>
            </a:graphic>
          </wp:inline>
        </w:drawing>
      </w:r>
    </w:p>
    <w:p w14:paraId="659986EB">
      <w:pPr>
        <w:widowControl w:val="0"/>
        <w:autoSpaceDE w:val="0"/>
        <w:autoSpaceDN w:val="0"/>
        <w:adjustRightInd w:val="0"/>
        <w:spacing w:line="240" w:lineRule="auto"/>
        <w:jc w:val="center"/>
        <w:outlineLvl w:val="9"/>
        <w:rPr>
          <w:rFonts w:ascii="宋体....." w:hAnsi="Times New Roman" w:eastAsia="宋体....." w:cs="宋体....."/>
          <w:color w:val="auto"/>
          <w:kern w:val="2"/>
          <w:sz w:val="24"/>
          <w:szCs w:val="24"/>
          <w:highlight w:val="none"/>
          <w:lang w:val="en-US" w:eastAsia="zh-CN" w:bidi="ar-SA"/>
        </w:rPr>
      </w:pPr>
      <w:bookmarkStart w:id="125" w:name="_Toc5401"/>
      <w:bookmarkStart w:id="126" w:name="_Toc19902"/>
      <w:bookmarkStart w:id="127" w:name="_Toc5474"/>
      <w:bookmarkStart w:id="128" w:name="_Toc32560"/>
      <w:r>
        <w:rPr>
          <w:rFonts w:hint="eastAsia" w:ascii="Times New Roman" w:hAnsi="Times New Roman" w:eastAsia="宋体....." w:cs="Times New Roman"/>
          <w:b/>
          <w:bCs/>
          <w:color w:val="auto"/>
          <w:kern w:val="2"/>
          <w:sz w:val="24"/>
          <w:szCs w:val="24"/>
          <w:highlight w:val="none"/>
          <w:lang w:val="en-US" w:eastAsia="zh-CN" w:bidi="ar-SA"/>
        </w:rPr>
        <w:t>附图14-2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生态空间一般管控区截图</w:t>
      </w:r>
      <w:bookmarkEnd w:id="125"/>
      <w:bookmarkEnd w:id="126"/>
      <w:r>
        <w:rPr>
          <w:rFonts w:hint="eastAsia" w:ascii="Times New Roman" w:hAnsi="Times New Roman" w:eastAsia="宋体....." w:cs="Times New Roman"/>
          <w:b/>
          <w:bCs/>
          <w:color w:val="auto"/>
          <w:kern w:val="2"/>
          <w:sz w:val="24"/>
          <w:szCs w:val="24"/>
          <w:highlight w:val="none"/>
          <w:lang w:val="en-US" w:eastAsia="zh-CN" w:bidi="ar-SA"/>
        </w:rPr>
        <w:br w:type="page"/>
      </w:r>
      <w:bookmarkEnd w:id="127"/>
      <w:bookmarkEnd w:id="128"/>
      <w:r>
        <w:rPr>
          <w:rFonts w:ascii="宋体....." w:hAnsi="Times New Roman" w:eastAsia="宋体....." w:cs="宋体....."/>
          <w:color w:val="auto"/>
          <w:kern w:val="2"/>
          <w:sz w:val="24"/>
          <w:szCs w:val="24"/>
          <w:highlight w:val="none"/>
          <w:lang w:val="en-US" w:eastAsia="zh-CN" w:bidi="ar-SA"/>
        </w:rPr>
        <w:drawing>
          <wp:inline distT="0" distB="0" distL="114300" distR="114300">
            <wp:extent cx="8904605" cy="5494655"/>
            <wp:effectExtent l="0" t="0" r="10795" b="10795"/>
            <wp:docPr id="131"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87"/>
                    <pic:cNvPicPr>
                      <a:picLocks noChangeAspect="1"/>
                    </pic:cNvPicPr>
                  </pic:nvPicPr>
                  <pic:blipFill>
                    <a:blip r:embed="rId87"/>
                    <a:stretch>
                      <a:fillRect/>
                    </a:stretch>
                  </pic:blipFill>
                  <pic:spPr>
                    <a:xfrm>
                      <a:off x="0" y="0"/>
                      <a:ext cx="8904605" cy="5494655"/>
                    </a:xfrm>
                    <a:prstGeom prst="rect">
                      <a:avLst/>
                    </a:prstGeom>
                    <a:noFill/>
                    <a:ln>
                      <a:noFill/>
                    </a:ln>
                  </pic:spPr>
                </pic:pic>
              </a:graphicData>
            </a:graphic>
          </wp:inline>
        </w:drawing>
      </w:r>
    </w:p>
    <w:p w14:paraId="226D24BD">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outlineLvl w:val="0"/>
        <w:rPr>
          <w:rFonts w:hint="eastAsia" w:ascii="Times New Roman" w:hAnsi="Times New Roman" w:eastAsia="宋体....." w:cs="Times New Roman"/>
          <w:b/>
          <w:bCs/>
          <w:color w:val="auto"/>
          <w:kern w:val="2"/>
          <w:sz w:val="24"/>
          <w:szCs w:val="24"/>
          <w:highlight w:val="none"/>
          <w:lang w:val="en-US" w:eastAsia="zh-CN" w:bidi="ar-SA"/>
        </w:rPr>
      </w:pPr>
      <w:bookmarkStart w:id="129" w:name="_Toc22769"/>
      <w:bookmarkStart w:id="130" w:name="_Toc805"/>
      <w:bookmarkStart w:id="131" w:name="_Toc17410"/>
      <w:bookmarkStart w:id="132" w:name="_Toc6221"/>
      <w:bookmarkStart w:id="133" w:name="_Toc25512"/>
      <w:r>
        <w:rPr>
          <w:rFonts w:hint="eastAsia" w:ascii="Times New Roman" w:hAnsi="Times New Roman" w:eastAsia="宋体....." w:cs="Times New Roman"/>
          <w:b/>
          <w:bCs/>
          <w:color w:val="auto"/>
          <w:kern w:val="2"/>
          <w:sz w:val="24"/>
          <w:szCs w:val="24"/>
          <w:highlight w:val="none"/>
          <w:lang w:val="en-US" w:eastAsia="zh-CN" w:bidi="ar-SA"/>
        </w:rPr>
        <w:t>附图14-3 广东省</w:t>
      </w:r>
      <w:r>
        <w:rPr>
          <w:rFonts w:hint="eastAsia" w:eastAsia="宋体....." w:cs="Times New Roman"/>
          <w:b/>
          <w:bCs/>
          <w:color w:val="auto"/>
          <w:kern w:val="2"/>
          <w:sz w:val="24"/>
          <w:szCs w:val="24"/>
          <w:highlight w:val="none"/>
          <w:lang w:val="en-US" w:eastAsia="zh-CN" w:bidi="ar-SA"/>
        </w:rPr>
        <w:t>生态环境分区</w:t>
      </w:r>
      <w:r>
        <w:rPr>
          <w:rFonts w:hint="eastAsia" w:ascii="Times New Roman" w:hAnsi="Times New Roman" w:eastAsia="宋体....." w:cs="Times New Roman"/>
          <w:b/>
          <w:bCs/>
          <w:color w:val="auto"/>
          <w:kern w:val="2"/>
          <w:sz w:val="24"/>
          <w:szCs w:val="24"/>
          <w:highlight w:val="none"/>
          <w:lang w:val="en-US" w:eastAsia="zh-CN" w:bidi="ar-SA"/>
        </w:rPr>
        <w:t>管控</w:t>
      </w:r>
      <w:r>
        <w:rPr>
          <w:rFonts w:hint="eastAsia" w:eastAsia="宋体....." w:cs="Times New Roman"/>
          <w:b/>
          <w:bCs/>
          <w:color w:val="auto"/>
          <w:kern w:val="2"/>
          <w:sz w:val="24"/>
          <w:szCs w:val="24"/>
          <w:highlight w:val="none"/>
          <w:lang w:val="en-US" w:eastAsia="zh-CN" w:bidi="ar-SA"/>
        </w:rPr>
        <w:t>信息平台</w:t>
      </w:r>
      <w:r>
        <w:rPr>
          <w:rFonts w:hint="eastAsia" w:ascii="Times New Roman" w:hAnsi="Times New Roman" w:eastAsia="宋体....." w:cs="Times New Roman"/>
          <w:b/>
          <w:bCs/>
          <w:color w:val="auto"/>
          <w:kern w:val="2"/>
          <w:sz w:val="24"/>
          <w:szCs w:val="24"/>
          <w:highlight w:val="none"/>
          <w:lang w:val="en-US" w:eastAsia="zh-CN" w:bidi="ar-SA"/>
        </w:rPr>
        <w:t>水环境管控分区截图</w:t>
      </w:r>
      <w:bookmarkEnd w:id="129"/>
      <w:bookmarkEnd w:id="130"/>
      <w:bookmarkEnd w:id="131"/>
      <w:bookmarkEnd w:id="132"/>
      <w:bookmarkEnd w:id="133"/>
    </w:p>
    <w:p w14:paraId="4EB5C439">
      <w:pPr>
        <w:keepNext w:val="0"/>
        <w:keepLines w:val="0"/>
        <w:pageBreakBefore w:val="0"/>
        <w:widowControl w:val="0"/>
        <w:kinsoku/>
        <w:wordWrap/>
        <w:overflowPunct/>
        <w:topLinePunct w:val="0"/>
        <w:bidi w:val="0"/>
        <w:snapToGrid/>
        <w:spacing w:line="240" w:lineRule="auto"/>
        <w:ind w:left="200" w:hanging="420" w:hangingChars="200"/>
        <w:jc w:val="center"/>
        <w:textAlignment w:val="auto"/>
        <w:outlineLvl w:val="9"/>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drawing>
          <wp:inline distT="0" distB="0" distL="114300" distR="114300">
            <wp:extent cx="8684260" cy="5390515"/>
            <wp:effectExtent l="0" t="0" r="2540" b="635"/>
            <wp:docPr id="132"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589"/>
                    <pic:cNvPicPr>
                      <a:picLocks noChangeAspect="1"/>
                    </pic:cNvPicPr>
                  </pic:nvPicPr>
                  <pic:blipFill>
                    <a:blip r:embed="rId88"/>
                    <a:stretch>
                      <a:fillRect/>
                    </a:stretch>
                  </pic:blipFill>
                  <pic:spPr>
                    <a:xfrm>
                      <a:off x="0" y="0"/>
                      <a:ext cx="8684260" cy="5390515"/>
                    </a:xfrm>
                    <a:prstGeom prst="rect">
                      <a:avLst/>
                    </a:prstGeom>
                    <a:noFill/>
                    <a:ln>
                      <a:noFill/>
                    </a:ln>
                  </pic:spPr>
                </pic:pic>
              </a:graphicData>
            </a:graphic>
          </wp:inline>
        </w:drawing>
      </w:r>
    </w:p>
    <w:p w14:paraId="54C1C762">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outlineLvl w:val="0"/>
        <w:rPr>
          <w:rFonts w:hint="eastAsia" w:ascii="Times New Roman" w:hAnsi="Times New Roman" w:eastAsia="宋体....." w:cs="Times New Roman"/>
          <w:b/>
          <w:bCs/>
          <w:color w:val="auto"/>
          <w:kern w:val="2"/>
          <w:sz w:val="24"/>
          <w:szCs w:val="24"/>
          <w:highlight w:val="none"/>
          <w:lang w:val="en-US" w:eastAsia="zh-CN" w:bidi="ar-SA"/>
        </w:rPr>
      </w:pPr>
      <w:bookmarkStart w:id="134" w:name="_Toc7227"/>
      <w:bookmarkStart w:id="135" w:name="_Toc29842"/>
      <w:bookmarkStart w:id="136" w:name="_Toc24743"/>
      <w:bookmarkStart w:id="137" w:name="_Toc10425"/>
      <w:bookmarkStart w:id="138" w:name="_Toc27132"/>
      <w:r>
        <w:rPr>
          <w:rFonts w:hint="eastAsia" w:ascii="Times New Roman" w:hAnsi="Times New Roman" w:eastAsia="宋体....." w:cs="Times New Roman"/>
          <w:b/>
          <w:bCs/>
          <w:color w:val="auto"/>
          <w:kern w:val="2"/>
          <w:sz w:val="24"/>
          <w:szCs w:val="24"/>
          <w:highlight w:val="none"/>
          <w:lang w:val="en-US" w:eastAsia="zh-CN" w:bidi="ar-SA"/>
        </w:rPr>
        <w:t>附图14-4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大气环境管控分区截图</w:t>
      </w:r>
      <w:bookmarkEnd w:id="134"/>
      <w:bookmarkEnd w:id="135"/>
      <w:bookmarkEnd w:id="136"/>
      <w:bookmarkEnd w:id="137"/>
      <w:bookmarkEnd w:id="138"/>
    </w:p>
    <w:p w14:paraId="4871C1B9">
      <w:pPr>
        <w:keepNext w:val="0"/>
        <w:keepLines w:val="0"/>
        <w:pageBreakBefore w:val="0"/>
        <w:widowControl w:val="0"/>
        <w:kinsoku/>
        <w:wordWrap/>
        <w:overflowPunct/>
        <w:topLinePunct w:val="0"/>
        <w:bidi w:val="0"/>
        <w:snapToGrid/>
        <w:spacing w:line="240" w:lineRule="auto"/>
        <w:ind w:left="200" w:hanging="420" w:hangingChars="200"/>
        <w:jc w:val="center"/>
        <w:textAlignment w:val="auto"/>
        <w:outlineLvl w:val="9"/>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drawing>
          <wp:inline distT="0" distB="0" distL="114300" distR="114300">
            <wp:extent cx="8442325" cy="5243830"/>
            <wp:effectExtent l="0" t="0" r="15875" b="13970"/>
            <wp:docPr id="133"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590"/>
                    <pic:cNvPicPr>
                      <a:picLocks noChangeAspect="1"/>
                    </pic:cNvPicPr>
                  </pic:nvPicPr>
                  <pic:blipFill>
                    <a:blip r:embed="rId89"/>
                    <a:stretch>
                      <a:fillRect/>
                    </a:stretch>
                  </pic:blipFill>
                  <pic:spPr>
                    <a:xfrm>
                      <a:off x="0" y="0"/>
                      <a:ext cx="8442325" cy="5243830"/>
                    </a:xfrm>
                    <a:prstGeom prst="rect">
                      <a:avLst/>
                    </a:prstGeom>
                    <a:noFill/>
                    <a:ln>
                      <a:noFill/>
                    </a:ln>
                  </pic:spPr>
                </pic:pic>
              </a:graphicData>
            </a:graphic>
          </wp:inline>
        </w:drawing>
      </w:r>
    </w:p>
    <w:p w14:paraId="39108E7A">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Times New Roman" w:cs="Times New Roman"/>
          <w:b/>
          <w:bCs/>
          <w:color w:val="auto"/>
          <w:highlight w:val="none"/>
        </w:rPr>
        <w:sectPr>
          <w:footerReference r:id="rId16" w:type="default"/>
          <w:pgSz w:w="16781" w:h="11849" w:orient="landscape"/>
          <w:pgMar w:top="1213" w:right="1417" w:bottom="1213" w:left="1417" w:header="850" w:footer="794" w:gutter="340"/>
          <w:pgBorders>
            <w:top w:val="none" w:sz="0" w:space="0"/>
            <w:left w:val="none" w:sz="0" w:space="0"/>
            <w:bottom w:val="none" w:sz="0" w:space="0"/>
            <w:right w:val="none" w:sz="0" w:space="0"/>
          </w:pgBorders>
          <w:pgNumType w:fmt="decimal"/>
          <w:cols w:space="720" w:num="1"/>
          <w:docGrid w:type="lines" w:linePitch="434" w:charSpace="0"/>
        </w:sectPr>
      </w:pPr>
      <w:bookmarkStart w:id="139" w:name="_Toc3375"/>
      <w:bookmarkStart w:id="140" w:name="_Toc22223"/>
      <w:bookmarkStart w:id="141" w:name="_Toc26344"/>
      <w:bookmarkStart w:id="142" w:name="_Toc29220"/>
      <w:bookmarkStart w:id="143" w:name="_Toc373"/>
      <w:r>
        <w:rPr>
          <w:rFonts w:hint="eastAsia" w:ascii="Times New Roman" w:hAnsi="Times New Roman" w:eastAsia="宋体....." w:cs="Times New Roman"/>
          <w:b/>
          <w:bCs/>
          <w:color w:val="auto"/>
          <w:kern w:val="2"/>
          <w:sz w:val="24"/>
          <w:szCs w:val="24"/>
          <w:highlight w:val="none"/>
          <w:lang w:val="en-US" w:eastAsia="zh-CN" w:bidi="ar-SA"/>
        </w:rPr>
        <w:t>附图14-5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高污染燃料禁燃区截图</w:t>
      </w:r>
      <w:bookmarkEnd w:id="139"/>
      <w:bookmarkEnd w:id="140"/>
      <w:bookmarkEnd w:id="141"/>
      <w:bookmarkEnd w:id="142"/>
      <w:bookmarkEnd w:id="143"/>
    </w:p>
    <w:p w14:paraId="0330DC25">
      <w:pPr>
        <w:keepNext w:val="0"/>
        <w:keepLines w:val="0"/>
        <w:pageBreakBefore w:val="0"/>
        <w:widowControl w:val="0"/>
        <w:kinsoku/>
        <w:wordWrap/>
        <w:overflowPunct/>
        <w:topLinePunct w:val="0"/>
        <w:bidi w:val="0"/>
        <w:snapToGrid/>
        <w:spacing w:line="240" w:lineRule="auto"/>
        <w:ind w:left="200" w:hanging="480" w:hangingChars="200"/>
        <w:jc w:val="center"/>
        <w:textAlignment w:val="auto"/>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kern w:val="2"/>
          <w:sz w:val="24"/>
          <w:szCs w:val="24"/>
          <w:lang w:val="en-US" w:eastAsia="zh-CN" w:bidi="ar-SA"/>
        </w:rPr>
        <mc:AlternateContent>
          <mc:Choice Requires="wpg">
            <w:drawing>
              <wp:anchor distT="0" distB="0" distL="114300" distR="114300" simplePos="0" relativeHeight="251777024" behindDoc="0" locked="0" layoutInCell="1" allowOverlap="1">
                <wp:simplePos x="0" y="0"/>
                <wp:positionH relativeFrom="column">
                  <wp:posOffset>3778250</wp:posOffset>
                </wp:positionH>
                <wp:positionV relativeFrom="paragraph">
                  <wp:posOffset>414020</wp:posOffset>
                </wp:positionV>
                <wp:extent cx="1651000" cy="795020"/>
                <wp:effectExtent l="12700" t="12700" r="31750" b="30480"/>
                <wp:wrapNone/>
                <wp:docPr id="134" name="组合 134"/>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42"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4F14C76D">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293"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97.5pt;margin-top:32.6pt;height:62.6pt;width:130pt;z-index:251777024;mso-width-relative:page;mso-height-relative:page;" coordorigin="9176,2798726" coordsize="2600,1252" o:gfxdata="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qC2oML0AAADb&#10;AAAADwAAAGRycy9kb3ducmV2LnhtbEWPQWvCQBSE70L/w/IKvelmpdSQZvXQovRSRC30+sg+s0mz&#10;b0N21bS/3i0IHoeZ+YYpV6PrxJmG0HjWoGYZCOLKm4ZrDV+H9TQHESKywc4zafilAKvlw6TEwvgL&#10;7+i8j7VIEA4FarAx9oWUobLkMMx8T5y8ox8cxiSHWpoBLwnuOjnPshfpsOG0YLGnN0vVz/7kNGzU&#10;ov1WNvdH+6nMe92O67+t1frpUWWvICKN8R6+tT+Mhuc5/H9JP0A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LagwvQAA&#10;ANsAAAAPAAAAAAAAAAEAIAAAACIAAABkcnMvZG93bnJldi54bWxQSwECFAAUAAAACACHTuJAMy8F&#10;njsAAAA5AAAAEAAAAAAAAAABACAAAAAMAQAAZHJzL3NoYXBleG1sLnhtbFBLBQYAAAAABgAGAFsB&#10;AAC2AwAAAAA=&#10;" adj="-9657,30962,14400">
                  <v:fill on="t" focussize="0,0"/>
                  <v:stroke weight="2pt" color="#000000" joinstyle="round"/>
                  <v:imagedata o:title=""/>
                  <o:lock v:ext="edit" aspectratio="f"/>
                  <v:textbox>
                    <w:txbxContent>
                      <w:p w14:paraId="4F14C76D">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_x0000_s1026" o:spid="_x0000_s1026" style="position:absolute;left:9176;top:2799546;height:433;width:500;v-text-anchor:middle;" fillcolor="#FFFF00" filled="t" stroked="t" coordsize="500,433" o:gfxdata="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qLUj74A&#10;AADcAAAADwAAAAAAAAABACAAAAAiAAAAZHJzL2Rvd25yZXYueG1sUEsBAhQAFAAAAAgAh07iQDMv&#10;BZ47AAAAOQAAABAAAAAAAAAAAQAgAAAADQEAAGRycy9zaGFwZXhtbC54bWxQSwUGAAAAAAYABgBb&#10;AQAAtwM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bookmarkStart w:id="144" w:name="_Toc18089"/>
      <w:r>
        <w:rPr>
          <w:rFonts w:ascii="Times New Roman" w:hAnsi="Times New Roman" w:eastAsia="宋体" w:cs="Times New Roman"/>
          <w:kern w:val="2"/>
          <w:position w:val="-263"/>
          <w:sz w:val="21"/>
          <w:szCs w:val="24"/>
          <w:lang w:val="en-US" w:eastAsia="zh-CN" w:bidi="ar-SA"/>
        </w:rPr>
        <w:drawing>
          <wp:inline distT="0" distB="0" distL="0" distR="0">
            <wp:extent cx="5270500" cy="8363585"/>
            <wp:effectExtent l="0" t="0" r="6350" b="18415"/>
            <wp:docPr id="292" name="IM 92"/>
            <wp:cNvGraphicFramePr/>
            <a:graphic xmlns:a="http://schemas.openxmlformats.org/drawingml/2006/main">
              <a:graphicData uri="http://schemas.openxmlformats.org/drawingml/2006/picture">
                <pic:pic xmlns:pic="http://schemas.openxmlformats.org/drawingml/2006/picture">
                  <pic:nvPicPr>
                    <pic:cNvPr id="292" name="IM 92"/>
                    <pic:cNvPicPr/>
                  </pic:nvPicPr>
                  <pic:blipFill>
                    <a:blip r:embed="rId90"/>
                    <a:stretch>
                      <a:fillRect/>
                    </a:stretch>
                  </pic:blipFill>
                  <pic:spPr>
                    <a:xfrm>
                      <a:off x="0" y="0"/>
                      <a:ext cx="5271134" cy="8364219"/>
                    </a:xfrm>
                    <a:prstGeom prst="rect">
                      <a:avLst/>
                    </a:prstGeom>
                  </pic:spPr>
                </pic:pic>
              </a:graphicData>
            </a:graphic>
          </wp:inline>
        </w:drawing>
      </w:r>
    </w:p>
    <w:p w14:paraId="13DB33E3">
      <w:pPr>
        <w:widowControl w:val="0"/>
        <w:autoSpaceDE w:val="0"/>
        <w:autoSpaceDN w:val="0"/>
        <w:adjustRightInd w:val="0"/>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45" w:name="_Toc31205"/>
      <w:bookmarkStart w:id="146" w:name="_Toc21182"/>
      <w:bookmarkStart w:id="147" w:name="_Toc20135"/>
      <w:r>
        <w:rPr>
          <w:rFonts w:hint="default" w:ascii="Times New Roman" w:hAnsi="Times New Roman" w:eastAsia="宋体....." w:cs="Times New Roman"/>
          <w:b/>
          <w:bCs/>
          <w:color w:val="auto"/>
          <w:kern w:val="2"/>
          <w:sz w:val="24"/>
          <w:szCs w:val="24"/>
          <w:highlight w:val="none"/>
          <w:lang w:val="en-US" w:eastAsia="zh-CN" w:bidi="ar-SA"/>
        </w:rPr>
        <w:t>附图1</w:t>
      </w:r>
      <w:r>
        <w:rPr>
          <w:rFonts w:hint="eastAsia" w:ascii="Times New Roman" w:hAnsi="Times New Roman" w:eastAsia="宋体....." w:cs="Times New Roman"/>
          <w:b/>
          <w:bCs/>
          <w:color w:val="auto"/>
          <w:kern w:val="2"/>
          <w:sz w:val="24"/>
          <w:szCs w:val="24"/>
          <w:highlight w:val="none"/>
          <w:lang w:val="en-US" w:eastAsia="zh-CN" w:bidi="ar-SA"/>
        </w:rPr>
        <w:t>5</w:t>
      </w:r>
      <w:r>
        <w:rPr>
          <w:rFonts w:hint="default" w:ascii="Times New Roman" w:hAnsi="Times New Roman" w:eastAsia="宋体....." w:cs="Times New Roman"/>
          <w:b/>
          <w:bCs/>
          <w:color w:val="auto"/>
          <w:kern w:val="2"/>
          <w:sz w:val="24"/>
          <w:szCs w:val="24"/>
          <w:highlight w:val="none"/>
          <w:lang w:val="en-US" w:eastAsia="zh-CN" w:bidi="ar-SA"/>
        </w:rPr>
        <w:t xml:space="preserve"> </w:t>
      </w:r>
      <w:r>
        <w:rPr>
          <w:rFonts w:hint="eastAsia" w:ascii="Times New Roman" w:hAnsi="Times New Roman" w:eastAsia="宋体....." w:cs="Times New Roman"/>
          <w:b/>
          <w:bCs/>
          <w:color w:val="auto"/>
          <w:kern w:val="2"/>
          <w:sz w:val="24"/>
          <w:szCs w:val="24"/>
          <w:highlight w:val="none"/>
          <w:lang w:val="en-US" w:eastAsia="zh-CN" w:bidi="ar-SA"/>
        </w:rPr>
        <w:t>韶关乐</w:t>
      </w:r>
      <w:r>
        <w:rPr>
          <w:rFonts w:hint="eastAsia" w:ascii="Times New Roman" w:hAnsi="Times New Roman" w:eastAsia="宋体" w:cs="Times New Roman"/>
          <w:b/>
          <w:bCs/>
          <w:color w:val="auto"/>
          <w:kern w:val="2"/>
          <w:sz w:val="24"/>
          <w:szCs w:val="24"/>
          <w:highlight w:val="none"/>
          <w:lang w:val="en-US" w:eastAsia="zh-CN" w:bidi="ar-SA"/>
        </w:rPr>
        <w:t>昌经济开发区</w:t>
      </w:r>
      <w:r>
        <w:rPr>
          <w:rFonts w:hint="default" w:ascii="Times New Roman" w:hAnsi="Times New Roman" w:eastAsia="宋体....." w:cs="Times New Roman"/>
          <w:b/>
          <w:bCs/>
          <w:color w:val="auto"/>
          <w:kern w:val="2"/>
          <w:sz w:val="24"/>
          <w:szCs w:val="24"/>
          <w:highlight w:val="none"/>
          <w:lang w:val="en-US" w:eastAsia="zh-CN" w:bidi="ar-SA"/>
        </w:rPr>
        <w:t>管网分布图</w:t>
      </w:r>
      <w:bookmarkEnd w:id="144"/>
      <w:bookmarkEnd w:id="145"/>
      <w:bookmarkEnd w:id="146"/>
      <w:bookmarkEnd w:id="147"/>
    </w:p>
    <w:p w14:paraId="59E71158">
      <w:pPr>
        <w:rPr>
          <w:rFonts w:hint="default" w:ascii="Times New Roman" w:hAnsi="Times New Roman" w:cs="Times New Roman"/>
          <w:b/>
          <w:bCs/>
          <w:color w:val="auto"/>
          <w:highlight w:val="none"/>
          <w:lang w:val="en-US" w:eastAsia="zh-CN"/>
        </w:rPr>
        <w:sectPr>
          <w:pgSz w:w="11849" w:h="16781"/>
          <w:pgMar w:top="1417" w:right="1213" w:bottom="1417" w:left="1213" w:header="850" w:footer="794" w:gutter="340"/>
          <w:pgBorders>
            <w:top w:val="none" w:sz="0" w:space="0"/>
            <w:left w:val="none" w:sz="0" w:space="0"/>
            <w:bottom w:val="none" w:sz="0" w:space="0"/>
            <w:right w:val="none" w:sz="0" w:space="0"/>
          </w:pgBorders>
          <w:pgNumType w:fmt="decimal"/>
          <w:cols w:space="720" w:num="1"/>
          <w:docGrid w:type="lines" w:linePitch="434" w:charSpace="0"/>
        </w:sectPr>
      </w:pPr>
    </w:p>
    <w:p w14:paraId="635EDA0D">
      <w:pPr>
        <w:rPr>
          <w:rFonts w:hint="default"/>
          <w:lang w:val="en-US" w:eastAsia="zh-CN"/>
        </w:rPr>
      </w:pPr>
      <w:r>
        <w:rPr>
          <w:sz w:val="24"/>
        </w:rPr>
        <mc:AlternateContent>
          <mc:Choice Requires="wpg">
            <w:drawing>
              <wp:anchor distT="0" distB="0" distL="114300" distR="114300" simplePos="0" relativeHeight="251778048" behindDoc="0" locked="0" layoutInCell="1" allowOverlap="1">
                <wp:simplePos x="0" y="0"/>
                <wp:positionH relativeFrom="column">
                  <wp:posOffset>2905125</wp:posOffset>
                </wp:positionH>
                <wp:positionV relativeFrom="paragraph">
                  <wp:posOffset>201930</wp:posOffset>
                </wp:positionV>
                <wp:extent cx="1651000" cy="795020"/>
                <wp:effectExtent l="12700" t="12700" r="31750" b="30480"/>
                <wp:wrapNone/>
                <wp:docPr id="135" name="组合 135"/>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33"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7468A5AD">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64"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28.75pt;margin-top:15.9pt;height:62.6pt;width:130pt;z-index:251778048;mso-width-relative:page;mso-height-relative:page;" coordorigin="9176,2798726" coordsize="2600,1252" o:gfxdata="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Hq5ITPZAAAACgEAAA8AAAAAAAAA&#10;AQAgAAAAIgAAAGRycy9kb3ducmV2LnhtbFBLAQIUABQAAAAIAIdO4kAZe1j92AMAAEUJAAAOAAAA&#10;AAAAAAEAIAAAACgBAABkcnMvZTJvRG9jLnhtbFBLBQYAAAAABgAGAFkBAABy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n2d+1r0AAADb&#10;AAAADwAAAGRycy9kb3ducmV2LnhtbEWPT2sCMRTE7wW/Q3gFbzWbCla2Rg8VxYuIf8DrY/PcrN28&#10;LJtUVz+9EYQeh5n5DTOZda4WF2pD5VmDGmQgiAtvKi41HPaLjzGIEJEN1p5Jw40CzKa9twnmxl95&#10;S5ddLEWCcMhRg42xyaUMhSWHYeAb4uSdfOswJtmW0rR4TXBXy88sG0mHFacFiw39WCp+d39Ow1J9&#10;nY/Kjv3JrpWZl+ducd9YrfvvKvsGEamL/+FXe2U0DIfw/JJ+gJ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Z37WvQAA&#10;ANsAAAAPAAAAAAAAAAEAIAAAACIAAABkcnMvZG93bnJldi54bWxQSwECFAAUAAAACACHTuJAMy8F&#10;njsAAAA5AAAAEAAAAAAAAAABACAAAAAMAQAAZHJzL3NoYXBleG1sLnhtbFBLBQYAAAAABgAGAFsB&#10;AAC2AwAAAAA=&#10;" adj="-9657,30962,14400">
                  <v:fill on="t" focussize="0,0"/>
                  <v:stroke weight="2pt" color="#000000" joinstyle="round"/>
                  <v:imagedata o:title=""/>
                  <o:lock v:ext="edit" aspectratio="f"/>
                  <v:textbox>
                    <w:txbxContent>
                      <w:p w14:paraId="7468A5AD">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8yqkRb0AAADb&#10;AAAADwAAAGRycy9kb3ducmV2LnhtbEWPT4vCMBTE7wt+h/AEL4umdUWkNnoQBVk8aHe9P5rXP9i8&#10;1CZq99tvBMHjMDO/YdJ1bxpxp87VlhXEkwgEcW51zaWC35/deAHCeWSNjWVS8EcO1qvBR4qJtg8+&#10;0T3zpQgQdgkqqLxvEyldXpFBN7EtcfAK2xn0QXal1B0+Atw0chpFc2mw5rBQYUubivJLdjMK7O1r&#10;e+Dz99FeZ0V/OJY7/tzESo2GcbQE4an37/CrvdcK5jN4fgk/Q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KqRFvQAA&#10;ANsAAAAPAAAAAAAAAAEAIAAAACIAAABkcnMvZG93bnJldi54bWxQSwECFAAUAAAACACHTuJAMy8F&#10;njsAAAA5AAAAEAAAAAAAAAABACAAAAAMAQAAZHJzL3NoYXBleG1sLnhtbFBLBQYAAAAABgAGAFsB&#10;AAC2Aw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position w:val="-222"/>
        </w:rPr>
        <w:drawing>
          <wp:inline distT="0" distB="0" distL="0" distR="0">
            <wp:extent cx="5293360" cy="7061200"/>
            <wp:effectExtent l="0" t="0" r="2540" b="6350"/>
            <wp:docPr id="290" name="IM 82"/>
            <wp:cNvGraphicFramePr/>
            <a:graphic xmlns:a="http://schemas.openxmlformats.org/drawingml/2006/main">
              <a:graphicData uri="http://schemas.openxmlformats.org/drawingml/2006/picture">
                <pic:pic xmlns:pic="http://schemas.openxmlformats.org/drawingml/2006/picture">
                  <pic:nvPicPr>
                    <pic:cNvPr id="290" name="IM 82"/>
                    <pic:cNvPicPr/>
                  </pic:nvPicPr>
                  <pic:blipFill>
                    <a:blip r:embed="rId91"/>
                    <a:stretch>
                      <a:fillRect/>
                    </a:stretch>
                  </pic:blipFill>
                  <pic:spPr>
                    <a:xfrm>
                      <a:off x="0" y="0"/>
                      <a:ext cx="5293817" cy="7061580"/>
                    </a:xfrm>
                    <a:prstGeom prst="rect">
                      <a:avLst/>
                    </a:prstGeom>
                  </pic:spPr>
                </pic:pic>
              </a:graphicData>
            </a:graphic>
          </wp:inline>
        </w:drawing>
      </w:r>
    </w:p>
    <w:p w14:paraId="00A78914">
      <w:pPr>
        <w:widowControl w:val="0"/>
        <w:autoSpaceDE w:val="0"/>
        <w:autoSpaceDN w:val="0"/>
        <w:adjustRightInd w:val="0"/>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48" w:name="_Toc14143"/>
      <w:r>
        <w:rPr>
          <w:rFonts w:hint="eastAsia" w:ascii="Times New Roman" w:hAnsi="Times New Roman" w:eastAsia="宋体....." w:cs="Times New Roman"/>
          <w:b/>
          <w:bCs/>
          <w:color w:val="auto"/>
          <w:kern w:val="2"/>
          <w:sz w:val="24"/>
          <w:szCs w:val="24"/>
          <w:highlight w:val="none"/>
          <w:lang w:val="en-US" w:eastAsia="zh-CN" w:bidi="ar-SA"/>
        </w:rPr>
        <w:t>附图16  项目所在区域</w:t>
      </w:r>
      <w:r>
        <w:rPr>
          <w:rFonts w:hint="default" w:ascii="Times New Roman" w:hAnsi="Times New Roman" w:eastAsia="宋体....." w:cs="Times New Roman"/>
          <w:b/>
          <w:bCs/>
          <w:color w:val="auto"/>
          <w:kern w:val="2"/>
          <w:sz w:val="24"/>
          <w:szCs w:val="24"/>
          <w:highlight w:val="none"/>
          <w:lang w:val="en-US" w:eastAsia="en-US" w:bidi="ar-SA"/>
        </w:rPr>
        <w:t>土地利用规划图</w:t>
      </w:r>
      <w:bookmarkEnd w:id="148"/>
    </w:p>
    <w:p w14:paraId="21D27096">
      <w:pPr>
        <w:widowControl w:val="0"/>
        <w:autoSpaceDE w:val="0"/>
        <w:autoSpaceDN w:val="0"/>
        <w:adjustRightInd w:val="0"/>
        <w:jc w:val="center"/>
        <w:rPr>
          <w:rFonts w:hint="eastAsia" w:ascii="宋体....." w:hAnsi="Times New Roman" w:eastAsia="宋体....." w:cs="宋体....."/>
          <w:color w:val="auto"/>
          <w:kern w:val="2"/>
          <w:sz w:val="24"/>
          <w:szCs w:val="24"/>
          <w:highlight w:val="none"/>
          <w:lang w:val="en-US" w:eastAsia="zh-CN" w:bidi="ar-SA"/>
        </w:rPr>
      </w:pPr>
      <w:r>
        <w:rPr>
          <w:rFonts w:ascii="宋体....." w:hAnsi="Times New Roman" w:eastAsia="宋体....." w:cs="宋体....."/>
          <w:color w:val="000000"/>
          <w:kern w:val="2"/>
          <w:sz w:val="24"/>
          <w:szCs w:val="24"/>
          <w:lang w:val="en-US" w:eastAsia="zh-CN" w:bidi="ar-SA"/>
        </w:rPr>
        <mc:AlternateContent>
          <mc:Choice Requires="wpg">
            <w:drawing>
              <wp:anchor distT="0" distB="0" distL="114300" distR="114300" simplePos="0" relativeHeight="251779072" behindDoc="0" locked="0" layoutInCell="1" allowOverlap="1">
                <wp:simplePos x="0" y="0"/>
                <wp:positionH relativeFrom="column">
                  <wp:posOffset>3804920</wp:posOffset>
                </wp:positionH>
                <wp:positionV relativeFrom="paragraph">
                  <wp:posOffset>2491105</wp:posOffset>
                </wp:positionV>
                <wp:extent cx="1651000" cy="795020"/>
                <wp:effectExtent l="12700" t="12700" r="31750" b="30480"/>
                <wp:wrapNone/>
                <wp:docPr id="136" name="组合 136"/>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137"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64B7D97C">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138"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99.6pt;margin-top:196.15pt;height:62.6pt;width:130pt;z-index:251779072;mso-width-relative:page;mso-height-relative:page;" coordorigin="9176,2798726" coordsize="2600,1252" o:gfxdata="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I0Wrd7wAAADc&#10;AAAADwAAAGRycy9kb3ducmV2LnhtbEVPTWvCQBC9C/0PyxR6081aqCHN6qHF0kspaqHXITtmk2Zn&#10;Q3bV1F/vCoK3ebzPKVej68SRhtB41qBmGQjiypuGaw0/u/U0BxEissHOM2n4pwCr5cOkxML4E2/o&#10;uI21SCEcCtRgY+wLKUNlyWGY+Z44cXs/OIwJDrU0A55SuOvkPMtepMOGU4PFnt4sVX/bg9PwoRbt&#10;r7K539svZd7rdlyfv63WT48qewURaYx38c39adL85wVcn0kX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Fq3e8AAAA&#10;3AAAAA8AAAAAAAAAAQAgAAAAIgAAAGRycy9kb3ducmV2LnhtbFBLAQIUABQAAAAIAIdO4kAzLwWe&#10;OwAAADkAAAAQAAAAAAAAAAEAIAAAAAsBAABkcnMvc2hhcGV4bWwueG1sUEsFBgAAAAAGAAYAWwEA&#10;ALUDAAAAAA==&#10;" adj="-9657,30962,14400">
                  <v:fill on="t" focussize="0,0"/>
                  <v:stroke weight="2pt" color="#000000" joinstyle="round"/>
                  <v:imagedata o:title=""/>
                  <o:lock v:ext="edit" aspectratio="f"/>
                  <v:textbox>
                    <w:txbxContent>
                      <w:p w14:paraId="64B7D97C">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WUV4uL0AAADc&#10;AAAADwAAAGRycy9kb3ducmV2LnhtbEWPQYvCQAyF78L+hyELXkSnXWWRrqMHUVjEg7p6D53Ylu1k&#10;amfU+u/NQfCW8F7e+zJbdK5WN2pD5dlAOkpAEefeVlwYOP6th1NQISJbrD2TgQcFWMw/ejPMrL/z&#10;nm6HWCgJ4ZChgTLGJtM65CU5DCPfEIt29q3DKGtbaNviXcJdrb+S5Fs7rFgaSmxoWVL+f7g6A/46&#10;Xm35tNn5y+TcbXfFmgfL1Jj+Z5r8gIrUxbf5df1rBX8stPKMTKD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RXi4vQAA&#10;ANwAAAAPAAAAAAAAAAEAIAAAACIAAABkcnMvZG93bnJldi54bWxQSwECFAAUAAAACACHTuJAMy8F&#10;njsAAAA5AAAAEAAAAAAAAAABACAAAAAMAQAAZHJzL3NoYXBleG1sLnhtbFBLBQYAAAAABgAGAFsB&#10;AAC2Aw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rFonts w:ascii="宋体....." w:hAnsi="Times New Roman" w:eastAsia="宋体....." w:cs="宋体....."/>
          <w:color w:val="000000"/>
          <w:kern w:val="2"/>
          <w:position w:val="-263"/>
          <w:sz w:val="24"/>
          <w:szCs w:val="24"/>
          <w:lang w:val="en-US" w:eastAsia="zh-CN" w:bidi="ar-SA"/>
        </w:rPr>
        <w:drawing>
          <wp:inline distT="0" distB="0" distL="0" distR="0">
            <wp:extent cx="5266690" cy="8350885"/>
            <wp:effectExtent l="0" t="0" r="10160" b="12065"/>
            <wp:docPr id="84" name="IM 30"/>
            <wp:cNvGraphicFramePr/>
            <a:graphic xmlns:a="http://schemas.openxmlformats.org/drawingml/2006/main">
              <a:graphicData uri="http://schemas.openxmlformats.org/drawingml/2006/picture">
                <pic:pic xmlns:pic="http://schemas.openxmlformats.org/drawingml/2006/picture">
                  <pic:nvPicPr>
                    <pic:cNvPr id="84" name="IM 30"/>
                    <pic:cNvPicPr/>
                  </pic:nvPicPr>
                  <pic:blipFill>
                    <a:blip r:embed="rId92"/>
                    <a:stretch>
                      <a:fillRect/>
                    </a:stretch>
                  </pic:blipFill>
                  <pic:spPr>
                    <a:xfrm>
                      <a:off x="0" y="0"/>
                      <a:ext cx="5266690" cy="8351519"/>
                    </a:xfrm>
                    <a:prstGeom prst="rect">
                      <a:avLst/>
                    </a:prstGeom>
                  </pic:spPr>
                </pic:pic>
              </a:graphicData>
            </a:graphic>
          </wp:inline>
        </w:drawing>
      </w:r>
    </w:p>
    <w:p w14:paraId="613250B9">
      <w:pPr>
        <w:widowControl w:val="0"/>
        <w:autoSpaceDE w:val="0"/>
        <w:autoSpaceDN w:val="0"/>
        <w:adjustRightInd w:val="0"/>
        <w:jc w:val="center"/>
        <w:outlineLvl w:val="0"/>
        <w:rPr>
          <w:rFonts w:hint="eastAsia" w:ascii="Times New Roman" w:hAnsi="Times New Roman" w:eastAsia="宋体....." w:cs="Times New Roman"/>
          <w:b/>
          <w:bCs/>
          <w:color w:val="auto"/>
          <w:kern w:val="2"/>
          <w:sz w:val="24"/>
          <w:szCs w:val="24"/>
          <w:highlight w:val="none"/>
          <w:lang w:val="en-US" w:eastAsia="zh-CN" w:bidi="ar-SA"/>
        </w:rPr>
      </w:pPr>
      <w:bookmarkStart w:id="149" w:name="_Toc16243"/>
      <w:r>
        <w:rPr>
          <w:rFonts w:hint="eastAsia" w:ascii="Times New Roman" w:hAnsi="Times New Roman" w:eastAsia="宋体....." w:cs="Times New Roman"/>
          <w:b/>
          <w:bCs/>
          <w:color w:val="auto"/>
          <w:kern w:val="2"/>
          <w:sz w:val="24"/>
          <w:szCs w:val="24"/>
          <w:highlight w:val="none"/>
          <w:lang w:val="en-US" w:eastAsia="zh-CN" w:bidi="ar-SA"/>
        </w:rPr>
        <w:t>附图17  项目所在区域生态红线分布图</w:t>
      </w:r>
      <w:bookmarkEnd w:id="149"/>
    </w:p>
    <w:p w14:paraId="19E02820">
      <w:pPr>
        <w:widowControl w:val="0"/>
        <w:ind w:left="240"/>
        <w:jc w:val="both"/>
        <w:rPr>
          <w:rFonts w:hint="default" w:ascii="宋体" w:hAnsi="Times New Roman" w:eastAsia="宋体" w:cs="Times New Roman"/>
          <w:b/>
          <w:bCs/>
          <w:kern w:val="2"/>
          <w:sz w:val="32"/>
          <w:szCs w:val="32"/>
          <w:lang w:val="en-US" w:eastAsia="zh-CN" w:bidi="ar-SA"/>
        </w:rPr>
      </w:pPr>
      <w:r>
        <w:rPr>
          <w:rFonts w:ascii="宋体" w:hAnsi="Times New Roman" w:eastAsia="宋体" w:cs="Times New Roman"/>
          <w:b/>
          <w:bCs/>
          <w:kern w:val="2"/>
          <w:sz w:val="24"/>
          <w:szCs w:val="32"/>
          <w:lang w:val="en-US" w:eastAsia="zh-CN" w:bidi="ar-SA"/>
        </w:rPr>
        <mc:AlternateContent>
          <mc:Choice Requires="wpg">
            <w:drawing>
              <wp:anchor distT="0" distB="0" distL="114300" distR="114300" simplePos="0" relativeHeight="251780096" behindDoc="0" locked="0" layoutInCell="1" allowOverlap="1">
                <wp:simplePos x="0" y="0"/>
                <wp:positionH relativeFrom="column">
                  <wp:posOffset>2931795</wp:posOffset>
                </wp:positionH>
                <wp:positionV relativeFrom="paragraph">
                  <wp:posOffset>1379855</wp:posOffset>
                </wp:positionV>
                <wp:extent cx="1651000" cy="795020"/>
                <wp:effectExtent l="12700" t="12700" r="31750" b="30480"/>
                <wp:wrapNone/>
                <wp:docPr id="139" name="组合 139"/>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167"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3A578D6E">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168"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30.85pt;margin-top:108.65pt;height:62.6pt;width:130pt;z-index:251780096;mso-width-relative:page;mso-height-relative:page;" coordorigin="9176,2798726" coordsize="2600,1252" o:gfxdata="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JOmEcrbAAAACwEAAA8AAAAAAAAA&#10;AQAgAAAAIgAAAGRycy9kb3ducmV2LnhtbFBLAQIUABQAAAAIAIdO4kANd+8E1gMAAEcJAAAOAAAA&#10;AAAAAAEAIAAAACoBAABkcnMvZTJvRG9jLnhtbFBLBQYAAAAABgAGAFkBAABy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MPaEarwAAADc&#10;AAAADwAAAGRycy9kb3ducmV2LnhtbEVPPWvDMBDdA/0P4grdElkZ7OBGyZCS0qWEuoGuh3WxnFgn&#10;Yymxm19fFQrd7vE+b72dXCduNITWswa1yEAQ19603Gg4fu7nKxAhIhvsPJOGbwqw3TzM1lgaP/IH&#10;3arYiBTCoUQNNsa+lDLUlhyGhe+JE3fyg8OY4NBIM+CYwl0nl1mWS4ctpwaLPe0s1Zfq6jS8quL8&#10;pezKn+y7Mi/NedrfD1brp0eVPYOINMV/8Z/7zaT5eQG/z6QL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2hGq8AAAA&#10;3AAAAA8AAAAAAAAAAQAgAAAAIgAAAGRycy9kb3ducmV2LnhtbFBLAQIUABQAAAAIAIdO4kAzLwWe&#10;OwAAADkAAAAQAAAAAAAAAAEAIAAAAAsBAABkcnMvc2hhcGV4bWwueG1sUEsFBgAAAAAGAAYAWwEA&#10;ALUDAAAAAA==&#10;" adj="-9657,30962,14400">
                  <v:fill on="t" focussize="0,0"/>
                  <v:stroke weight="2pt" color="#000000" joinstyle="round"/>
                  <v:imagedata o:title=""/>
                  <o:lock v:ext="edit" aspectratio="f"/>
                  <v:textbox>
                    <w:txbxContent>
                      <w:p w14:paraId="3A578D6E">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SvZXpb8AAADc&#10;AAAADwAAAGRycy9kb3ducmV2LnhtbEWPQWvCQBCF7wX/wzKCl6Kb2CIlunqQCqXkkNr2PmTHJJid&#10;jdk1Sf9951DobYb35r1vdofJtWqgPjSeDaSrBBRx6W3DlYGvz9PyBVSIyBZbz2TghwIc9rOHHWbW&#10;j/xBwzlWSkI4ZGigjrHLtA5lTQ7DynfEol187zDK2lfa9jhKuGv1Okk22mHD0lBjR8eayuv57gz4&#10;+9Nrzt/vhb89X6a8qE78eEyNWczTZAsq0hT/zX/Xb1bwN0Irz8gEev8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2V6W/&#10;AAAA3AAAAA8AAAAAAAAAAQAgAAAAIgAAAGRycy9kb3ducmV2LnhtbFBLAQIUABQAAAAIAIdO4kAz&#10;LwWeOwAAADkAAAAQAAAAAAAAAAEAIAAAAA4BAABkcnMvc2hhcGV4bWwueG1sUEsFBgAAAAAGAAYA&#10;WwEAALgDA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rFonts w:ascii="宋体" w:hAnsi="Times New Roman" w:eastAsia="宋体" w:cs="Times New Roman"/>
          <w:b/>
          <w:bCs/>
          <w:kern w:val="2"/>
          <w:position w:val="-263"/>
          <w:sz w:val="32"/>
          <w:szCs w:val="32"/>
          <w:lang w:val="en-US" w:eastAsia="zh-CN" w:bidi="ar-SA"/>
        </w:rPr>
        <w:drawing>
          <wp:inline distT="0" distB="0" distL="0" distR="0">
            <wp:extent cx="5266690" cy="8353425"/>
            <wp:effectExtent l="0" t="0" r="10160" b="9525"/>
            <wp:docPr id="140" name="IM 66"/>
            <wp:cNvGraphicFramePr/>
            <a:graphic xmlns:a="http://schemas.openxmlformats.org/drawingml/2006/main">
              <a:graphicData uri="http://schemas.openxmlformats.org/drawingml/2006/picture">
                <pic:pic xmlns:pic="http://schemas.openxmlformats.org/drawingml/2006/picture">
                  <pic:nvPicPr>
                    <pic:cNvPr id="140" name="IM 66"/>
                    <pic:cNvPicPr/>
                  </pic:nvPicPr>
                  <pic:blipFill>
                    <a:blip r:embed="rId93"/>
                    <a:stretch>
                      <a:fillRect/>
                    </a:stretch>
                  </pic:blipFill>
                  <pic:spPr>
                    <a:xfrm>
                      <a:off x="0" y="0"/>
                      <a:ext cx="5266690" cy="8354059"/>
                    </a:xfrm>
                    <a:prstGeom prst="rect">
                      <a:avLst/>
                    </a:prstGeom>
                  </pic:spPr>
                </pic:pic>
              </a:graphicData>
            </a:graphic>
          </wp:inline>
        </w:drawing>
      </w:r>
    </w:p>
    <w:p w14:paraId="07BE6689">
      <w:pPr>
        <w:widowControl w:val="0"/>
        <w:autoSpaceDE w:val="0"/>
        <w:autoSpaceDN w:val="0"/>
        <w:adjustRightInd w:val="0"/>
        <w:jc w:val="center"/>
        <w:outlineLvl w:val="0"/>
        <w:rPr>
          <w:rFonts w:hint="default"/>
        </w:rPr>
      </w:pPr>
      <w:bookmarkStart w:id="150" w:name="_Toc15485"/>
      <w:r>
        <w:rPr>
          <w:rFonts w:hint="eastAsia" w:ascii="Times New Roman" w:hAnsi="Times New Roman" w:eastAsia="宋体....." w:cs="Times New Roman"/>
          <w:b/>
          <w:bCs/>
          <w:color w:val="auto"/>
          <w:kern w:val="2"/>
          <w:sz w:val="24"/>
          <w:szCs w:val="24"/>
          <w:highlight w:val="none"/>
          <w:lang w:val="en-US" w:eastAsia="zh-CN" w:bidi="ar-SA"/>
        </w:rPr>
        <w:t>附图18  项目周边永久农田、耕地、园地分布图</w:t>
      </w:r>
      <w:bookmarkEnd w:id="50"/>
      <w:bookmarkEnd w:id="51"/>
      <w:bookmarkEnd w:id="52"/>
      <w:bookmarkEnd w:id="53"/>
      <w:bookmarkEnd w:id="54"/>
      <w:bookmarkEnd w:id="116"/>
      <w:bookmarkEnd w:id="117"/>
      <w:bookmarkEnd w:id="118"/>
      <w:bookmarkEnd w:id="119"/>
      <w:bookmarkEnd w:id="120"/>
      <w:bookmarkEnd w:id="150"/>
    </w:p>
    <w:sectPr>
      <w:headerReference r:id="rId17" w:type="default"/>
      <w:footerReference r:id="rId18" w:type="default"/>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10022FF" w:usb1="C000E47F" w:usb2="00000029" w:usb3="00000000" w:csb0="200001DF" w:csb1="2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2FBA5">
    <w:pPr>
      <w:pStyle w:val="33"/>
      <w:framePr w:wrap="around" w:vAnchor="text" w:hAnchor="margin" w:xAlign="outside" w:y="1"/>
      <w:rPr>
        <w:rStyle w:val="48"/>
        <w:rFonts w:ascii="宋体" w:hAnsi="宋体"/>
        <w:sz w:val="28"/>
        <w:szCs w:val="28"/>
      </w:rPr>
    </w:pPr>
    <w:r>
      <w:rPr>
        <w:rStyle w:val="48"/>
        <w:rFonts w:hint="eastAsia" w:ascii="宋体" w:hAnsi="宋体"/>
        <w:sz w:val="28"/>
        <w:szCs w:val="28"/>
      </w:rPr>
      <w:t>—</w:t>
    </w:r>
    <w:r>
      <w:rPr>
        <w:rStyle w:val="48"/>
        <w:rFonts w:hint="eastAsia" w:ascii="宋体" w:hAnsi="宋体"/>
        <w:sz w:val="20"/>
      </w:rPr>
      <w:t xml:space="preserve">  </w:t>
    </w:r>
    <w:r>
      <w:rPr>
        <w:rFonts w:ascii="宋体" w:hAnsi="宋体"/>
        <w:sz w:val="26"/>
        <w:szCs w:val="26"/>
      </w:rPr>
      <w:fldChar w:fldCharType="begin"/>
    </w:r>
    <w:r>
      <w:rPr>
        <w:rStyle w:val="48"/>
        <w:rFonts w:ascii="宋体" w:hAnsi="宋体"/>
        <w:sz w:val="26"/>
        <w:szCs w:val="26"/>
      </w:rPr>
      <w:instrText xml:space="preserve">PAGE  </w:instrText>
    </w:r>
    <w:r>
      <w:rPr>
        <w:rFonts w:ascii="宋体" w:hAnsi="宋体"/>
        <w:sz w:val="26"/>
        <w:szCs w:val="26"/>
      </w:rPr>
      <w:fldChar w:fldCharType="separate"/>
    </w:r>
    <w:r>
      <w:rPr>
        <w:rStyle w:val="48"/>
        <w:rFonts w:ascii="宋体" w:hAnsi="宋体"/>
        <w:sz w:val="26"/>
        <w:szCs w:val="26"/>
      </w:rPr>
      <w:t>4</w:t>
    </w:r>
    <w:r>
      <w:rPr>
        <w:rFonts w:ascii="宋体" w:hAnsi="宋体"/>
        <w:sz w:val="26"/>
        <w:szCs w:val="26"/>
      </w:rPr>
      <w:fldChar w:fldCharType="end"/>
    </w:r>
    <w:r>
      <w:rPr>
        <w:rStyle w:val="48"/>
        <w:rFonts w:hint="eastAsia" w:ascii="宋体" w:hAnsi="宋体"/>
        <w:sz w:val="20"/>
      </w:rPr>
      <w:t xml:space="preserve">  </w:t>
    </w:r>
    <w:r>
      <w:rPr>
        <w:rStyle w:val="48"/>
        <w:rFonts w:hint="eastAsia" w:ascii="宋体" w:hAnsi="宋体"/>
        <w:sz w:val="28"/>
        <w:szCs w:val="28"/>
      </w:rPr>
      <w:t>—</w:t>
    </w:r>
  </w:p>
  <w:p w14:paraId="539EDB09">
    <w:pPr>
      <w:pStyle w:val="33"/>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60B41">
    <w:pPr>
      <w:pStyle w:val="33"/>
      <w:framePr w:wrap="around" w:vAnchor="text" w:hAnchor="margin" w:xAlign="center" w:y="1"/>
      <w:rPr>
        <w:rStyle w:val="48"/>
      </w:rPr>
    </w:pPr>
    <w:r>
      <w:fldChar w:fldCharType="begin"/>
    </w:r>
    <w:r>
      <w:rPr>
        <w:rStyle w:val="48"/>
      </w:rPr>
      <w:instrText xml:space="preserve">PAGE  </w:instrText>
    </w:r>
    <w:r>
      <w:fldChar w:fldCharType="end"/>
    </w:r>
  </w:p>
  <w:p w14:paraId="3FC37D5B">
    <w:pPr>
      <w:pStyle w:val="3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B0994">
    <w:pPr>
      <w:pStyle w:val="3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61E63">
    <w:pPr>
      <w:pStyle w:val="33"/>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2A7AD">
    <w:pPr>
      <w:pStyle w:val="33"/>
      <w:framePr w:wrap="around" w:vAnchor="text" w:hAnchor="margin" w:xAlign="center" w:y="1"/>
      <w:rPr>
        <w:rStyle w:val="48"/>
      </w:rPr>
    </w:pPr>
    <w:r>
      <w:fldChar w:fldCharType="begin"/>
    </w:r>
    <w:r>
      <w:rPr>
        <w:rStyle w:val="48"/>
      </w:rPr>
      <w:instrText xml:space="preserve">PAGE  </w:instrText>
    </w:r>
    <w:r>
      <w:fldChar w:fldCharType="end"/>
    </w:r>
  </w:p>
  <w:p w14:paraId="42BE60E2">
    <w:pPr>
      <w:pStyle w:val="33"/>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93127">
    <w:pPr>
      <w:pStyle w:val="33"/>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9" name="文本框 20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CFB8CD">
                          <w:pPr>
                            <w:pStyle w:val="33"/>
                            <w:rPr>
                              <w:rStyle w:val="48"/>
                              <w:rFonts w:ascii="宋体" w:hAnsi="宋体"/>
                              <w:sz w:val="28"/>
                              <w:szCs w:val="28"/>
                            </w:rPr>
                          </w:pPr>
                          <w:r>
                            <w:rPr>
                              <w:rStyle w:val="48"/>
                              <w:rFonts w:hint="eastAsia" w:ascii="宋体" w:hAnsi="宋体"/>
                              <w:sz w:val="28"/>
                              <w:szCs w:val="28"/>
                            </w:rPr>
                            <w:t>—</w:t>
                          </w:r>
                          <w:r>
                            <w:rPr>
                              <w:rStyle w:val="48"/>
                              <w:rFonts w:hint="eastAsia" w:ascii="宋体" w:hAnsi="宋体"/>
                              <w:sz w:val="20"/>
                            </w:rPr>
                            <w:t xml:space="preserve">  </w:t>
                          </w:r>
                          <w:r>
                            <w:rPr>
                              <w:rFonts w:ascii="宋体" w:hAnsi="宋体"/>
                              <w:sz w:val="26"/>
                              <w:szCs w:val="26"/>
                            </w:rPr>
                            <w:fldChar w:fldCharType="begin"/>
                          </w:r>
                          <w:r>
                            <w:rPr>
                              <w:rStyle w:val="48"/>
                              <w:rFonts w:ascii="宋体" w:hAnsi="宋体"/>
                              <w:sz w:val="26"/>
                              <w:szCs w:val="26"/>
                            </w:rPr>
                            <w:instrText xml:space="preserve">PAGE  </w:instrText>
                          </w:r>
                          <w:r>
                            <w:rPr>
                              <w:rFonts w:ascii="宋体" w:hAnsi="宋体"/>
                              <w:sz w:val="26"/>
                              <w:szCs w:val="26"/>
                            </w:rPr>
                            <w:fldChar w:fldCharType="separate"/>
                          </w:r>
                          <w:r>
                            <w:rPr>
                              <w:rStyle w:val="48"/>
                              <w:rFonts w:ascii="宋体" w:hAnsi="宋体"/>
                              <w:sz w:val="26"/>
                              <w:szCs w:val="26"/>
                            </w:rPr>
                            <w:t>9</w:t>
                          </w:r>
                          <w:r>
                            <w:rPr>
                              <w:rFonts w:ascii="宋体" w:hAnsi="宋体"/>
                              <w:sz w:val="26"/>
                              <w:szCs w:val="26"/>
                            </w:rPr>
                            <w:fldChar w:fldCharType="end"/>
                          </w:r>
                          <w:r>
                            <w:rPr>
                              <w:rStyle w:val="48"/>
                              <w:rFonts w:hint="eastAsia" w:ascii="宋体" w:hAnsi="宋体"/>
                              <w:sz w:val="20"/>
                            </w:rPr>
                            <w:t xml:space="preserve">  </w:t>
                          </w:r>
                          <w:r>
                            <w:rPr>
                              <w:rStyle w:val="48"/>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205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QQ7by4QEAAMMDAAAOAAAA&#10;AAAAAAEAIAAAAB4BAABkcnMvZTJvRG9jLnhtbFBLBQYAAAAABgAGAFkBAABxBQAAAAA=&#10;">
              <v:fill on="f" focussize="0,0"/>
              <v:stroke on="f"/>
              <v:imagedata o:title=""/>
              <o:lock v:ext="edit" aspectratio="f"/>
              <v:textbox inset="0mm,0mm,0mm,0mm" style="mso-fit-shape-to-text:t;">
                <w:txbxContent>
                  <w:p w14:paraId="37CFB8CD">
                    <w:pPr>
                      <w:pStyle w:val="33"/>
                      <w:rPr>
                        <w:rStyle w:val="48"/>
                        <w:rFonts w:ascii="宋体" w:hAnsi="宋体"/>
                        <w:sz w:val="28"/>
                        <w:szCs w:val="28"/>
                      </w:rPr>
                    </w:pPr>
                    <w:r>
                      <w:rPr>
                        <w:rStyle w:val="48"/>
                        <w:rFonts w:hint="eastAsia" w:ascii="宋体" w:hAnsi="宋体"/>
                        <w:sz w:val="28"/>
                        <w:szCs w:val="28"/>
                      </w:rPr>
                      <w:t>—</w:t>
                    </w:r>
                    <w:r>
                      <w:rPr>
                        <w:rStyle w:val="48"/>
                        <w:rFonts w:hint="eastAsia" w:ascii="宋体" w:hAnsi="宋体"/>
                        <w:sz w:val="20"/>
                      </w:rPr>
                      <w:t xml:space="preserve">  </w:t>
                    </w:r>
                    <w:r>
                      <w:rPr>
                        <w:rFonts w:ascii="宋体" w:hAnsi="宋体"/>
                        <w:sz w:val="26"/>
                        <w:szCs w:val="26"/>
                      </w:rPr>
                      <w:fldChar w:fldCharType="begin"/>
                    </w:r>
                    <w:r>
                      <w:rPr>
                        <w:rStyle w:val="48"/>
                        <w:rFonts w:ascii="宋体" w:hAnsi="宋体"/>
                        <w:sz w:val="26"/>
                        <w:szCs w:val="26"/>
                      </w:rPr>
                      <w:instrText xml:space="preserve">PAGE  </w:instrText>
                    </w:r>
                    <w:r>
                      <w:rPr>
                        <w:rFonts w:ascii="宋体" w:hAnsi="宋体"/>
                        <w:sz w:val="26"/>
                        <w:szCs w:val="26"/>
                      </w:rPr>
                      <w:fldChar w:fldCharType="separate"/>
                    </w:r>
                    <w:r>
                      <w:rPr>
                        <w:rStyle w:val="48"/>
                        <w:rFonts w:ascii="宋体" w:hAnsi="宋体"/>
                        <w:sz w:val="26"/>
                        <w:szCs w:val="26"/>
                      </w:rPr>
                      <w:t>9</w:t>
                    </w:r>
                    <w:r>
                      <w:rPr>
                        <w:rFonts w:ascii="宋体" w:hAnsi="宋体"/>
                        <w:sz w:val="26"/>
                        <w:szCs w:val="26"/>
                      </w:rPr>
                      <w:fldChar w:fldCharType="end"/>
                    </w:r>
                    <w:r>
                      <w:rPr>
                        <w:rStyle w:val="48"/>
                        <w:rFonts w:hint="eastAsia" w:ascii="宋体" w:hAnsi="宋体"/>
                        <w:sz w:val="20"/>
                      </w:rPr>
                      <w:t xml:space="preserve">  </w:t>
                    </w:r>
                    <w:r>
                      <w:rPr>
                        <w:rStyle w:val="48"/>
                        <w:rFonts w:hint="eastAsia" w:ascii="宋体" w:hAnsi="宋体"/>
                        <w:sz w:val="28"/>
                        <w:szCs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B2A6A">
    <w:pPr>
      <w:pStyle w:val="33"/>
      <w:ind w:right="360"/>
      <w:jc w:val="both"/>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3"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EA3ABA">
                          <w:pPr>
                            <w:pStyle w:val="33"/>
                            <w:rPr>
                              <w:rStyle w:val="48"/>
                              <w:rFonts w:ascii="宋体" w:hAnsi="宋体"/>
                              <w:sz w:val="28"/>
                              <w:szCs w:val="28"/>
                            </w:rPr>
                          </w:pPr>
                          <w:r>
                            <w:rPr>
                              <w:rStyle w:val="48"/>
                              <w:rFonts w:hint="eastAsia" w:ascii="宋体" w:hAnsi="宋体"/>
                              <w:sz w:val="28"/>
                              <w:szCs w:val="28"/>
                            </w:rPr>
                            <w:t>—</w:t>
                          </w:r>
                          <w:r>
                            <w:rPr>
                              <w:rStyle w:val="48"/>
                              <w:rFonts w:hint="eastAsia" w:ascii="宋体" w:hAnsi="宋体"/>
                              <w:sz w:val="20"/>
                            </w:rPr>
                            <w:t xml:space="preserve">  </w:t>
                          </w:r>
                          <w:r>
                            <w:rPr>
                              <w:rFonts w:ascii="宋体" w:hAnsi="宋体"/>
                              <w:sz w:val="26"/>
                              <w:szCs w:val="26"/>
                            </w:rPr>
                            <w:fldChar w:fldCharType="begin"/>
                          </w:r>
                          <w:r>
                            <w:rPr>
                              <w:rStyle w:val="48"/>
                              <w:rFonts w:ascii="宋体" w:hAnsi="宋体"/>
                              <w:sz w:val="26"/>
                              <w:szCs w:val="26"/>
                            </w:rPr>
                            <w:instrText xml:space="preserve">PAGE  </w:instrText>
                          </w:r>
                          <w:r>
                            <w:rPr>
                              <w:rFonts w:ascii="宋体" w:hAnsi="宋体"/>
                              <w:sz w:val="26"/>
                              <w:szCs w:val="26"/>
                            </w:rPr>
                            <w:fldChar w:fldCharType="separate"/>
                          </w:r>
                          <w:r>
                            <w:rPr>
                              <w:rStyle w:val="48"/>
                              <w:rFonts w:ascii="宋体" w:hAnsi="宋体"/>
                              <w:sz w:val="26"/>
                              <w:szCs w:val="26"/>
                            </w:rPr>
                            <w:t>11</w:t>
                          </w:r>
                          <w:r>
                            <w:rPr>
                              <w:rFonts w:ascii="宋体" w:hAnsi="宋体"/>
                              <w:sz w:val="26"/>
                              <w:szCs w:val="26"/>
                            </w:rPr>
                            <w:fldChar w:fldCharType="end"/>
                          </w:r>
                          <w:r>
                            <w:rPr>
                              <w:rStyle w:val="48"/>
                              <w:rFonts w:hint="eastAsia" w:ascii="宋体" w:hAnsi="宋体"/>
                              <w:sz w:val="20"/>
                            </w:rPr>
                            <w:t xml:space="preserve">  </w:t>
                          </w:r>
                          <w:r>
                            <w:rPr>
                              <w:rStyle w:val="48"/>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KCjkIvgAQAAwwMAAA4AAAAA&#10;AAAAAQAgAAAAHgEAAGRycy9lMm9Eb2MueG1sUEsFBgAAAAAGAAYAWQEAAHAFAAAAAA==&#10;">
              <v:fill on="f" focussize="0,0"/>
              <v:stroke on="f"/>
              <v:imagedata o:title=""/>
              <o:lock v:ext="edit" aspectratio="f"/>
              <v:textbox inset="0mm,0mm,0mm,0mm" style="mso-fit-shape-to-text:t;">
                <w:txbxContent>
                  <w:p w14:paraId="32EA3ABA">
                    <w:pPr>
                      <w:pStyle w:val="33"/>
                      <w:rPr>
                        <w:rStyle w:val="48"/>
                        <w:rFonts w:ascii="宋体" w:hAnsi="宋体"/>
                        <w:sz w:val="28"/>
                        <w:szCs w:val="28"/>
                      </w:rPr>
                    </w:pPr>
                    <w:r>
                      <w:rPr>
                        <w:rStyle w:val="48"/>
                        <w:rFonts w:hint="eastAsia" w:ascii="宋体" w:hAnsi="宋体"/>
                        <w:sz w:val="28"/>
                        <w:szCs w:val="28"/>
                      </w:rPr>
                      <w:t>—</w:t>
                    </w:r>
                    <w:r>
                      <w:rPr>
                        <w:rStyle w:val="48"/>
                        <w:rFonts w:hint="eastAsia" w:ascii="宋体" w:hAnsi="宋体"/>
                        <w:sz w:val="20"/>
                      </w:rPr>
                      <w:t xml:space="preserve">  </w:t>
                    </w:r>
                    <w:r>
                      <w:rPr>
                        <w:rFonts w:ascii="宋体" w:hAnsi="宋体"/>
                        <w:sz w:val="26"/>
                        <w:szCs w:val="26"/>
                      </w:rPr>
                      <w:fldChar w:fldCharType="begin"/>
                    </w:r>
                    <w:r>
                      <w:rPr>
                        <w:rStyle w:val="48"/>
                        <w:rFonts w:ascii="宋体" w:hAnsi="宋体"/>
                        <w:sz w:val="26"/>
                        <w:szCs w:val="26"/>
                      </w:rPr>
                      <w:instrText xml:space="preserve">PAGE  </w:instrText>
                    </w:r>
                    <w:r>
                      <w:rPr>
                        <w:rFonts w:ascii="宋体" w:hAnsi="宋体"/>
                        <w:sz w:val="26"/>
                        <w:szCs w:val="26"/>
                      </w:rPr>
                      <w:fldChar w:fldCharType="separate"/>
                    </w:r>
                    <w:r>
                      <w:rPr>
                        <w:rStyle w:val="48"/>
                        <w:rFonts w:ascii="宋体" w:hAnsi="宋体"/>
                        <w:sz w:val="26"/>
                        <w:szCs w:val="26"/>
                      </w:rPr>
                      <w:t>11</w:t>
                    </w:r>
                    <w:r>
                      <w:rPr>
                        <w:rFonts w:ascii="宋体" w:hAnsi="宋体"/>
                        <w:sz w:val="26"/>
                        <w:szCs w:val="26"/>
                      </w:rPr>
                      <w:fldChar w:fldCharType="end"/>
                    </w:r>
                    <w:r>
                      <w:rPr>
                        <w:rStyle w:val="48"/>
                        <w:rFonts w:hint="eastAsia" w:ascii="宋体" w:hAnsi="宋体"/>
                        <w:sz w:val="20"/>
                      </w:rPr>
                      <w:t xml:space="preserve">  </w:t>
                    </w:r>
                    <w:r>
                      <w:rPr>
                        <w:rStyle w:val="48"/>
                        <w:rFonts w:hint="eastAsia" w:ascii="宋体" w:hAnsi="宋体"/>
                        <w:sz w:val="28"/>
                        <w:szCs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F53F9">
    <w:pPr>
      <w:widowControl w:val="0"/>
      <w:tabs>
        <w:tab w:val="center" w:pos="4153"/>
        <w:tab w:val="right" w:pos="8306"/>
      </w:tabs>
      <w:snapToGrid w:val="0"/>
      <w:ind w:right="360" w:firstLine="360"/>
      <w:jc w:val="center"/>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1" name="文本框 20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D9B5E7">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2064"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tlNlOIBAADDAwAADgAA&#10;AAAAAAABACAAAAAeAQAAZHJzL2Uyb0RvYy54bWxQSwUGAAAAAAYABgBZAQAAcgUAAAAA&#10;">
              <v:fill on="f" focussize="0,0"/>
              <v:stroke on="f"/>
              <v:imagedata o:title=""/>
              <o:lock v:ext="edit" aspectratio="f"/>
              <v:textbox inset="0mm,0mm,0mm,0mm" style="mso-fit-shape-to-text:t;">
                <w:txbxContent>
                  <w:p w14:paraId="5DD9B5E7">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300C">
    <w:pPr>
      <w:pStyle w:val="33"/>
      <w:ind w:right="360"/>
      <w:jc w:val="both"/>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6"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02DCE">
                          <w:pPr>
                            <w:pStyle w:val="33"/>
                            <w:rPr>
                              <w:rStyle w:val="48"/>
                              <w:rFonts w:ascii="宋体" w:hAnsi="宋体"/>
                              <w:sz w:val="28"/>
                              <w:szCs w:val="28"/>
                            </w:rPr>
                          </w:pPr>
                          <w:r>
                            <w:rPr>
                              <w:rStyle w:val="48"/>
                              <w:rFonts w:hint="eastAsia" w:ascii="宋体" w:hAnsi="宋体"/>
                              <w:sz w:val="28"/>
                              <w:szCs w:val="28"/>
                            </w:rPr>
                            <w:t>—</w:t>
                          </w:r>
                          <w:r>
                            <w:rPr>
                              <w:rStyle w:val="48"/>
                              <w:rFonts w:hint="eastAsia" w:ascii="宋体" w:hAnsi="宋体"/>
                              <w:sz w:val="20"/>
                            </w:rPr>
                            <w:t xml:space="preserve">  </w:t>
                          </w:r>
                          <w:r>
                            <w:rPr>
                              <w:rFonts w:ascii="宋体" w:hAnsi="宋体"/>
                              <w:sz w:val="26"/>
                              <w:szCs w:val="26"/>
                            </w:rPr>
                            <w:fldChar w:fldCharType="begin"/>
                          </w:r>
                          <w:r>
                            <w:rPr>
                              <w:rStyle w:val="48"/>
                              <w:rFonts w:ascii="宋体" w:hAnsi="宋体"/>
                              <w:sz w:val="26"/>
                              <w:szCs w:val="26"/>
                            </w:rPr>
                            <w:instrText xml:space="preserve">PAGE  </w:instrText>
                          </w:r>
                          <w:r>
                            <w:rPr>
                              <w:rFonts w:ascii="宋体" w:hAnsi="宋体"/>
                              <w:sz w:val="26"/>
                              <w:szCs w:val="26"/>
                            </w:rPr>
                            <w:fldChar w:fldCharType="separate"/>
                          </w:r>
                          <w:r>
                            <w:rPr>
                              <w:rStyle w:val="48"/>
                              <w:rFonts w:ascii="宋体" w:hAnsi="宋体"/>
                              <w:sz w:val="26"/>
                              <w:szCs w:val="26"/>
                            </w:rPr>
                            <w:t>11</w:t>
                          </w:r>
                          <w:r>
                            <w:rPr>
                              <w:rFonts w:ascii="宋体" w:hAnsi="宋体"/>
                              <w:sz w:val="26"/>
                              <w:szCs w:val="26"/>
                            </w:rPr>
                            <w:fldChar w:fldCharType="end"/>
                          </w:r>
                          <w:r>
                            <w:rPr>
                              <w:rStyle w:val="48"/>
                              <w:rFonts w:hint="eastAsia" w:ascii="宋体" w:hAnsi="宋体"/>
                              <w:sz w:val="20"/>
                            </w:rPr>
                            <w:t xml:space="preserve">  </w:t>
                          </w:r>
                          <w:r>
                            <w:rPr>
                              <w:rStyle w:val="48"/>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mucw84QEAAMMDAAAOAAAA&#10;AAAAAAEAIAAAAB4BAABkcnMvZTJvRG9jLnhtbFBLBQYAAAAABgAGAFkBAABxBQAAAAA=&#10;">
              <v:fill on="f" focussize="0,0"/>
              <v:stroke on="f"/>
              <v:imagedata o:title=""/>
              <o:lock v:ext="edit" aspectratio="f"/>
              <v:textbox inset="0mm,0mm,0mm,0mm" style="mso-fit-shape-to-text:t;">
                <w:txbxContent>
                  <w:p w14:paraId="4D202DCE">
                    <w:pPr>
                      <w:pStyle w:val="33"/>
                      <w:rPr>
                        <w:rStyle w:val="48"/>
                        <w:rFonts w:ascii="宋体" w:hAnsi="宋体"/>
                        <w:sz w:val="28"/>
                        <w:szCs w:val="28"/>
                      </w:rPr>
                    </w:pPr>
                    <w:r>
                      <w:rPr>
                        <w:rStyle w:val="48"/>
                        <w:rFonts w:hint="eastAsia" w:ascii="宋体" w:hAnsi="宋体"/>
                        <w:sz w:val="28"/>
                        <w:szCs w:val="28"/>
                      </w:rPr>
                      <w:t>—</w:t>
                    </w:r>
                    <w:r>
                      <w:rPr>
                        <w:rStyle w:val="48"/>
                        <w:rFonts w:hint="eastAsia" w:ascii="宋体" w:hAnsi="宋体"/>
                        <w:sz w:val="20"/>
                      </w:rPr>
                      <w:t xml:space="preserve">  </w:t>
                    </w:r>
                    <w:r>
                      <w:rPr>
                        <w:rFonts w:ascii="宋体" w:hAnsi="宋体"/>
                        <w:sz w:val="26"/>
                        <w:szCs w:val="26"/>
                      </w:rPr>
                      <w:fldChar w:fldCharType="begin"/>
                    </w:r>
                    <w:r>
                      <w:rPr>
                        <w:rStyle w:val="48"/>
                        <w:rFonts w:ascii="宋体" w:hAnsi="宋体"/>
                        <w:sz w:val="26"/>
                        <w:szCs w:val="26"/>
                      </w:rPr>
                      <w:instrText xml:space="preserve">PAGE  </w:instrText>
                    </w:r>
                    <w:r>
                      <w:rPr>
                        <w:rFonts w:ascii="宋体" w:hAnsi="宋体"/>
                        <w:sz w:val="26"/>
                        <w:szCs w:val="26"/>
                      </w:rPr>
                      <w:fldChar w:fldCharType="separate"/>
                    </w:r>
                    <w:r>
                      <w:rPr>
                        <w:rStyle w:val="48"/>
                        <w:rFonts w:ascii="宋体" w:hAnsi="宋体"/>
                        <w:sz w:val="26"/>
                        <w:szCs w:val="26"/>
                      </w:rPr>
                      <w:t>11</w:t>
                    </w:r>
                    <w:r>
                      <w:rPr>
                        <w:rFonts w:ascii="宋体" w:hAnsi="宋体"/>
                        <w:sz w:val="26"/>
                        <w:szCs w:val="26"/>
                      </w:rPr>
                      <w:fldChar w:fldCharType="end"/>
                    </w:r>
                    <w:r>
                      <w:rPr>
                        <w:rStyle w:val="48"/>
                        <w:rFonts w:hint="eastAsia" w:ascii="宋体" w:hAnsi="宋体"/>
                        <w:sz w:val="20"/>
                      </w:rPr>
                      <w:t xml:space="preserve">  </w:t>
                    </w:r>
                    <w:r>
                      <w:rPr>
                        <w:rStyle w:val="48"/>
                        <w:rFonts w:hint="eastAsia" w:ascii="宋体" w:hAnsi="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23809">
    <w:pPr>
      <w:pStyle w:val="3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8BE26">
    <w:pPr>
      <w:pStyle w:val="3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8C947">
    <w:pPr>
      <w:pStyle w:val="3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5782F">
    <w:pPr>
      <w:pStyle w:val="3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4A51D">
    <w:pPr>
      <w:pStyle w:val="3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3DA46">
    <w:pPr>
      <w:pStyle w:val="34"/>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1022A">
    <w:pPr>
      <w:pStyle w:val="3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00E9B5"/>
    <w:multiLevelType w:val="singleLevel"/>
    <w:tmpl w:val="BB00E9B5"/>
    <w:lvl w:ilvl="0" w:tentative="0">
      <w:start w:val="1"/>
      <w:numFmt w:val="decimal"/>
      <w:pStyle w:val="151"/>
      <w:suff w:val="space"/>
      <w:lvlText w:val="表2-%1"/>
      <w:lvlJc w:val="center"/>
      <w:pPr>
        <w:tabs>
          <w:tab w:val="left" w:pos="0"/>
        </w:tabs>
        <w:ind w:left="0" w:firstLine="0"/>
      </w:pPr>
      <w:rPr>
        <w:rFonts w:hint="default" w:ascii="Times New Roman" w:hAnsi="Times New Roman"/>
        <w:b/>
        <w:bCs/>
        <w:snapToGrid w:val="0"/>
        <w:color w:val="000000"/>
        <w:sz w:val="21"/>
        <w:szCs w:val="21"/>
      </w:rPr>
    </w:lvl>
  </w:abstractNum>
  <w:abstractNum w:abstractNumId="1">
    <w:nsid w:val="D0FA49B2"/>
    <w:multiLevelType w:val="multilevel"/>
    <w:tmpl w:val="D0FA49B2"/>
    <w:lvl w:ilvl="0" w:tentative="0">
      <w:start w:val="1"/>
      <w:numFmt w:val="decimal"/>
      <w:pStyle w:val="153"/>
      <w:suff w:val="space"/>
      <w:lvlText w:val="%1."/>
      <w:lvlJc w:val="left"/>
      <w:pPr>
        <w:tabs>
          <w:tab w:val="left" w:pos="0"/>
        </w:tabs>
        <w:ind w:left="0" w:firstLine="482"/>
      </w:pPr>
      <w:rPr>
        <w:rFonts w:hint="default"/>
        <w:b/>
        <w:bCs/>
        <w:color w:val="000000"/>
        <w:sz w:val="24"/>
        <w:szCs w:val="24"/>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E6BFA822"/>
    <w:multiLevelType w:val="singleLevel"/>
    <w:tmpl w:val="E6BFA822"/>
    <w:lvl w:ilvl="0" w:tentative="0">
      <w:start w:val="1"/>
      <w:numFmt w:val="decimal"/>
      <w:suff w:val="space"/>
      <w:lvlText w:val="图2-%1"/>
      <w:lvlJc w:val="left"/>
      <w:pPr>
        <w:tabs>
          <w:tab w:val="left" w:pos="420"/>
        </w:tabs>
        <w:ind w:left="0" w:firstLine="0"/>
      </w:pPr>
      <w:rPr>
        <w:rFonts w:hint="default"/>
        <w:b/>
        <w:sz w:val="21"/>
        <w:szCs w:val="21"/>
      </w:rPr>
    </w:lvl>
  </w:abstractNum>
  <w:abstractNum w:abstractNumId="3">
    <w:nsid w:val="F24B7D65"/>
    <w:multiLevelType w:val="singleLevel"/>
    <w:tmpl w:val="F24B7D65"/>
    <w:lvl w:ilvl="0" w:tentative="0">
      <w:start w:val="1"/>
      <w:numFmt w:val="decimal"/>
      <w:suff w:val="space"/>
      <w:lvlText w:val="表3-%1"/>
      <w:lvlJc w:val="center"/>
      <w:pPr>
        <w:tabs>
          <w:tab w:val="left" w:pos="0"/>
        </w:tabs>
        <w:ind w:left="0" w:firstLine="40"/>
      </w:pPr>
      <w:rPr>
        <w:rFonts w:hint="default" w:ascii="Times New Roman" w:hAnsi="Times New Roman" w:cs="Times New Roman"/>
        <w:b/>
        <w:color w:val="000000"/>
        <w:sz w:val="21"/>
        <w:szCs w:val="21"/>
      </w:rPr>
    </w:lvl>
  </w:abstractNum>
  <w:abstractNum w:abstractNumId="4">
    <w:nsid w:val="FEF7C76B"/>
    <w:multiLevelType w:val="singleLevel"/>
    <w:tmpl w:val="FEF7C76B"/>
    <w:lvl w:ilvl="0" w:tentative="0">
      <w:start w:val="1"/>
      <w:numFmt w:val="decimal"/>
      <w:lvlText w:val="%1."/>
      <w:lvlJc w:val="left"/>
      <w:pPr>
        <w:ind w:left="425" w:hanging="425"/>
      </w:pPr>
      <w:rPr>
        <w:rFonts w:hint="default"/>
      </w:rPr>
    </w:lvl>
  </w:abstractNum>
  <w:abstractNum w:abstractNumId="5">
    <w:nsid w:val="FEFB23CF"/>
    <w:multiLevelType w:val="singleLevel"/>
    <w:tmpl w:val="FEFB23CF"/>
    <w:lvl w:ilvl="0" w:tentative="0">
      <w:start w:val="1"/>
      <w:numFmt w:val="decimal"/>
      <w:suff w:val="space"/>
      <w:lvlText w:val="表2-%1"/>
      <w:lvlJc w:val="center"/>
      <w:pPr>
        <w:tabs>
          <w:tab w:val="left" w:pos="0"/>
        </w:tabs>
        <w:ind w:left="0" w:firstLine="40"/>
      </w:pPr>
      <w:rPr>
        <w:rFonts w:hint="default" w:ascii="Times New Roman" w:hAnsi="Times New Roman" w:cs="Times New Roman"/>
        <w:b/>
        <w:color w:val="000000"/>
        <w:sz w:val="21"/>
        <w:szCs w:val="21"/>
      </w:rPr>
    </w:lvl>
  </w:abstractNum>
  <w:abstractNum w:abstractNumId="6">
    <w:nsid w:val="00000002"/>
    <w:multiLevelType w:val="multilevel"/>
    <w:tmpl w:val="00000002"/>
    <w:lvl w:ilvl="0" w:tentative="0">
      <w:start w:val="1"/>
      <w:numFmt w:val="bullet"/>
      <w:lvlText w:val=""/>
      <w:lvlJc w:val="left"/>
      <w:pPr>
        <w:tabs>
          <w:tab w:val="left" w:pos="780"/>
        </w:tabs>
        <w:ind w:left="840" w:hanging="36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0000000C"/>
    <w:multiLevelType w:val="singleLevel"/>
    <w:tmpl w:val="0000000C"/>
    <w:lvl w:ilvl="0" w:tentative="0">
      <w:start w:val="1"/>
      <w:numFmt w:val="chineseCounting"/>
      <w:pStyle w:val="176"/>
      <w:suff w:val="nothing"/>
      <w:lvlText w:val="（%1）"/>
      <w:lvlJc w:val="left"/>
      <w:pPr>
        <w:ind w:left="0" w:firstLine="420"/>
      </w:pPr>
      <w:rPr>
        <w:rFonts w:hint="eastAsia"/>
      </w:rPr>
    </w:lvl>
  </w:abstractNum>
  <w:abstractNum w:abstractNumId="8">
    <w:nsid w:val="182F78F9"/>
    <w:multiLevelType w:val="singleLevel"/>
    <w:tmpl w:val="182F78F9"/>
    <w:lvl w:ilvl="0" w:tentative="0">
      <w:start w:val="1"/>
      <w:numFmt w:val="bullet"/>
      <w:pStyle w:val="23"/>
      <w:lvlText w:val=""/>
      <w:lvlJc w:val="left"/>
      <w:pPr>
        <w:tabs>
          <w:tab w:val="left" w:pos="2040"/>
        </w:tabs>
        <w:ind w:left="2040" w:hanging="360"/>
      </w:pPr>
      <w:rPr>
        <w:rFonts w:hint="default" w:ascii="Wingdings" w:hAnsi="Wingdings"/>
      </w:rPr>
    </w:lvl>
  </w:abstractNum>
  <w:abstractNum w:abstractNumId="9">
    <w:nsid w:val="21130950"/>
    <w:multiLevelType w:val="multilevel"/>
    <w:tmpl w:val="21130950"/>
    <w:lvl w:ilvl="0" w:tentative="0">
      <w:start w:val="1"/>
      <w:numFmt w:val="decimal"/>
      <w:lvlText w:val="%1."/>
      <w:lvlJc w:val="left"/>
      <w:pPr>
        <w:ind w:left="567" w:hanging="425"/>
      </w:pPr>
    </w:lvl>
    <w:lvl w:ilvl="1" w:tentative="0">
      <w:start w:val="1"/>
      <w:numFmt w:val="decimal"/>
      <w:pStyle w:val="54"/>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rPr>
        <w:i w:val="0"/>
      </w:r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0">
    <w:nsid w:val="3744670F"/>
    <w:multiLevelType w:val="multilevel"/>
    <w:tmpl w:val="3744670F"/>
    <w:lvl w:ilvl="0" w:tentative="0">
      <w:start w:val="1"/>
      <w:numFmt w:val="decimal"/>
      <w:lvlText w:val="%1"/>
      <w:lvlJc w:val="left"/>
      <w:pPr>
        <w:ind w:left="432" w:hanging="432"/>
      </w:pPr>
      <w:rPr>
        <w:rFonts w:hint="eastAsia"/>
      </w:rPr>
    </w:lvl>
    <w:lvl w:ilvl="1" w:tentative="0">
      <w:start w:val="1"/>
      <w:numFmt w:val="none"/>
      <w:suff w:val="nothing"/>
      <w:lvlText w:val=""/>
      <w:lvlJc w:val="left"/>
      <w:pPr>
        <w:tabs>
          <w:tab w:val="left" w:pos="0"/>
        </w:tabs>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2" w:firstLine="0"/>
      </w:pPr>
      <w:rPr>
        <w:rFonts w:hint="eastAsia" w:ascii="宋体" w:hAnsi="宋体" w:eastAsia="宋体" w:cs="宋体"/>
        <w:b/>
        <w:bCs/>
        <w:sz w:val="24"/>
        <w:szCs w:val="24"/>
      </w:rPr>
    </w:lvl>
    <w:lvl w:ilvl="3" w:tentative="0">
      <w:start w:val="1"/>
      <w:numFmt w:val="decimal"/>
      <w:suff w:val="nothing"/>
      <w:lvlText w:val="%4、"/>
      <w:lvlJc w:val="left"/>
      <w:pPr>
        <w:tabs>
          <w:tab w:val="left" w:pos="0"/>
        </w:tabs>
        <w:ind w:left="-96" w:hanging="864"/>
      </w:pPr>
      <w:rPr>
        <w:rFonts w:hint="eastAsia" w:ascii="Times New Roman" w:hAnsi="Times New Roman" w:eastAsia="宋体" w:cs="宋体"/>
        <w:b/>
        <w:bCs/>
        <w:sz w:val="24"/>
        <w:szCs w:val="24"/>
      </w:rPr>
    </w:lvl>
    <w:lvl w:ilvl="4" w:tentative="0">
      <w:start w:val="1"/>
      <w:numFmt w:val="decimal"/>
      <w:pStyle w:val="11"/>
      <w:suff w:val="nothing"/>
      <w:lvlText w:val="（%5）"/>
      <w:lvlJc w:val="left"/>
      <w:pPr>
        <w:tabs>
          <w:tab w:val="left" w:pos="0"/>
        </w:tabs>
        <w:ind w:left="-960" w:firstLine="0"/>
      </w:pPr>
      <w:rPr>
        <w:rFonts w:hint="eastAsia" w:ascii="Times New Roman" w:hAnsi="Times New Roman" w:eastAsia="宋体" w:cs="宋体"/>
      </w:rPr>
    </w:lvl>
    <w:lvl w:ilvl="5" w:tentative="0">
      <w:start w:val="1"/>
      <w:numFmt w:val="decimalEnclosedCircleChinese"/>
      <w:pStyle w:val="12"/>
      <w:suff w:val="nothing"/>
      <w:lvlText w:val="%6"/>
      <w:lvlJc w:val="left"/>
      <w:pPr>
        <w:tabs>
          <w:tab w:val="left" w:pos="0"/>
        </w:tabs>
        <w:ind w:left="0" w:firstLine="0"/>
      </w:pPr>
      <w:rPr>
        <w:rFonts w:hint="eastAsia" w:ascii="宋体" w:hAnsi="宋体" w:eastAsia="宋体" w:cs="宋体"/>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1">
    <w:nsid w:val="41862CA9"/>
    <w:multiLevelType w:val="multilevel"/>
    <w:tmpl w:val="41862CA9"/>
    <w:lvl w:ilvl="0" w:tentative="0">
      <w:start w:val="1"/>
      <w:numFmt w:val="decimal"/>
      <w:suff w:val="space"/>
      <w:lvlText w:val="%1"/>
      <w:lvlJc w:val="left"/>
      <w:pPr>
        <w:ind w:left="0" w:firstLine="0"/>
      </w:pPr>
      <w:rPr>
        <w:rFonts w:hint="eastAsia"/>
        <w:sz w:val="30"/>
        <w:szCs w:val="30"/>
      </w:rPr>
    </w:lvl>
    <w:lvl w:ilvl="1" w:tentative="0">
      <w:start w:val="1"/>
      <w:numFmt w:val="decimal"/>
      <w:pStyle w:val="75"/>
      <w:suff w:val="space"/>
      <w:lvlText w:val="%1.%2"/>
      <w:lvlJc w:val="left"/>
      <w:pPr>
        <w:ind w:left="1560" w:firstLine="0"/>
      </w:pPr>
      <w:rPr>
        <w:rFonts w:hint="default" w:ascii="Arial" w:hAnsi="Arial"/>
      </w:rPr>
    </w:lvl>
    <w:lvl w:ilvl="2" w:tentative="0">
      <w:start w:val="1"/>
      <w:numFmt w:val="decimal"/>
      <w:suff w:val="space"/>
      <w:lvlText w:val="%1.%2.%3"/>
      <w:lvlJc w:val="left"/>
      <w:pPr>
        <w:ind w:left="994" w:hanging="426"/>
      </w:pPr>
      <w:rPr>
        <w:rFonts w:hint="default" w:ascii="Arial" w:hAnsi="Arial"/>
      </w:rPr>
    </w:lvl>
    <w:lvl w:ilvl="3" w:tentative="0">
      <w:start w:val="1"/>
      <w:numFmt w:val="decimal"/>
      <w:suff w:val="nothing"/>
      <w:lvlText w:val="%1.%2.%3.%4"/>
      <w:lvlJc w:val="left"/>
      <w:pPr>
        <w:ind w:left="851" w:hanging="851"/>
      </w:pPr>
      <w:rPr>
        <w:rFonts w:hint="eastAsia" w:ascii="Arial" w:hAnsi="Arial"/>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4A3CC985"/>
    <w:multiLevelType w:val="singleLevel"/>
    <w:tmpl w:val="4A3CC985"/>
    <w:lvl w:ilvl="0" w:tentative="0">
      <w:start w:val="1"/>
      <w:numFmt w:val="decimal"/>
      <w:suff w:val="nothing"/>
      <w:lvlText w:val="%1、"/>
      <w:lvlJc w:val="left"/>
    </w:lvl>
  </w:abstractNum>
  <w:abstractNum w:abstractNumId="13">
    <w:nsid w:val="68BC5020"/>
    <w:multiLevelType w:val="singleLevel"/>
    <w:tmpl w:val="68BC5020"/>
    <w:lvl w:ilvl="0" w:tentative="0">
      <w:start w:val="3"/>
      <w:numFmt w:val="chineseCounting"/>
      <w:suff w:val="nothing"/>
      <w:lvlText w:val="%1、"/>
      <w:lvlJc w:val="left"/>
      <w:rPr>
        <w:rFonts w:hint="eastAsia"/>
      </w:rPr>
    </w:lvl>
  </w:abstractNum>
  <w:abstractNum w:abstractNumId="14">
    <w:nsid w:val="6FCC5E05"/>
    <w:multiLevelType w:val="singleLevel"/>
    <w:tmpl w:val="6FCC5E05"/>
    <w:lvl w:ilvl="0" w:tentative="0">
      <w:start w:val="6"/>
      <w:numFmt w:val="decimal"/>
      <w:suff w:val="nothing"/>
      <w:lvlText w:val="%1、"/>
      <w:lvlJc w:val="left"/>
    </w:lvl>
  </w:abstractNum>
  <w:abstractNum w:abstractNumId="15">
    <w:nsid w:val="72B149C0"/>
    <w:multiLevelType w:val="singleLevel"/>
    <w:tmpl w:val="72B149C0"/>
    <w:lvl w:ilvl="0" w:tentative="0">
      <w:start w:val="1"/>
      <w:numFmt w:val="bullet"/>
      <w:pStyle w:val="25"/>
      <w:lvlText w:val=""/>
      <w:lvlJc w:val="left"/>
      <w:pPr>
        <w:tabs>
          <w:tab w:val="left" w:pos="780"/>
        </w:tabs>
        <w:ind w:left="780" w:hanging="360"/>
      </w:pPr>
      <w:rPr>
        <w:rFonts w:hint="default" w:ascii="Wingdings" w:hAnsi="Wingdings"/>
      </w:rPr>
    </w:lvl>
  </w:abstractNum>
  <w:abstractNum w:abstractNumId="16">
    <w:nsid w:val="7E84E819"/>
    <w:multiLevelType w:val="singleLevel"/>
    <w:tmpl w:val="7E84E819"/>
    <w:lvl w:ilvl="0" w:tentative="0">
      <w:start w:val="1"/>
      <w:numFmt w:val="decimal"/>
      <w:pStyle w:val="155"/>
      <w:suff w:val="space"/>
      <w:lvlText w:val="表1-%1"/>
      <w:lvlJc w:val="center"/>
      <w:pPr>
        <w:tabs>
          <w:tab w:val="left" w:pos="0"/>
        </w:tabs>
        <w:ind w:left="0" w:firstLine="0"/>
      </w:pPr>
      <w:rPr>
        <w:rFonts w:hint="default" w:ascii="Times New Roman" w:hAnsi="Times New Roman"/>
        <w:b/>
        <w:bCs/>
        <w:sz w:val="21"/>
        <w:szCs w:val="21"/>
      </w:rPr>
    </w:lvl>
  </w:abstractNum>
  <w:num w:numId="1">
    <w:abstractNumId w:val="10"/>
  </w:num>
  <w:num w:numId="2">
    <w:abstractNumId w:val="8"/>
  </w:num>
  <w:num w:numId="3">
    <w:abstractNumId w:val="15"/>
  </w:num>
  <w:num w:numId="4">
    <w:abstractNumId w:val="9"/>
  </w:num>
  <w:num w:numId="5">
    <w:abstractNumId w:val="11"/>
  </w:num>
  <w:num w:numId="6">
    <w:abstractNumId w:val="0"/>
  </w:num>
  <w:num w:numId="7">
    <w:abstractNumId w:val="1"/>
  </w:num>
  <w:num w:numId="8">
    <w:abstractNumId w:val="16"/>
  </w:num>
  <w:num w:numId="9">
    <w:abstractNumId w:val="7"/>
  </w:num>
  <w:num w:numId="10">
    <w:abstractNumId w:val="5"/>
  </w:num>
  <w:num w:numId="11">
    <w:abstractNumId w:val="2"/>
  </w:num>
  <w:num w:numId="12">
    <w:abstractNumId w:val="12"/>
  </w:num>
  <w:num w:numId="13">
    <w:abstractNumId w:val="13"/>
  </w:num>
  <w:num w:numId="14">
    <w:abstractNumId w:val="3"/>
  </w:num>
  <w:num w:numId="15">
    <w:abstractNumId w:val="4"/>
  </w:num>
  <w:num w:numId="16">
    <w:abstractNumId w:val="1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zZmVlNzJjYTlkNDJmNTU5YjllMGJmOTE3YjBlZjkifQ=="/>
  </w:docVars>
  <w:rsids>
    <w:rsidRoot w:val="00172A27"/>
    <w:rsid w:val="000060B3"/>
    <w:rsid w:val="00015F24"/>
    <w:rsid w:val="0004364B"/>
    <w:rsid w:val="00061B1F"/>
    <w:rsid w:val="00062D88"/>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1F6F"/>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1AF3"/>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4E1D"/>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2862"/>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4795"/>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22DA5"/>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3BB5"/>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C4924"/>
    <w:rsid w:val="00AD055E"/>
    <w:rsid w:val="00AD47A7"/>
    <w:rsid w:val="00AF0CBF"/>
    <w:rsid w:val="00AF257F"/>
    <w:rsid w:val="00AF33CF"/>
    <w:rsid w:val="00AF4D50"/>
    <w:rsid w:val="00AF6179"/>
    <w:rsid w:val="00B1295A"/>
    <w:rsid w:val="00B20A45"/>
    <w:rsid w:val="00B22C5C"/>
    <w:rsid w:val="00B24F30"/>
    <w:rsid w:val="00B31ABF"/>
    <w:rsid w:val="00B33BE3"/>
    <w:rsid w:val="00B356EC"/>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056B"/>
    <w:rsid w:val="00CF0C49"/>
    <w:rsid w:val="00CF36BE"/>
    <w:rsid w:val="00CF6000"/>
    <w:rsid w:val="00D003F3"/>
    <w:rsid w:val="00D0364F"/>
    <w:rsid w:val="00D06834"/>
    <w:rsid w:val="00D118B6"/>
    <w:rsid w:val="00D308ED"/>
    <w:rsid w:val="00D36D86"/>
    <w:rsid w:val="00D428AA"/>
    <w:rsid w:val="00D50A34"/>
    <w:rsid w:val="00D53EFA"/>
    <w:rsid w:val="00D94A7C"/>
    <w:rsid w:val="00D95896"/>
    <w:rsid w:val="00DA7A42"/>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23D"/>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1BAF"/>
    <w:rsid w:val="00F465A7"/>
    <w:rsid w:val="00F50B7C"/>
    <w:rsid w:val="00F550E6"/>
    <w:rsid w:val="00F62C86"/>
    <w:rsid w:val="00F74345"/>
    <w:rsid w:val="00F80A0A"/>
    <w:rsid w:val="00F82B19"/>
    <w:rsid w:val="00F9212D"/>
    <w:rsid w:val="00F965DA"/>
    <w:rsid w:val="00FA406A"/>
    <w:rsid w:val="00FB503A"/>
    <w:rsid w:val="00FB516C"/>
    <w:rsid w:val="00FD0236"/>
    <w:rsid w:val="00FD18F4"/>
    <w:rsid w:val="00FD54DB"/>
    <w:rsid w:val="00FD619F"/>
    <w:rsid w:val="010E282D"/>
    <w:rsid w:val="01290F7E"/>
    <w:rsid w:val="012F2BCE"/>
    <w:rsid w:val="013C3EE0"/>
    <w:rsid w:val="0143304E"/>
    <w:rsid w:val="015C24E4"/>
    <w:rsid w:val="015D1E09"/>
    <w:rsid w:val="01826A17"/>
    <w:rsid w:val="01A5507F"/>
    <w:rsid w:val="01D76954"/>
    <w:rsid w:val="01FD42EF"/>
    <w:rsid w:val="021310DD"/>
    <w:rsid w:val="024504DC"/>
    <w:rsid w:val="02495331"/>
    <w:rsid w:val="024C58EB"/>
    <w:rsid w:val="02662932"/>
    <w:rsid w:val="026954E1"/>
    <w:rsid w:val="02697903"/>
    <w:rsid w:val="028F1F9B"/>
    <w:rsid w:val="02A827E4"/>
    <w:rsid w:val="02C90E2C"/>
    <w:rsid w:val="02E133A0"/>
    <w:rsid w:val="02E13FA3"/>
    <w:rsid w:val="02F96569"/>
    <w:rsid w:val="03093B72"/>
    <w:rsid w:val="031225E8"/>
    <w:rsid w:val="03B45AF7"/>
    <w:rsid w:val="03C1058A"/>
    <w:rsid w:val="03C3052E"/>
    <w:rsid w:val="03D31F2C"/>
    <w:rsid w:val="03D659E0"/>
    <w:rsid w:val="03DE67E9"/>
    <w:rsid w:val="03EA7B21"/>
    <w:rsid w:val="04100812"/>
    <w:rsid w:val="042457FA"/>
    <w:rsid w:val="042B6695"/>
    <w:rsid w:val="043D4E77"/>
    <w:rsid w:val="0458524B"/>
    <w:rsid w:val="04645A2A"/>
    <w:rsid w:val="04684689"/>
    <w:rsid w:val="046B0E24"/>
    <w:rsid w:val="0471784D"/>
    <w:rsid w:val="048A42E4"/>
    <w:rsid w:val="04A566F5"/>
    <w:rsid w:val="04A616D1"/>
    <w:rsid w:val="04FF3EDA"/>
    <w:rsid w:val="051152CB"/>
    <w:rsid w:val="052D4876"/>
    <w:rsid w:val="053100FA"/>
    <w:rsid w:val="05346253"/>
    <w:rsid w:val="05381717"/>
    <w:rsid w:val="05832D5D"/>
    <w:rsid w:val="05A21C1D"/>
    <w:rsid w:val="05BC1F51"/>
    <w:rsid w:val="05F83EAE"/>
    <w:rsid w:val="0626774E"/>
    <w:rsid w:val="06290260"/>
    <w:rsid w:val="063D6CE4"/>
    <w:rsid w:val="063E747F"/>
    <w:rsid w:val="063E7D85"/>
    <w:rsid w:val="064E336B"/>
    <w:rsid w:val="06A25139"/>
    <w:rsid w:val="06B13B75"/>
    <w:rsid w:val="06B815B4"/>
    <w:rsid w:val="06FE1CD1"/>
    <w:rsid w:val="07030262"/>
    <w:rsid w:val="07246C5B"/>
    <w:rsid w:val="07287718"/>
    <w:rsid w:val="07293586"/>
    <w:rsid w:val="07295285"/>
    <w:rsid w:val="073B6226"/>
    <w:rsid w:val="074C5CD1"/>
    <w:rsid w:val="075A24D5"/>
    <w:rsid w:val="076052AE"/>
    <w:rsid w:val="07636392"/>
    <w:rsid w:val="07770C56"/>
    <w:rsid w:val="077A03A9"/>
    <w:rsid w:val="07CE3EF1"/>
    <w:rsid w:val="07E26EB5"/>
    <w:rsid w:val="08286217"/>
    <w:rsid w:val="08406CE4"/>
    <w:rsid w:val="088975F8"/>
    <w:rsid w:val="08952A3E"/>
    <w:rsid w:val="08BF668D"/>
    <w:rsid w:val="08C53B8B"/>
    <w:rsid w:val="08DF02AB"/>
    <w:rsid w:val="08EF455C"/>
    <w:rsid w:val="08FC5245"/>
    <w:rsid w:val="092217DD"/>
    <w:rsid w:val="093A7294"/>
    <w:rsid w:val="093B46D7"/>
    <w:rsid w:val="097E3F67"/>
    <w:rsid w:val="0999523A"/>
    <w:rsid w:val="099B7362"/>
    <w:rsid w:val="09A62AE3"/>
    <w:rsid w:val="09AE4E7D"/>
    <w:rsid w:val="09D7718C"/>
    <w:rsid w:val="09E41D8F"/>
    <w:rsid w:val="0A032F95"/>
    <w:rsid w:val="0A0452A0"/>
    <w:rsid w:val="0A263993"/>
    <w:rsid w:val="0A2D3AC2"/>
    <w:rsid w:val="0A4B4B56"/>
    <w:rsid w:val="0A4E5F88"/>
    <w:rsid w:val="0A766000"/>
    <w:rsid w:val="0A7C54CF"/>
    <w:rsid w:val="0AA755DF"/>
    <w:rsid w:val="0AB063A2"/>
    <w:rsid w:val="0AB1211B"/>
    <w:rsid w:val="0AB33B33"/>
    <w:rsid w:val="0AB71F6C"/>
    <w:rsid w:val="0AFF2E86"/>
    <w:rsid w:val="0B016F76"/>
    <w:rsid w:val="0B120D44"/>
    <w:rsid w:val="0B373B8A"/>
    <w:rsid w:val="0B485107"/>
    <w:rsid w:val="0B807305"/>
    <w:rsid w:val="0BCD6AE0"/>
    <w:rsid w:val="0BD27BF6"/>
    <w:rsid w:val="0BD33036"/>
    <w:rsid w:val="0BDC4C37"/>
    <w:rsid w:val="0C0F534B"/>
    <w:rsid w:val="0C1C64A4"/>
    <w:rsid w:val="0C28767C"/>
    <w:rsid w:val="0C321AAD"/>
    <w:rsid w:val="0C3B3C7D"/>
    <w:rsid w:val="0C403416"/>
    <w:rsid w:val="0C611030"/>
    <w:rsid w:val="0C6805B7"/>
    <w:rsid w:val="0C7E5C63"/>
    <w:rsid w:val="0C995D04"/>
    <w:rsid w:val="0CAB2EAE"/>
    <w:rsid w:val="0CEE4692"/>
    <w:rsid w:val="0D615A36"/>
    <w:rsid w:val="0D621C7D"/>
    <w:rsid w:val="0D87739C"/>
    <w:rsid w:val="0DE2585D"/>
    <w:rsid w:val="0E1409F6"/>
    <w:rsid w:val="0E292F33"/>
    <w:rsid w:val="0E437AF6"/>
    <w:rsid w:val="0E4A60A8"/>
    <w:rsid w:val="0E66770C"/>
    <w:rsid w:val="0E73034D"/>
    <w:rsid w:val="0E865617"/>
    <w:rsid w:val="0EBC6B76"/>
    <w:rsid w:val="0ED711EA"/>
    <w:rsid w:val="0EDC33A7"/>
    <w:rsid w:val="0EF03DA3"/>
    <w:rsid w:val="0EF845D3"/>
    <w:rsid w:val="0F01750C"/>
    <w:rsid w:val="0F13775A"/>
    <w:rsid w:val="0F406C7B"/>
    <w:rsid w:val="0F5F45FE"/>
    <w:rsid w:val="0F6962EB"/>
    <w:rsid w:val="0F77518B"/>
    <w:rsid w:val="0F985B8A"/>
    <w:rsid w:val="0F9A112B"/>
    <w:rsid w:val="0FA658B5"/>
    <w:rsid w:val="0FC37863"/>
    <w:rsid w:val="0FDA631B"/>
    <w:rsid w:val="0FE30A88"/>
    <w:rsid w:val="0FF02D9D"/>
    <w:rsid w:val="100D0C7D"/>
    <w:rsid w:val="100F55B2"/>
    <w:rsid w:val="10125409"/>
    <w:rsid w:val="102D2656"/>
    <w:rsid w:val="10342716"/>
    <w:rsid w:val="103F65FA"/>
    <w:rsid w:val="104135F9"/>
    <w:rsid w:val="105F7620"/>
    <w:rsid w:val="106D2F64"/>
    <w:rsid w:val="107A48B4"/>
    <w:rsid w:val="108C1EAE"/>
    <w:rsid w:val="10A3136B"/>
    <w:rsid w:val="10B63710"/>
    <w:rsid w:val="10B668B4"/>
    <w:rsid w:val="10BC5350"/>
    <w:rsid w:val="10D51DC8"/>
    <w:rsid w:val="10F10820"/>
    <w:rsid w:val="111C2F7A"/>
    <w:rsid w:val="115454EC"/>
    <w:rsid w:val="11665CA1"/>
    <w:rsid w:val="119106B1"/>
    <w:rsid w:val="11D37059"/>
    <w:rsid w:val="12145BB7"/>
    <w:rsid w:val="12582B82"/>
    <w:rsid w:val="12690C99"/>
    <w:rsid w:val="126A686B"/>
    <w:rsid w:val="128B38F7"/>
    <w:rsid w:val="12941337"/>
    <w:rsid w:val="12AA5411"/>
    <w:rsid w:val="12E54299"/>
    <w:rsid w:val="13044ACE"/>
    <w:rsid w:val="13723DD9"/>
    <w:rsid w:val="13942FBD"/>
    <w:rsid w:val="13951726"/>
    <w:rsid w:val="139E2E9A"/>
    <w:rsid w:val="13B22958"/>
    <w:rsid w:val="13B917ED"/>
    <w:rsid w:val="13BF7B47"/>
    <w:rsid w:val="13C61FA0"/>
    <w:rsid w:val="13F675E8"/>
    <w:rsid w:val="14396509"/>
    <w:rsid w:val="145E6C55"/>
    <w:rsid w:val="14654EC6"/>
    <w:rsid w:val="148E3F39"/>
    <w:rsid w:val="14B13EB5"/>
    <w:rsid w:val="14CD3440"/>
    <w:rsid w:val="14DD2C3C"/>
    <w:rsid w:val="14E344DD"/>
    <w:rsid w:val="14EA0703"/>
    <w:rsid w:val="14EB54BF"/>
    <w:rsid w:val="14F03B81"/>
    <w:rsid w:val="14F14BB4"/>
    <w:rsid w:val="14F52E34"/>
    <w:rsid w:val="151D2886"/>
    <w:rsid w:val="152301B3"/>
    <w:rsid w:val="152F47A0"/>
    <w:rsid w:val="1530127D"/>
    <w:rsid w:val="153A08D8"/>
    <w:rsid w:val="1544030E"/>
    <w:rsid w:val="15556386"/>
    <w:rsid w:val="156224F4"/>
    <w:rsid w:val="15733171"/>
    <w:rsid w:val="158F4AE5"/>
    <w:rsid w:val="16087E1D"/>
    <w:rsid w:val="16106088"/>
    <w:rsid w:val="1618554D"/>
    <w:rsid w:val="161F2542"/>
    <w:rsid w:val="162F484F"/>
    <w:rsid w:val="16442095"/>
    <w:rsid w:val="167209B0"/>
    <w:rsid w:val="16780594"/>
    <w:rsid w:val="16782FC5"/>
    <w:rsid w:val="16795EA2"/>
    <w:rsid w:val="16C53B97"/>
    <w:rsid w:val="16EA752C"/>
    <w:rsid w:val="172F3BED"/>
    <w:rsid w:val="1730153F"/>
    <w:rsid w:val="17373D95"/>
    <w:rsid w:val="17626F2A"/>
    <w:rsid w:val="176B7B12"/>
    <w:rsid w:val="17701D14"/>
    <w:rsid w:val="17735226"/>
    <w:rsid w:val="17A53503"/>
    <w:rsid w:val="17B60666"/>
    <w:rsid w:val="17D57A03"/>
    <w:rsid w:val="185536F8"/>
    <w:rsid w:val="18585984"/>
    <w:rsid w:val="1861478C"/>
    <w:rsid w:val="18621B8D"/>
    <w:rsid w:val="188E7321"/>
    <w:rsid w:val="189F624C"/>
    <w:rsid w:val="18BB060B"/>
    <w:rsid w:val="18D86AC4"/>
    <w:rsid w:val="18E17362"/>
    <w:rsid w:val="18F644D4"/>
    <w:rsid w:val="19080183"/>
    <w:rsid w:val="19184990"/>
    <w:rsid w:val="192E76C3"/>
    <w:rsid w:val="193E05E4"/>
    <w:rsid w:val="19401A14"/>
    <w:rsid w:val="19427951"/>
    <w:rsid w:val="194556FE"/>
    <w:rsid w:val="19875E05"/>
    <w:rsid w:val="198B4A9E"/>
    <w:rsid w:val="199B523C"/>
    <w:rsid w:val="19C06BAC"/>
    <w:rsid w:val="19DE69E9"/>
    <w:rsid w:val="19E94311"/>
    <w:rsid w:val="19E94C67"/>
    <w:rsid w:val="1A1C66C0"/>
    <w:rsid w:val="1A2202E0"/>
    <w:rsid w:val="1A330877"/>
    <w:rsid w:val="1A42393B"/>
    <w:rsid w:val="1A4A5904"/>
    <w:rsid w:val="1A5F042B"/>
    <w:rsid w:val="1A624F25"/>
    <w:rsid w:val="1A656377"/>
    <w:rsid w:val="1A7E034D"/>
    <w:rsid w:val="1A986D4C"/>
    <w:rsid w:val="1AAD45DE"/>
    <w:rsid w:val="1AE43424"/>
    <w:rsid w:val="1AEF6A73"/>
    <w:rsid w:val="1AF53B83"/>
    <w:rsid w:val="1B046F80"/>
    <w:rsid w:val="1B0857DC"/>
    <w:rsid w:val="1B2C3FF7"/>
    <w:rsid w:val="1B3267B5"/>
    <w:rsid w:val="1B40161D"/>
    <w:rsid w:val="1B441859"/>
    <w:rsid w:val="1B6606B1"/>
    <w:rsid w:val="1B690D73"/>
    <w:rsid w:val="1B7B1C3C"/>
    <w:rsid w:val="1BC47CCB"/>
    <w:rsid w:val="1BDA75F9"/>
    <w:rsid w:val="1BE72E68"/>
    <w:rsid w:val="1BEC0880"/>
    <w:rsid w:val="1BEF5F30"/>
    <w:rsid w:val="1C027920"/>
    <w:rsid w:val="1C4632E2"/>
    <w:rsid w:val="1C566DC7"/>
    <w:rsid w:val="1C5E7925"/>
    <w:rsid w:val="1C8D6979"/>
    <w:rsid w:val="1C9A0BEA"/>
    <w:rsid w:val="1CA375F1"/>
    <w:rsid w:val="1CD82B58"/>
    <w:rsid w:val="1CD946A4"/>
    <w:rsid w:val="1CFD070F"/>
    <w:rsid w:val="1D037397"/>
    <w:rsid w:val="1D0B1216"/>
    <w:rsid w:val="1D0D78B0"/>
    <w:rsid w:val="1D21334F"/>
    <w:rsid w:val="1D4046FD"/>
    <w:rsid w:val="1D457206"/>
    <w:rsid w:val="1D545355"/>
    <w:rsid w:val="1D5F6196"/>
    <w:rsid w:val="1D6132A5"/>
    <w:rsid w:val="1D8E56D5"/>
    <w:rsid w:val="1D9820F3"/>
    <w:rsid w:val="1DC641CC"/>
    <w:rsid w:val="1DCD7D29"/>
    <w:rsid w:val="1DE06A54"/>
    <w:rsid w:val="1DEC729A"/>
    <w:rsid w:val="1DF123C2"/>
    <w:rsid w:val="1E05035C"/>
    <w:rsid w:val="1E06692E"/>
    <w:rsid w:val="1E1D4DC9"/>
    <w:rsid w:val="1E396257"/>
    <w:rsid w:val="1E42327C"/>
    <w:rsid w:val="1E7A43DA"/>
    <w:rsid w:val="1E867ABE"/>
    <w:rsid w:val="1E905D9E"/>
    <w:rsid w:val="1EBF33C3"/>
    <w:rsid w:val="1EEC32CA"/>
    <w:rsid w:val="1EF22E97"/>
    <w:rsid w:val="1EFA47BB"/>
    <w:rsid w:val="1F2D1B19"/>
    <w:rsid w:val="1F2F76D0"/>
    <w:rsid w:val="1F631D71"/>
    <w:rsid w:val="1FA701E0"/>
    <w:rsid w:val="1FA73C89"/>
    <w:rsid w:val="1FAB4566"/>
    <w:rsid w:val="1FE710E3"/>
    <w:rsid w:val="1FE7539E"/>
    <w:rsid w:val="200E6B42"/>
    <w:rsid w:val="201C1BF4"/>
    <w:rsid w:val="2020101D"/>
    <w:rsid w:val="20307CD4"/>
    <w:rsid w:val="204646AF"/>
    <w:rsid w:val="205E4ED2"/>
    <w:rsid w:val="20671BE0"/>
    <w:rsid w:val="207329B3"/>
    <w:rsid w:val="20963CB8"/>
    <w:rsid w:val="20A81A1B"/>
    <w:rsid w:val="20AE4CDA"/>
    <w:rsid w:val="20B07FB6"/>
    <w:rsid w:val="20B646FB"/>
    <w:rsid w:val="20B85A1A"/>
    <w:rsid w:val="20D10A26"/>
    <w:rsid w:val="211C6494"/>
    <w:rsid w:val="213B74B1"/>
    <w:rsid w:val="215869F4"/>
    <w:rsid w:val="215A2310"/>
    <w:rsid w:val="21696E53"/>
    <w:rsid w:val="21861F5B"/>
    <w:rsid w:val="21B7196D"/>
    <w:rsid w:val="21C262FE"/>
    <w:rsid w:val="21DA4292"/>
    <w:rsid w:val="21DC1CB5"/>
    <w:rsid w:val="21DC7625"/>
    <w:rsid w:val="21DE318A"/>
    <w:rsid w:val="21DE5ADD"/>
    <w:rsid w:val="21EF5B80"/>
    <w:rsid w:val="22034BB2"/>
    <w:rsid w:val="220A16FA"/>
    <w:rsid w:val="222334A6"/>
    <w:rsid w:val="222A1CBE"/>
    <w:rsid w:val="22576990"/>
    <w:rsid w:val="229073E5"/>
    <w:rsid w:val="22A10E8E"/>
    <w:rsid w:val="22AB486C"/>
    <w:rsid w:val="22F47480"/>
    <w:rsid w:val="2333430B"/>
    <w:rsid w:val="23445482"/>
    <w:rsid w:val="234E547A"/>
    <w:rsid w:val="23555288"/>
    <w:rsid w:val="235B15AA"/>
    <w:rsid w:val="23871539"/>
    <w:rsid w:val="239C21D7"/>
    <w:rsid w:val="23D81256"/>
    <w:rsid w:val="23DE1C48"/>
    <w:rsid w:val="240210CD"/>
    <w:rsid w:val="240C31EB"/>
    <w:rsid w:val="240D1D18"/>
    <w:rsid w:val="244912F3"/>
    <w:rsid w:val="24863878"/>
    <w:rsid w:val="248640D3"/>
    <w:rsid w:val="249A6912"/>
    <w:rsid w:val="249B49DE"/>
    <w:rsid w:val="24AD4D8B"/>
    <w:rsid w:val="24B53382"/>
    <w:rsid w:val="24BF09F7"/>
    <w:rsid w:val="24C06D8A"/>
    <w:rsid w:val="24C97D64"/>
    <w:rsid w:val="24F15196"/>
    <w:rsid w:val="25091C0A"/>
    <w:rsid w:val="252D53FE"/>
    <w:rsid w:val="255D7D6E"/>
    <w:rsid w:val="25764EA1"/>
    <w:rsid w:val="25C862AE"/>
    <w:rsid w:val="25C96113"/>
    <w:rsid w:val="25EC2D81"/>
    <w:rsid w:val="25F05208"/>
    <w:rsid w:val="25F34F3E"/>
    <w:rsid w:val="25F54EBE"/>
    <w:rsid w:val="260A5749"/>
    <w:rsid w:val="261E645E"/>
    <w:rsid w:val="26283CA1"/>
    <w:rsid w:val="262E4C80"/>
    <w:rsid w:val="26316819"/>
    <w:rsid w:val="263904EC"/>
    <w:rsid w:val="26597B80"/>
    <w:rsid w:val="266B754C"/>
    <w:rsid w:val="26735D96"/>
    <w:rsid w:val="26740622"/>
    <w:rsid w:val="268C220F"/>
    <w:rsid w:val="26DB285D"/>
    <w:rsid w:val="26F01DA0"/>
    <w:rsid w:val="27093701"/>
    <w:rsid w:val="27155308"/>
    <w:rsid w:val="27215588"/>
    <w:rsid w:val="27297642"/>
    <w:rsid w:val="277057A2"/>
    <w:rsid w:val="27795441"/>
    <w:rsid w:val="27806CA5"/>
    <w:rsid w:val="278C5610"/>
    <w:rsid w:val="279D1605"/>
    <w:rsid w:val="27BB1BE5"/>
    <w:rsid w:val="27E632BF"/>
    <w:rsid w:val="27EE7149"/>
    <w:rsid w:val="28037DA1"/>
    <w:rsid w:val="28190C8C"/>
    <w:rsid w:val="2829367C"/>
    <w:rsid w:val="2839170E"/>
    <w:rsid w:val="285C61FE"/>
    <w:rsid w:val="28662E60"/>
    <w:rsid w:val="28710FAC"/>
    <w:rsid w:val="287B3A41"/>
    <w:rsid w:val="2889601E"/>
    <w:rsid w:val="288E2C75"/>
    <w:rsid w:val="28A10C81"/>
    <w:rsid w:val="28C1610D"/>
    <w:rsid w:val="28C60EBC"/>
    <w:rsid w:val="28CA68F7"/>
    <w:rsid w:val="29155DEA"/>
    <w:rsid w:val="29206EB8"/>
    <w:rsid w:val="29295B76"/>
    <w:rsid w:val="292F2A2A"/>
    <w:rsid w:val="29595666"/>
    <w:rsid w:val="29874881"/>
    <w:rsid w:val="29D97874"/>
    <w:rsid w:val="29E325E0"/>
    <w:rsid w:val="2A02578E"/>
    <w:rsid w:val="2A213202"/>
    <w:rsid w:val="2A372E29"/>
    <w:rsid w:val="2A430D59"/>
    <w:rsid w:val="2A452503"/>
    <w:rsid w:val="2A493F43"/>
    <w:rsid w:val="2A635327"/>
    <w:rsid w:val="2A681057"/>
    <w:rsid w:val="2A687324"/>
    <w:rsid w:val="2A77260A"/>
    <w:rsid w:val="2AE8528D"/>
    <w:rsid w:val="2AF06EB1"/>
    <w:rsid w:val="2AFF05FC"/>
    <w:rsid w:val="2B150678"/>
    <w:rsid w:val="2B2B1652"/>
    <w:rsid w:val="2B2F45C1"/>
    <w:rsid w:val="2B3F7830"/>
    <w:rsid w:val="2B6C62CF"/>
    <w:rsid w:val="2B87489E"/>
    <w:rsid w:val="2B8E1990"/>
    <w:rsid w:val="2B965634"/>
    <w:rsid w:val="2BA10E59"/>
    <w:rsid w:val="2BA936A8"/>
    <w:rsid w:val="2BB708B3"/>
    <w:rsid w:val="2BCB38C2"/>
    <w:rsid w:val="2BCC7020"/>
    <w:rsid w:val="2BD011B6"/>
    <w:rsid w:val="2C0901E2"/>
    <w:rsid w:val="2C0C573C"/>
    <w:rsid w:val="2C167BD8"/>
    <w:rsid w:val="2C315A5A"/>
    <w:rsid w:val="2C4B1C25"/>
    <w:rsid w:val="2CBA4E13"/>
    <w:rsid w:val="2D071354"/>
    <w:rsid w:val="2D0E5D03"/>
    <w:rsid w:val="2D3704F4"/>
    <w:rsid w:val="2D3B18D9"/>
    <w:rsid w:val="2D3C366E"/>
    <w:rsid w:val="2D8931CE"/>
    <w:rsid w:val="2D8A262B"/>
    <w:rsid w:val="2D8A60D8"/>
    <w:rsid w:val="2D9E56F5"/>
    <w:rsid w:val="2DA059AB"/>
    <w:rsid w:val="2DA63097"/>
    <w:rsid w:val="2DB938BE"/>
    <w:rsid w:val="2DC80482"/>
    <w:rsid w:val="2DD00106"/>
    <w:rsid w:val="2DDA68AA"/>
    <w:rsid w:val="2DE177E6"/>
    <w:rsid w:val="2DF06446"/>
    <w:rsid w:val="2E1D6191"/>
    <w:rsid w:val="2E5E4BD8"/>
    <w:rsid w:val="2E641E62"/>
    <w:rsid w:val="2E667F96"/>
    <w:rsid w:val="2E8226AB"/>
    <w:rsid w:val="2EB55486"/>
    <w:rsid w:val="2EBF35AB"/>
    <w:rsid w:val="2EC1468C"/>
    <w:rsid w:val="2EED20CC"/>
    <w:rsid w:val="2EF94A17"/>
    <w:rsid w:val="2F183ED1"/>
    <w:rsid w:val="2F4A686A"/>
    <w:rsid w:val="2F536021"/>
    <w:rsid w:val="2F764C2A"/>
    <w:rsid w:val="2FB3260B"/>
    <w:rsid w:val="2FC43093"/>
    <w:rsid w:val="2FD065E6"/>
    <w:rsid w:val="2FD96870"/>
    <w:rsid w:val="2FE622EC"/>
    <w:rsid w:val="300041BD"/>
    <w:rsid w:val="30127E00"/>
    <w:rsid w:val="304F08EC"/>
    <w:rsid w:val="30580BC9"/>
    <w:rsid w:val="306D0356"/>
    <w:rsid w:val="308E41E1"/>
    <w:rsid w:val="30933F96"/>
    <w:rsid w:val="309B15B7"/>
    <w:rsid w:val="30A80D53"/>
    <w:rsid w:val="30AB09B1"/>
    <w:rsid w:val="30B237C6"/>
    <w:rsid w:val="30CB5C83"/>
    <w:rsid w:val="30D4399B"/>
    <w:rsid w:val="30E02529"/>
    <w:rsid w:val="30E62F81"/>
    <w:rsid w:val="30E82383"/>
    <w:rsid w:val="30FE0918"/>
    <w:rsid w:val="311E2ED7"/>
    <w:rsid w:val="314B586F"/>
    <w:rsid w:val="31531589"/>
    <w:rsid w:val="315317D6"/>
    <w:rsid w:val="315619EE"/>
    <w:rsid w:val="315C449C"/>
    <w:rsid w:val="315F59BF"/>
    <w:rsid w:val="31853836"/>
    <w:rsid w:val="31AF2660"/>
    <w:rsid w:val="31B82709"/>
    <w:rsid w:val="31D05482"/>
    <w:rsid w:val="31E20394"/>
    <w:rsid w:val="31E82B0E"/>
    <w:rsid w:val="32400B34"/>
    <w:rsid w:val="32555118"/>
    <w:rsid w:val="326666E5"/>
    <w:rsid w:val="326F3155"/>
    <w:rsid w:val="32792E2E"/>
    <w:rsid w:val="329E6876"/>
    <w:rsid w:val="32BE671E"/>
    <w:rsid w:val="32EE2D23"/>
    <w:rsid w:val="32F47928"/>
    <w:rsid w:val="330B1B18"/>
    <w:rsid w:val="333015F2"/>
    <w:rsid w:val="334B6320"/>
    <w:rsid w:val="336C10B9"/>
    <w:rsid w:val="3370723E"/>
    <w:rsid w:val="33811DDB"/>
    <w:rsid w:val="338B4409"/>
    <w:rsid w:val="339B395D"/>
    <w:rsid w:val="33CC7B26"/>
    <w:rsid w:val="33D934D4"/>
    <w:rsid w:val="33DA5CD0"/>
    <w:rsid w:val="33F141E5"/>
    <w:rsid w:val="33FE2F6A"/>
    <w:rsid w:val="340B583D"/>
    <w:rsid w:val="340E07E5"/>
    <w:rsid w:val="34235BF7"/>
    <w:rsid w:val="34272982"/>
    <w:rsid w:val="34380DF7"/>
    <w:rsid w:val="3455091B"/>
    <w:rsid w:val="346076D9"/>
    <w:rsid w:val="34627E5E"/>
    <w:rsid w:val="346317D1"/>
    <w:rsid w:val="34926A67"/>
    <w:rsid w:val="34BD0FDC"/>
    <w:rsid w:val="34BD1BF4"/>
    <w:rsid w:val="34C23C48"/>
    <w:rsid w:val="34FA6E97"/>
    <w:rsid w:val="34FB51FE"/>
    <w:rsid w:val="35021C1E"/>
    <w:rsid w:val="35260E8C"/>
    <w:rsid w:val="35453974"/>
    <w:rsid w:val="35826304"/>
    <w:rsid w:val="358C5FA8"/>
    <w:rsid w:val="35B13B56"/>
    <w:rsid w:val="35C15DF1"/>
    <w:rsid w:val="35D72186"/>
    <w:rsid w:val="35E535BB"/>
    <w:rsid w:val="35FE448A"/>
    <w:rsid w:val="360427B6"/>
    <w:rsid w:val="36074A7F"/>
    <w:rsid w:val="36097229"/>
    <w:rsid w:val="36122D62"/>
    <w:rsid w:val="362E2680"/>
    <w:rsid w:val="364C3093"/>
    <w:rsid w:val="36596225"/>
    <w:rsid w:val="366704A6"/>
    <w:rsid w:val="366A591B"/>
    <w:rsid w:val="36716265"/>
    <w:rsid w:val="3680640D"/>
    <w:rsid w:val="36923549"/>
    <w:rsid w:val="369F2B94"/>
    <w:rsid w:val="36B75FBF"/>
    <w:rsid w:val="36B97010"/>
    <w:rsid w:val="36BB6F25"/>
    <w:rsid w:val="36BD0C45"/>
    <w:rsid w:val="36C1275C"/>
    <w:rsid w:val="36C452CD"/>
    <w:rsid w:val="36C54789"/>
    <w:rsid w:val="36DC1A44"/>
    <w:rsid w:val="36E8505C"/>
    <w:rsid w:val="36E8532A"/>
    <w:rsid w:val="371B7C79"/>
    <w:rsid w:val="372C070C"/>
    <w:rsid w:val="373C61B6"/>
    <w:rsid w:val="377A42FB"/>
    <w:rsid w:val="378C394C"/>
    <w:rsid w:val="37901985"/>
    <w:rsid w:val="37A77C1E"/>
    <w:rsid w:val="37E00298"/>
    <w:rsid w:val="37E40DEE"/>
    <w:rsid w:val="37FE013A"/>
    <w:rsid w:val="38026503"/>
    <w:rsid w:val="38456A2B"/>
    <w:rsid w:val="385059E9"/>
    <w:rsid w:val="386B3C9C"/>
    <w:rsid w:val="38AA5AD3"/>
    <w:rsid w:val="38B302F9"/>
    <w:rsid w:val="38C84008"/>
    <w:rsid w:val="38F12CD3"/>
    <w:rsid w:val="38F94775"/>
    <w:rsid w:val="38FA3F39"/>
    <w:rsid w:val="39070FD4"/>
    <w:rsid w:val="39231B0D"/>
    <w:rsid w:val="392971ED"/>
    <w:rsid w:val="392C13B8"/>
    <w:rsid w:val="39325651"/>
    <w:rsid w:val="39372F3B"/>
    <w:rsid w:val="397A26B8"/>
    <w:rsid w:val="3980612A"/>
    <w:rsid w:val="398F4CC8"/>
    <w:rsid w:val="39AF0542"/>
    <w:rsid w:val="39CA781C"/>
    <w:rsid w:val="39D20A3E"/>
    <w:rsid w:val="39D27CE5"/>
    <w:rsid w:val="39D752A9"/>
    <w:rsid w:val="39E50268"/>
    <w:rsid w:val="39F43B3F"/>
    <w:rsid w:val="39F448CD"/>
    <w:rsid w:val="39F57062"/>
    <w:rsid w:val="3A102E61"/>
    <w:rsid w:val="3A144E00"/>
    <w:rsid w:val="3A2403C2"/>
    <w:rsid w:val="3A355612"/>
    <w:rsid w:val="3A455684"/>
    <w:rsid w:val="3A471605"/>
    <w:rsid w:val="3A562BEE"/>
    <w:rsid w:val="3A85457C"/>
    <w:rsid w:val="3A872856"/>
    <w:rsid w:val="3AFB6916"/>
    <w:rsid w:val="3AFD268F"/>
    <w:rsid w:val="3B0D106E"/>
    <w:rsid w:val="3B125945"/>
    <w:rsid w:val="3B2763BC"/>
    <w:rsid w:val="3B375B06"/>
    <w:rsid w:val="3B3763D1"/>
    <w:rsid w:val="3B6A4832"/>
    <w:rsid w:val="3B6B52D5"/>
    <w:rsid w:val="3B973A96"/>
    <w:rsid w:val="3BAE4FCF"/>
    <w:rsid w:val="3BDE0CCA"/>
    <w:rsid w:val="3BE92B6C"/>
    <w:rsid w:val="3C2F6E1E"/>
    <w:rsid w:val="3C465AC2"/>
    <w:rsid w:val="3C4B267E"/>
    <w:rsid w:val="3C4F64BA"/>
    <w:rsid w:val="3C500CC0"/>
    <w:rsid w:val="3C6D114E"/>
    <w:rsid w:val="3CDA245A"/>
    <w:rsid w:val="3D09665B"/>
    <w:rsid w:val="3D1E06B7"/>
    <w:rsid w:val="3D2D16A6"/>
    <w:rsid w:val="3D4C60A0"/>
    <w:rsid w:val="3D503063"/>
    <w:rsid w:val="3D6267D9"/>
    <w:rsid w:val="3D81198E"/>
    <w:rsid w:val="3D8336E7"/>
    <w:rsid w:val="3DA8376A"/>
    <w:rsid w:val="3DCF15FB"/>
    <w:rsid w:val="3E021D6A"/>
    <w:rsid w:val="3E4C209B"/>
    <w:rsid w:val="3E68075C"/>
    <w:rsid w:val="3E9712E1"/>
    <w:rsid w:val="3E973828"/>
    <w:rsid w:val="3EAB22D1"/>
    <w:rsid w:val="3EB900AE"/>
    <w:rsid w:val="3EBD6CF4"/>
    <w:rsid w:val="3EDA0523"/>
    <w:rsid w:val="3EE43BF5"/>
    <w:rsid w:val="3EFB4009"/>
    <w:rsid w:val="3F0457FF"/>
    <w:rsid w:val="3F270E18"/>
    <w:rsid w:val="3F320513"/>
    <w:rsid w:val="3F3E7867"/>
    <w:rsid w:val="3F4D19CF"/>
    <w:rsid w:val="3F52287D"/>
    <w:rsid w:val="3F553CA7"/>
    <w:rsid w:val="3F8D5BDC"/>
    <w:rsid w:val="3FB36639"/>
    <w:rsid w:val="3FBB30AB"/>
    <w:rsid w:val="3FC63AA8"/>
    <w:rsid w:val="3FF76118"/>
    <w:rsid w:val="3FF8217C"/>
    <w:rsid w:val="3FFF5C73"/>
    <w:rsid w:val="40266BAD"/>
    <w:rsid w:val="40314F04"/>
    <w:rsid w:val="40364A27"/>
    <w:rsid w:val="407A6407"/>
    <w:rsid w:val="40A67324"/>
    <w:rsid w:val="40F1696F"/>
    <w:rsid w:val="40F86189"/>
    <w:rsid w:val="411F4F79"/>
    <w:rsid w:val="412B49C8"/>
    <w:rsid w:val="41393870"/>
    <w:rsid w:val="415B1EBD"/>
    <w:rsid w:val="417062E3"/>
    <w:rsid w:val="41845925"/>
    <w:rsid w:val="41945B00"/>
    <w:rsid w:val="419C4BD2"/>
    <w:rsid w:val="41B84F3B"/>
    <w:rsid w:val="41BC4A42"/>
    <w:rsid w:val="41BF366A"/>
    <w:rsid w:val="41BF5A58"/>
    <w:rsid w:val="41CC6917"/>
    <w:rsid w:val="41D06876"/>
    <w:rsid w:val="4200449D"/>
    <w:rsid w:val="423A3BCC"/>
    <w:rsid w:val="424131CE"/>
    <w:rsid w:val="424E57D2"/>
    <w:rsid w:val="42542D56"/>
    <w:rsid w:val="42783849"/>
    <w:rsid w:val="427E684D"/>
    <w:rsid w:val="428537C5"/>
    <w:rsid w:val="42A65E2D"/>
    <w:rsid w:val="42B26C49"/>
    <w:rsid w:val="42BF300E"/>
    <w:rsid w:val="42D64ACA"/>
    <w:rsid w:val="42EF1F98"/>
    <w:rsid w:val="43246AFC"/>
    <w:rsid w:val="4336204F"/>
    <w:rsid w:val="433A6FE6"/>
    <w:rsid w:val="43480868"/>
    <w:rsid w:val="4350713C"/>
    <w:rsid w:val="4359067E"/>
    <w:rsid w:val="435E747C"/>
    <w:rsid w:val="436653E0"/>
    <w:rsid w:val="43C403B8"/>
    <w:rsid w:val="43C4431A"/>
    <w:rsid w:val="43CE722C"/>
    <w:rsid w:val="43D0018B"/>
    <w:rsid w:val="43D37ED0"/>
    <w:rsid w:val="43D677E2"/>
    <w:rsid w:val="43E21DE1"/>
    <w:rsid w:val="440365E2"/>
    <w:rsid w:val="441A7E0D"/>
    <w:rsid w:val="44224D6E"/>
    <w:rsid w:val="44564BBE"/>
    <w:rsid w:val="44615FCE"/>
    <w:rsid w:val="44815866"/>
    <w:rsid w:val="4492209A"/>
    <w:rsid w:val="44A818BD"/>
    <w:rsid w:val="44A84EAE"/>
    <w:rsid w:val="44B81FBC"/>
    <w:rsid w:val="44B951CC"/>
    <w:rsid w:val="44BA6822"/>
    <w:rsid w:val="44CD14E0"/>
    <w:rsid w:val="44F20B0B"/>
    <w:rsid w:val="45060BEE"/>
    <w:rsid w:val="4512194F"/>
    <w:rsid w:val="452E5F4C"/>
    <w:rsid w:val="45612018"/>
    <w:rsid w:val="458946E9"/>
    <w:rsid w:val="45A47C0E"/>
    <w:rsid w:val="45B55BBC"/>
    <w:rsid w:val="45DB5E74"/>
    <w:rsid w:val="460A7715"/>
    <w:rsid w:val="461A1F7C"/>
    <w:rsid w:val="46457516"/>
    <w:rsid w:val="46577FD6"/>
    <w:rsid w:val="465F0AEE"/>
    <w:rsid w:val="46BC74B1"/>
    <w:rsid w:val="46BE126E"/>
    <w:rsid w:val="46C121E9"/>
    <w:rsid w:val="46D52711"/>
    <w:rsid w:val="46D955A7"/>
    <w:rsid w:val="46E93E6B"/>
    <w:rsid w:val="47133957"/>
    <w:rsid w:val="47260F08"/>
    <w:rsid w:val="472F61A5"/>
    <w:rsid w:val="4730487F"/>
    <w:rsid w:val="473946B4"/>
    <w:rsid w:val="475300E9"/>
    <w:rsid w:val="475E5CD0"/>
    <w:rsid w:val="477B76C2"/>
    <w:rsid w:val="47A07E0C"/>
    <w:rsid w:val="47AE2EAA"/>
    <w:rsid w:val="47C30B49"/>
    <w:rsid w:val="47D227AD"/>
    <w:rsid w:val="47D71C0C"/>
    <w:rsid w:val="47DA5C76"/>
    <w:rsid w:val="47FB44C2"/>
    <w:rsid w:val="480D4DF5"/>
    <w:rsid w:val="483E6A94"/>
    <w:rsid w:val="4870272E"/>
    <w:rsid w:val="48BF3AE0"/>
    <w:rsid w:val="48D44F3A"/>
    <w:rsid w:val="48EB206E"/>
    <w:rsid w:val="49352E94"/>
    <w:rsid w:val="495B0E0B"/>
    <w:rsid w:val="49677FDF"/>
    <w:rsid w:val="49914BB6"/>
    <w:rsid w:val="49DC7715"/>
    <w:rsid w:val="49E60786"/>
    <w:rsid w:val="4A023139"/>
    <w:rsid w:val="4A5C7DC7"/>
    <w:rsid w:val="4A5E429C"/>
    <w:rsid w:val="4A7A4BEA"/>
    <w:rsid w:val="4A7B576F"/>
    <w:rsid w:val="4A9459A1"/>
    <w:rsid w:val="4A9C310A"/>
    <w:rsid w:val="4AC61C84"/>
    <w:rsid w:val="4AF561A9"/>
    <w:rsid w:val="4B241572"/>
    <w:rsid w:val="4B2C0426"/>
    <w:rsid w:val="4B2F0591"/>
    <w:rsid w:val="4B634177"/>
    <w:rsid w:val="4B88737F"/>
    <w:rsid w:val="4B8D0681"/>
    <w:rsid w:val="4B8E5522"/>
    <w:rsid w:val="4BD42B45"/>
    <w:rsid w:val="4BE303F3"/>
    <w:rsid w:val="4C2B4294"/>
    <w:rsid w:val="4C4013E9"/>
    <w:rsid w:val="4C44161F"/>
    <w:rsid w:val="4C4A0649"/>
    <w:rsid w:val="4C564BEA"/>
    <w:rsid w:val="4C7D7F42"/>
    <w:rsid w:val="4C7E5ECA"/>
    <w:rsid w:val="4C7F114E"/>
    <w:rsid w:val="4C876AA5"/>
    <w:rsid w:val="4CC34D87"/>
    <w:rsid w:val="4CD86AB8"/>
    <w:rsid w:val="4CF300E1"/>
    <w:rsid w:val="4CF90092"/>
    <w:rsid w:val="4D0045BB"/>
    <w:rsid w:val="4D0E00FB"/>
    <w:rsid w:val="4D176606"/>
    <w:rsid w:val="4D2A360C"/>
    <w:rsid w:val="4D532CB5"/>
    <w:rsid w:val="4D563DCD"/>
    <w:rsid w:val="4D575257"/>
    <w:rsid w:val="4D8C324F"/>
    <w:rsid w:val="4D90451E"/>
    <w:rsid w:val="4D9B2D39"/>
    <w:rsid w:val="4DA77C23"/>
    <w:rsid w:val="4DAE7818"/>
    <w:rsid w:val="4DC16DD5"/>
    <w:rsid w:val="4DEC4FB0"/>
    <w:rsid w:val="4DF20138"/>
    <w:rsid w:val="4DF82FB8"/>
    <w:rsid w:val="4E04214B"/>
    <w:rsid w:val="4E075D8A"/>
    <w:rsid w:val="4E147857"/>
    <w:rsid w:val="4E21623C"/>
    <w:rsid w:val="4E412773"/>
    <w:rsid w:val="4E441669"/>
    <w:rsid w:val="4E5E2186"/>
    <w:rsid w:val="4E9A256A"/>
    <w:rsid w:val="4EA35E13"/>
    <w:rsid w:val="4EA876EC"/>
    <w:rsid w:val="4EB233C7"/>
    <w:rsid w:val="4EB60628"/>
    <w:rsid w:val="4EC00FAD"/>
    <w:rsid w:val="4EE01078"/>
    <w:rsid w:val="4EED61D2"/>
    <w:rsid w:val="4EF02E36"/>
    <w:rsid w:val="4F1D6170"/>
    <w:rsid w:val="4F2907A0"/>
    <w:rsid w:val="4F2E0C11"/>
    <w:rsid w:val="4F2E6B2E"/>
    <w:rsid w:val="4F42734B"/>
    <w:rsid w:val="4F442128"/>
    <w:rsid w:val="4F455F5A"/>
    <w:rsid w:val="4F4C3DA3"/>
    <w:rsid w:val="4F6A2397"/>
    <w:rsid w:val="4F705936"/>
    <w:rsid w:val="4F8613D9"/>
    <w:rsid w:val="4F94689B"/>
    <w:rsid w:val="4F9843DC"/>
    <w:rsid w:val="4FAE4C69"/>
    <w:rsid w:val="4FB73FB1"/>
    <w:rsid w:val="4FC62A8C"/>
    <w:rsid w:val="4FE20F0D"/>
    <w:rsid w:val="4FE51552"/>
    <w:rsid w:val="4FF17664"/>
    <w:rsid w:val="4FF30104"/>
    <w:rsid w:val="500B2D00"/>
    <w:rsid w:val="50153B7F"/>
    <w:rsid w:val="502868C2"/>
    <w:rsid w:val="50412BB1"/>
    <w:rsid w:val="50412BC6"/>
    <w:rsid w:val="50504C4B"/>
    <w:rsid w:val="5082740D"/>
    <w:rsid w:val="50971DAD"/>
    <w:rsid w:val="509811E7"/>
    <w:rsid w:val="509C6E7C"/>
    <w:rsid w:val="509E01CB"/>
    <w:rsid w:val="50D04F98"/>
    <w:rsid w:val="51165E00"/>
    <w:rsid w:val="511D5859"/>
    <w:rsid w:val="51366C1E"/>
    <w:rsid w:val="5162104E"/>
    <w:rsid w:val="51B30251"/>
    <w:rsid w:val="51BB0710"/>
    <w:rsid w:val="51D0746C"/>
    <w:rsid w:val="51D71203"/>
    <w:rsid w:val="51E83273"/>
    <w:rsid w:val="52397FF8"/>
    <w:rsid w:val="523C7263"/>
    <w:rsid w:val="52B306CA"/>
    <w:rsid w:val="52BC2BE1"/>
    <w:rsid w:val="52C00A54"/>
    <w:rsid w:val="53825C56"/>
    <w:rsid w:val="53A039CC"/>
    <w:rsid w:val="53A1505A"/>
    <w:rsid w:val="53C93484"/>
    <w:rsid w:val="53E63289"/>
    <w:rsid w:val="54063E08"/>
    <w:rsid w:val="540B1521"/>
    <w:rsid w:val="542E3A7E"/>
    <w:rsid w:val="543437E8"/>
    <w:rsid w:val="54377E22"/>
    <w:rsid w:val="54466602"/>
    <w:rsid w:val="54543E77"/>
    <w:rsid w:val="545C6489"/>
    <w:rsid w:val="545D3EB5"/>
    <w:rsid w:val="54626A2A"/>
    <w:rsid w:val="5484240C"/>
    <w:rsid w:val="54AB6CD1"/>
    <w:rsid w:val="54AC754C"/>
    <w:rsid w:val="54B211D4"/>
    <w:rsid w:val="54E57D83"/>
    <w:rsid w:val="54EB365E"/>
    <w:rsid w:val="54F73313"/>
    <w:rsid w:val="54F80955"/>
    <w:rsid w:val="55294C21"/>
    <w:rsid w:val="555170A7"/>
    <w:rsid w:val="5587536D"/>
    <w:rsid w:val="55895AFA"/>
    <w:rsid w:val="559B174B"/>
    <w:rsid w:val="55CE0CF4"/>
    <w:rsid w:val="55E62390"/>
    <w:rsid w:val="55E62C22"/>
    <w:rsid w:val="55F55DC5"/>
    <w:rsid w:val="564B551F"/>
    <w:rsid w:val="5670520B"/>
    <w:rsid w:val="567E07E7"/>
    <w:rsid w:val="56A906E9"/>
    <w:rsid w:val="56B03E41"/>
    <w:rsid w:val="56B22A9C"/>
    <w:rsid w:val="56B45E9F"/>
    <w:rsid w:val="56CA61AA"/>
    <w:rsid w:val="56D17C3F"/>
    <w:rsid w:val="56EA488F"/>
    <w:rsid w:val="56FD401A"/>
    <w:rsid w:val="57076BB7"/>
    <w:rsid w:val="571C5DB6"/>
    <w:rsid w:val="578760B9"/>
    <w:rsid w:val="57A727A9"/>
    <w:rsid w:val="57B72A76"/>
    <w:rsid w:val="57C100D8"/>
    <w:rsid w:val="57C3426C"/>
    <w:rsid w:val="57C52EA9"/>
    <w:rsid w:val="57CB5604"/>
    <w:rsid w:val="57CE1F93"/>
    <w:rsid w:val="57DB7C26"/>
    <w:rsid w:val="580801E8"/>
    <w:rsid w:val="580C4523"/>
    <w:rsid w:val="580D49C9"/>
    <w:rsid w:val="58160210"/>
    <w:rsid w:val="581D5CC6"/>
    <w:rsid w:val="58294A5B"/>
    <w:rsid w:val="5830113C"/>
    <w:rsid w:val="58507E4A"/>
    <w:rsid w:val="58607961"/>
    <w:rsid w:val="586B6F75"/>
    <w:rsid w:val="58755A9D"/>
    <w:rsid w:val="5886503A"/>
    <w:rsid w:val="588743D1"/>
    <w:rsid w:val="5887701A"/>
    <w:rsid w:val="58953AAF"/>
    <w:rsid w:val="589601AE"/>
    <w:rsid w:val="589A10C5"/>
    <w:rsid w:val="58CE2290"/>
    <w:rsid w:val="58E63645"/>
    <w:rsid w:val="592943F0"/>
    <w:rsid w:val="594D1BFB"/>
    <w:rsid w:val="59842069"/>
    <w:rsid w:val="59C0439F"/>
    <w:rsid w:val="59C268CB"/>
    <w:rsid w:val="59D76CB1"/>
    <w:rsid w:val="5A2A4EE1"/>
    <w:rsid w:val="5A301B84"/>
    <w:rsid w:val="5A377465"/>
    <w:rsid w:val="5A5F1760"/>
    <w:rsid w:val="5A7C1425"/>
    <w:rsid w:val="5AA77DB5"/>
    <w:rsid w:val="5ABE2233"/>
    <w:rsid w:val="5AC222A7"/>
    <w:rsid w:val="5ACA1478"/>
    <w:rsid w:val="5ADD01B9"/>
    <w:rsid w:val="5B6756B6"/>
    <w:rsid w:val="5B6A2FD1"/>
    <w:rsid w:val="5B8A3673"/>
    <w:rsid w:val="5B920779"/>
    <w:rsid w:val="5BA50AAE"/>
    <w:rsid w:val="5BAC3BCB"/>
    <w:rsid w:val="5BB32AD9"/>
    <w:rsid w:val="5BDF5D95"/>
    <w:rsid w:val="5BFE7528"/>
    <w:rsid w:val="5C1014A6"/>
    <w:rsid w:val="5C124D16"/>
    <w:rsid w:val="5C142AC5"/>
    <w:rsid w:val="5C2B016C"/>
    <w:rsid w:val="5C3575C0"/>
    <w:rsid w:val="5C7D05CF"/>
    <w:rsid w:val="5C8452BA"/>
    <w:rsid w:val="5C8512CA"/>
    <w:rsid w:val="5CCE3E69"/>
    <w:rsid w:val="5D0905C7"/>
    <w:rsid w:val="5D621E8A"/>
    <w:rsid w:val="5D6D7CC9"/>
    <w:rsid w:val="5D6E05E3"/>
    <w:rsid w:val="5D864AA3"/>
    <w:rsid w:val="5D897632"/>
    <w:rsid w:val="5DB35A81"/>
    <w:rsid w:val="5DC21862"/>
    <w:rsid w:val="5DE427DD"/>
    <w:rsid w:val="5DE96366"/>
    <w:rsid w:val="5E2467F1"/>
    <w:rsid w:val="5E316028"/>
    <w:rsid w:val="5E33609A"/>
    <w:rsid w:val="5E507F5B"/>
    <w:rsid w:val="5E820631"/>
    <w:rsid w:val="5ED76DD9"/>
    <w:rsid w:val="5ED879CC"/>
    <w:rsid w:val="5F1A2B43"/>
    <w:rsid w:val="5F2B57AF"/>
    <w:rsid w:val="5F316193"/>
    <w:rsid w:val="5F337B7D"/>
    <w:rsid w:val="5F375835"/>
    <w:rsid w:val="5F6E3FE3"/>
    <w:rsid w:val="5F781A31"/>
    <w:rsid w:val="5F8D192A"/>
    <w:rsid w:val="5F964CD8"/>
    <w:rsid w:val="5FA06BF6"/>
    <w:rsid w:val="5FA41E86"/>
    <w:rsid w:val="5FAE4A4C"/>
    <w:rsid w:val="5FB641C3"/>
    <w:rsid w:val="5FB837BB"/>
    <w:rsid w:val="5FFD54A0"/>
    <w:rsid w:val="60235F31"/>
    <w:rsid w:val="605C4497"/>
    <w:rsid w:val="606840E1"/>
    <w:rsid w:val="60792959"/>
    <w:rsid w:val="60B04706"/>
    <w:rsid w:val="60B151FE"/>
    <w:rsid w:val="60B5589E"/>
    <w:rsid w:val="60B75C23"/>
    <w:rsid w:val="60C57631"/>
    <w:rsid w:val="60CB269E"/>
    <w:rsid w:val="60CC3E17"/>
    <w:rsid w:val="60CC405A"/>
    <w:rsid w:val="611867DD"/>
    <w:rsid w:val="612968DD"/>
    <w:rsid w:val="617E2811"/>
    <w:rsid w:val="61925778"/>
    <w:rsid w:val="61B159B5"/>
    <w:rsid w:val="61D334AE"/>
    <w:rsid w:val="61E215D8"/>
    <w:rsid w:val="61F96E5C"/>
    <w:rsid w:val="620D303A"/>
    <w:rsid w:val="62156105"/>
    <w:rsid w:val="621B3775"/>
    <w:rsid w:val="62364782"/>
    <w:rsid w:val="62400DDA"/>
    <w:rsid w:val="6260147F"/>
    <w:rsid w:val="628F77C1"/>
    <w:rsid w:val="629D540E"/>
    <w:rsid w:val="62BE492C"/>
    <w:rsid w:val="62CA68B3"/>
    <w:rsid w:val="62F505B2"/>
    <w:rsid w:val="62FF2E1F"/>
    <w:rsid w:val="63082288"/>
    <w:rsid w:val="634D2AAE"/>
    <w:rsid w:val="637063C8"/>
    <w:rsid w:val="638C2694"/>
    <w:rsid w:val="6394356A"/>
    <w:rsid w:val="63B41B25"/>
    <w:rsid w:val="63C61B2C"/>
    <w:rsid w:val="63D40BE9"/>
    <w:rsid w:val="63D728C3"/>
    <w:rsid w:val="63FC7C28"/>
    <w:rsid w:val="64102431"/>
    <w:rsid w:val="64187CF4"/>
    <w:rsid w:val="641F0320"/>
    <w:rsid w:val="64412924"/>
    <w:rsid w:val="64634A61"/>
    <w:rsid w:val="6480574B"/>
    <w:rsid w:val="64A5243A"/>
    <w:rsid w:val="64D2511C"/>
    <w:rsid w:val="64F531DE"/>
    <w:rsid w:val="64F65633"/>
    <w:rsid w:val="65013B1E"/>
    <w:rsid w:val="650F3710"/>
    <w:rsid w:val="652B155E"/>
    <w:rsid w:val="652C25BD"/>
    <w:rsid w:val="65373578"/>
    <w:rsid w:val="6555058E"/>
    <w:rsid w:val="655D522B"/>
    <w:rsid w:val="657C62EB"/>
    <w:rsid w:val="65813DF1"/>
    <w:rsid w:val="65BB267B"/>
    <w:rsid w:val="65CA272C"/>
    <w:rsid w:val="66045387"/>
    <w:rsid w:val="66117F24"/>
    <w:rsid w:val="662B15AE"/>
    <w:rsid w:val="665A7ACD"/>
    <w:rsid w:val="665F6047"/>
    <w:rsid w:val="66612841"/>
    <w:rsid w:val="666A561B"/>
    <w:rsid w:val="66871921"/>
    <w:rsid w:val="66A54B73"/>
    <w:rsid w:val="66A870A3"/>
    <w:rsid w:val="66B250A2"/>
    <w:rsid w:val="66CA0E9F"/>
    <w:rsid w:val="66E726F1"/>
    <w:rsid w:val="66E73C10"/>
    <w:rsid w:val="66ED0F5A"/>
    <w:rsid w:val="6707201B"/>
    <w:rsid w:val="671F124A"/>
    <w:rsid w:val="67252AD0"/>
    <w:rsid w:val="6736371C"/>
    <w:rsid w:val="673A0E55"/>
    <w:rsid w:val="674D0360"/>
    <w:rsid w:val="67594808"/>
    <w:rsid w:val="676A0013"/>
    <w:rsid w:val="677A33C6"/>
    <w:rsid w:val="677C4A40"/>
    <w:rsid w:val="679505E8"/>
    <w:rsid w:val="67984046"/>
    <w:rsid w:val="679E00CC"/>
    <w:rsid w:val="67BC1EBE"/>
    <w:rsid w:val="67FD6F7B"/>
    <w:rsid w:val="681F6961"/>
    <w:rsid w:val="68610A2F"/>
    <w:rsid w:val="686A5161"/>
    <w:rsid w:val="68805514"/>
    <w:rsid w:val="689B6EBF"/>
    <w:rsid w:val="68C12989"/>
    <w:rsid w:val="68F71C1C"/>
    <w:rsid w:val="69316E2F"/>
    <w:rsid w:val="694E2071"/>
    <w:rsid w:val="69513A22"/>
    <w:rsid w:val="69766163"/>
    <w:rsid w:val="697A3B33"/>
    <w:rsid w:val="699C24C2"/>
    <w:rsid w:val="699E77CC"/>
    <w:rsid w:val="69A61A53"/>
    <w:rsid w:val="69AA611C"/>
    <w:rsid w:val="69D21F22"/>
    <w:rsid w:val="69D44760"/>
    <w:rsid w:val="69D831B4"/>
    <w:rsid w:val="6A000431"/>
    <w:rsid w:val="6A09071E"/>
    <w:rsid w:val="6A106E27"/>
    <w:rsid w:val="6A334ED5"/>
    <w:rsid w:val="6A340C62"/>
    <w:rsid w:val="6A507835"/>
    <w:rsid w:val="6A520EC7"/>
    <w:rsid w:val="6A716433"/>
    <w:rsid w:val="6A7318D2"/>
    <w:rsid w:val="6A830498"/>
    <w:rsid w:val="6A885221"/>
    <w:rsid w:val="6AAC2D80"/>
    <w:rsid w:val="6AD831E2"/>
    <w:rsid w:val="6AF87E20"/>
    <w:rsid w:val="6B1349A9"/>
    <w:rsid w:val="6B190CCB"/>
    <w:rsid w:val="6B19231D"/>
    <w:rsid w:val="6B1940CB"/>
    <w:rsid w:val="6B1B172D"/>
    <w:rsid w:val="6B1B36F7"/>
    <w:rsid w:val="6B211664"/>
    <w:rsid w:val="6B2C5D10"/>
    <w:rsid w:val="6B322639"/>
    <w:rsid w:val="6B3A2E3E"/>
    <w:rsid w:val="6B3D3568"/>
    <w:rsid w:val="6B447911"/>
    <w:rsid w:val="6B575D35"/>
    <w:rsid w:val="6B9A18AC"/>
    <w:rsid w:val="6BB73744"/>
    <w:rsid w:val="6BCF16EA"/>
    <w:rsid w:val="6BD910A1"/>
    <w:rsid w:val="6BF1198A"/>
    <w:rsid w:val="6C636C38"/>
    <w:rsid w:val="6C873EED"/>
    <w:rsid w:val="6CA42DA0"/>
    <w:rsid w:val="6CA80264"/>
    <w:rsid w:val="6CCF6157"/>
    <w:rsid w:val="6CD92752"/>
    <w:rsid w:val="6CF03552"/>
    <w:rsid w:val="6CF76B7D"/>
    <w:rsid w:val="6D5A13CF"/>
    <w:rsid w:val="6D714693"/>
    <w:rsid w:val="6D7236C4"/>
    <w:rsid w:val="6D75048C"/>
    <w:rsid w:val="6D7C0345"/>
    <w:rsid w:val="6D8360D1"/>
    <w:rsid w:val="6DB34098"/>
    <w:rsid w:val="6DB545B6"/>
    <w:rsid w:val="6DE02FB4"/>
    <w:rsid w:val="6DE44514"/>
    <w:rsid w:val="6E015DF0"/>
    <w:rsid w:val="6E0635A2"/>
    <w:rsid w:val="6E514CED"/>
    <w:rsid w:val="6E54004E"/>
    <w:rsid w:val="6E722F24"/>
    <w:rsid w:val="6E9A5725"/>
    <w:rsid w:val="6EB563D5"/>
    <w:rsid w:val="6EC8149F"/>
    <w:rsid w:val="6ED143E7"/>
    <w:rsid w:val="6ED92677"/>
    <w:rsid w:val="6EDF10D9"/>
    <w:rsid w:val="6EDF2742"/>
    <w:rsid w:val="6EF51E6A"/>
    <w:rsid w:val="6F031302"/>
    <w:rsid w:val="6F04276C"/>
    <w:rsid w:val="6F0D7199"/>
    <w:rsid w:val="6F225983"/>
    <w:rsid w:val="6F2679E3"/>
    <w:rsid w:val="6F38357B"/>
    <w:rsid w:val="6F3F1919"/>
    <w:rsid w:val="6F5161E8"/>
    <w:rsid w:val="6F5C7537"/>
    <w:rsid w:val="6F6667CD"/>
    <w:rsid w:val="6F8D0FE5"/>
    <w:rsid w:val="6F8D27D4"/>
    <w:rsid w:val="6FCF203B"/>
    <w:rsid w:val="6FF8543C"/>
    <w:rsid w:val="6FFC5590"/>
    <w:rsid w:val="701A2DBF"/>
    <w:rsid w:val="70453F88"/>
    <w:rsid w:val="706D1DD0"/>
    <w:rsid w:val="707856AE"/>
    <w:rsid w:val="70856B87"/>
    <w:rsid w:val="709C1A26"/>
    <w:rsid w:val="70D527EE"/>
    <w:rsid w:val="70E47042"/>
    <w:rsid w:val="71120B9E"/>
    <w:rsid w:val="713E1BB9"/>
    <w:rsid w:val="714A4E96"/>
    <w:rsid w:val="714D0DEE"/>
    <w:rsid w:val="7152603A"/>
    <w:rsid w:val="715B5300"/>
    <w:rsid w:val="7160674B"/>
    <w:rsid w:val="71803F15"/>
    <w:rsid w:val="718B7FBD"/>
    <w:rsid w:val="71943523"/>
    <w:rsid w:val="719F0E68"/>
    <w:rsid w:val="71B22FDE"/>
    <w:rsid w:val="71B87EA3"/>
    <w:rsid w:val="71D27F8A"/>
    <w:rsid w:val="7204578E"/>
    <w:rsid w:val="721F0D4B"/>
    <w:rsid w:val="722C2936"/>
    <w:rsid w:val="723E4B15"/>
    <w:rsid w:val="72553024"/>
    <w:rsid w:val="72566E3A"/>
    <w:rsid w:val="725979C6"/>
    <w:rsid w:val="72752CA5"/>
    <w:rsid w:val="72770396"/>
    <w:rsid w:val="7289422C"/>
    <w:rsid w:val="72B908CC"/>
    <w:rsid w:val="72D5519C"/>
    <w:rsid w:val="72DD1B11"/>
    <w:rsid w:val="72E97241"/>
    <w:rsid w:val="72F60B77"/>
    <w:rsid w:val="72FB40C6"/>
    <w:rsid w:val="72FB5901"/>
    <w:rsid w:val="73104DF7"/>
    <w:rsid w:val="73122968"/>
    <w:rsid w:val="7313195C"/>
    <w:rsid w:val="731F5D5E"/>
    <w:rsid w:val="73261A7B"/>
    <w:rsid w:val="732E6B82"/>
    <w:rsid w:val="735C42E6"/>
    <w:rsid w:val="737F3653"/>
    <w:rsid w:val="73820D97"/>
    <w:rsid w:val="738465C1"/>
    <w:rsid w:val="738B1AF9"/>
    <w:rsid w:val="73BA23D1"/>
    <w:rsid w:val="73C35982"/>
    <w:rsid w:val="73C51AD5"/>
    <w:rsid w:val="73C663EF"/>
    <w:rsid w:val="741E793C"/>
    <w:rsid w:val="741F12A9"/>
    <w:rsid w:val="74303A4D"/>
    <w:rsid w:val="74341F76"/>
    <w:rsid w:val="745E3944"/>
    <w:rsid w:val="747542CE"/>
    <w:rsid w:val="7483371C"/>
    <w:rsid w:val="749A45ED"/>
    <w:rsid w:val="74B4004C"/>
    <w:rsid w:val="74DD25FB"/>
    <w:rsid w:val="74F236DC"/>
    <w:rsid w:val="751C09C1"/>
    <w:rsid w:val="756D1FC7"/>
    <w:rsid w:val="759E179B"/>
    <w:rsid w:val="759F5E8E"/>
    <w:rsid w:val="75B346EE"/>
    <w:rsid w:val="75BD0C4E"/>
    <w:rsid w:val="75C71B98"/>
    <w:rsid w:val="75DC122C"/>
    <w:rsid w:val="75E66245"/>
    <w:rsid w:val="75FA0301"/>
    <w:rsid w:val="76165FD1"/>
    <w:rsid w:val="76247D85"/>
    <w:rsid w:val="7635099D"/>
    <w:rsid w:val="764B6C68"/>
    <w:rsid w:val="76691C04"/>
    <w:rsid w:val="766920FE"/>
    <w:rsid w:val="76926017"/>
    <w:rsid w:val="76927F98"/>
    <w:rsid w:val="76961EA4"/>
    <w:rsid w:val="76B92F53"/>
    <w:rsid w:val="76D87ACB"/>
    <w:rsid w:val="76E7615D"/>
    <w:rsid w:val="76F64AD2"/>
    <w:rsid w:val="76FB22D3"/>
    <w:rsid w:val="76FB480B"/>
    <w:rsid w:val="76FE21DD"/>
    <w:rsid w:val="77156C7D"/>
    <w:rsid w:val="77345A6B"/>
    <w:rsid w:val="773C46EE"/>
    <w:rsid w:val="77474423"/>
    <w:rsid w:val="77494E2F"/>
    <w:rsid w:val="77690189"/>
    <w:rsid w:val="776B2153"/>
    <w:rsid w:val="77751056"/>
    <w:rsid w:val="77762421"/>
    <w:rsid w:val="777E040B"/>
    <w:rsid w:val="77845225"/>
    <w:rsid w:val="77B56B1F"/>
    <w:rsid w:val="77C76A64"/>
    <w:rsid w:val="77EB0C48"/>
    <w:rsid w:val="77EB3F5A"/>
    <w:rsid w:val="780810FA"/>
    <w:rsid w:val="780F09F4"/>
    <w:rsid w:val="781F24FD"/>
    <w:rsid w:val="7832573E"/>
    <w:rsid w:val="78474280"/>
    <w:rsid w:val="78A6654F"/>
    <w:rsid w:val="78A90480"/>
    <w:rsid w:val="78B03770"/>
    <w:rsid w:val="78B11DE7"/>
    <w:rsid w:val="78B95D6F"/>
    <w:rsid w:val="78BE250F"/>
    <w:rsid w:val="78EC72C3"/>
    <w:rsid w:val="78F95897"/>
    <w:rsid w:val="79126A19"/>
    <w:rsid w:val="79156E10"/>
    <w:rsid w:val="793A1290"/>
    <w:rsid w:val="795433BC"/>
    <w:rsid w:val="796511D6"/>
    <w:rsid w:val="796F56DA"/>
    <w:rsid w:val="799E5A35"/>
    <w:rsid w:val="79B853F7"/>
    <w:rsid w:val="79DE4E5E"/>
    <w:rsid w:val="79FE1126"/>
    <w:rsid w:val="7A0C34FA"/>
    <w:rsid w:val="7A2138EE"/>
    <w:rsid w:val="7A2B7977"/>
    <w:rsid w:val="7A2E7DEF"/>
    <w:rsid w:val="7A364017"/>
    <w:rsid w:val="7A472D47"/>
    <w:rsid w:val="7A4B46FF"/>
    <w:rsid w:val="7A5C3FD5"/>
    <w:rsid w:val="7A707052"/>
    <w:rsid w:val="7A8265E1"/>
    <w:rsid w:val="7A8907D4"/>
    <w:rsid w:val="7A894231"/>
    <w:rsid w:val="7A9A5138"/>
    <w:rsid w:val="7ABC4A73"/>
    <w:rsid w:val="7AC24292"/>
    <w:rsid w:val="7B092401"/>
    <w:rsid w:val="7B324FCD"/>
    <w:rsid w:val="7B686D42"/>
    <w:rsid w:val="7B841746"/>
    <w:rsid w:val="7BDB58D9"/>
    <w:rsid w:val="7BE06FC1"/>
    <w:rsid w:val="7BE77E33"/>
    <w:rsid w:val="7BF16E84"/>
    <w:rsid w:val="7C365DE1"/>
    <w:rsid w:val="7C3B673E"/>
    <w:rsid w:val="7C401BE6"/>
    <w:rsid w:val="7C5B0896"/>
    <w:rsid w:val="7C6C5AC7"/>
    <w:rsid w:val="7CB974BC"/>
    <w:rsid w:val="7CC6544B"/>
    <w:rsid w:val="7D0239FF"/>
    <w:rsid w:val="7D11554A"/>
    <w:rsid w:val="7D147C5F"/>
    <w:rsid w:val="7D17018C"/>
    <w:rsid w:val="7D201658"/>
    <w:rsid w:val="7D291BFA"/>
    <w:rsid w:val="7D2B31E4"/>
    <w:rsid w:val="7D5E40CD"/>
    <w:rsid w:val="7D670168"/>
    <w:rsid w:val="7D770A28"/>
    <w:rsid w:val="7D7D673C"/>
    <w:rsid w:val="7D853842"/>
    <w:rsid w:val="7D9D6FA5"/>
    <w:rsid w:val="7DAE16D1"/>
    <w:rsid w:val="7DCD56F2"/>
    <w:rsid w:val="7DEC183C"/>
    <w:rsid w:val="7DF26EEA"/>
    <w:rsid w:val="7DF91B29"/>
    <w:rsid w:val="7E0C0193"/>
    <w:rsid w:val="7E252FA5"/>
    <w:rsid w:val="7E2E3EDA"/>
    <w:rsid w:val="7E9F4DA1"/>
    <w:rsid w:val="7EA244C7"/>
    <w:rsid w:val="7EC521A7"/>
    <w:rsid w:val="7ED3474D"/>
    <w:rsid w:val="7EF17FBE"/>
    <w:rsid w:val="7F001CE7"/>
    <w:rsid w:val="7F3C1CC8"/>
    <w:rsid w:val="7F693200"/>
    <w:rsid w:val="7F6E016D"/>
    <w:rsid w:val="7F8076EA"/>
    <w:rsid w:val="7F9452D1"/>
    <w:rsid w:val="7F9F0B14"/>
    <w:rsid w:val="7FB41E9D"/>
    <w:rsid w:val="7FE47E50"/>
    <w:rsid w:val="7FE5531B"/>
    <w:rsid w:val="7FE945D4"/>
    <w:rsid w:val="7FEB20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nhideWhenUsed="0" w:uiPriority="1" w:semiHidden="0" w:name="heading 4" w:locked="1"/>
    <w:lsdException w:qFormat="1" w:uiPriority="0" w:semiHidden="0" w:name="heading 5" w:locked="1"/>
    <w:lsdException w:qFormat="1" w:uiPriority="0" w:semiHidden="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qFormat="1" w:unhideWhenUsed="0" w:uiPriority="39"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sdException w:qFormat="1" w:uiPriority="99" w:semiHidden="0" w:name="Body Text First Indent" w:locked="1"/>
    <w:lsdException w:unhideWhenUsed="0" w:uiPriority="0" w:semiHidden="0" w:name="Body Text First Indent 2" w:locked="1"/>
    <w:lsdException w:unhideWhenUsed="0" w:uiPriority="0" w:semiHidden="0" w:name="Note Heading" w:locked="1"/>
    <w:lsdException w:qFormat="1"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99"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20" w:semiHidden="0" w:name="Emphasis" w:locked="1"/>
    <w:lsdException w:unhideWhenUsed="0" w:uiPriority="0" w:semiHidden="0" w:name="Document Map" w:locked="1"/>
    <w:lsdException w:qFormat="1" w:unhideWhenUsed="0" w:uiPriority="0" w:semiHidden="0" w:name="Plain Text" w:locked="1"/>
    <w:lsdException w:qFormat="1" w:uiPriority="99"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8">
    <w:name w:val="heading 2"/>
    <w:basedOn w:val="1"/>
    <w:next w:val="1"/>
    <w:link w:val="62"/>
    <w:qFormat/>
    <w:locked/>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9">
    <w:name w:val="heading 3"/>
    <w:basedOn w:val="1"/>
    <w:next w:val="1"/>
    <w:qFormat/>
    <w:locked/>
    <w:uiPriority w:val="0"/>
    <w:pPr>
      <w:keepNext/>
      <w:keepLines/>
      <w:spacing w:before="260" w:after="260" w:line="416" w:lineRule="auto"/>
      <w:outlineLvl w:val="2"/>
    </w:pPr>
    <w:rPr>
      <w:b/>
      <w:bCs/>
      <w:sz w:val="32"/>
      <w:szCs w:val="32"/>
    </w:rPr>
  </w:style>
  <w:style w:type="paragraph" w:styleId="10">
    <w:name w:val="heading 4"/>
    <w:basedOn w:val="1"/>
    <w:next w:val="1"/>
    <w:qFormat/>
    <w:locked/>
    <w:uiPriority w:val="1"/>
    <w:pPr>
      <w:outlineLvl w:val="3"/>
    </w:pPr>
    <w:rPr>
      <w:rFonts w:ascii="宋体" w:hAnsi="宋体" w:eastAsia="宋体" w:cs="宋体"/>
      <w:b/>
      <w:bCs/>
      <w:sz w:val="24"/>
      <w:szCs w:val="24"/>
      <w:lang w:val="zh-CN" w:eastAsia="zh-CN" w:bidi="zh-CN"/>
    </w:rPr>
  </w:style>
  <w:style w:type="paragraph" w:styleId="11">
    <w:name w:val="heading 5"/>
    <w:next w:val="1"/>
    <w:unhideWhenUsed/>
    <w:qFormat/>
    <w:locked/>
    <w:uiPriority w:val="0"/>
    <w:pPr>
      <w:keepNext/>
      <w:keepLines/>
      <w:numPr>
        <w:ilvl w:val="4"/>
        <w:numId w:val="1"/>
      </w:numPr>
      <w:spacing w:line="360" w:lineRule="auto"/>
      <w:ind w:firstLine="1440" w:firstLineChars="200"/>
      <w:outlineLvl w:val="4"/>
    </w:pPr>
    <w:rPr>
      <w:rFonts w:ascii="Times New Roman" w:hAnsi="Times New Roman" w:eastAsia="宋体" w:cs="Times New Roman"/>
      <w:b/>
      <w:bCs/>
      <w:sz w:val="24"/>
      <w:szCs w:val="24"/>
      <w:lang w:val="en-US" w:eastAsia="zh-CN" w:bidi="ar-SA"/>
    </w:rPr>
  </w:style>
  <w:style w:type="paragraph" w:styleId="12">
    <w:name w:val="heading 6"/>
    <w:basedOn w:val="1"/>
    <w:next w:val="1"/>
    <w:unhideWhenUsed/>
    <w:qFormat/>
    <w:locked/>
    <w:uiPriority w:val="0"/>
    <w:pPr>
      <w:keepNext/>
      <w:keepLines/>
      <w:numPr>
        <w:ilvl w:val="5"/>
        <w:numId w:val="1"/>
      </w:numPr>
      <w:ind w:firstLine="1440" w:firstLineChars="200"/>
      <w:outlineLvl w:val="5"/>
    </w:pPr>
    <w:rPr>
      <w:szCs w:val="21"/>
    </w:rPr>
  </w:style>
  <w:style w:type="character" w:default="1" w:styleId="46">
    <w:name w:val="Default Paragraph Font"/>
    <w:semiHidden/>
    <w:qFormat/>
    <w:uiPriority w:val="0"/>
  </w:style>
  <w:style w:type="table" w:default="1" w:styleId="44">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纯文本1"/>
    <w:basedOn w:val="1"/>
    <w:next w:val="1"/>
    <w:qFormat/>
    <w:uiPriority w:val="0"/>
    <w:pPr>
      <w:adjustRightInd w:val="0"/>
    </w:pPr>
    <w:rPr>
      <w:rFonts w:ascii="宋体" w:hAnsi="Courier New"/>
      <w:szCs w:val="20"/>
    </w:rPr>
  </w:style>
  <w:style w:type="paragraph" w:customStyle="1" w:styleId="4">
    <w:name w:val="正文文字 6"/>
    <w:basedOn w:val="5"/>
    <w:next w:val="1"/>
    <w:qFormat/>
    <w:uiPriority w:val="0"/>
    <w:pPr>
      <w:widowControl w:val="0"/>
      <w:ind w:left="240"/>
      <w:jc w:val="both"/>
    </w:pPr>
    <w:rPr>
      <w:rFonts w:ascii="宋体"/>
      <w:b/>
      <w:bCs/>
      <w:kern w:val="2"/>
      <w:sz w:val="32"/>
      <w:szCs w:val="32"/>
      <w:lang w:val="en-US" w:eastAsia="zh-CN" w:bidi="ar-SA"/>
    </w:rPr>
  </w:style>
  <w:style w:type="paragraph" w:customStyle="1" w:styleId="5">
    <w:name w:val="图位置"/>
    <w:next w:val="6"/>
    <w:qFormat/>
    <w:uiPriority w:val="0"/>
    <w:pPr>
      <w:jc w:val="center"/>
    </w:pPr>
    <w:rPr>
      <w:rFonts w:ascii="Times New Roman" w:hAnsi="Times New Roman" w:eastAsia="宋体" w:cs="Times New Roman"/>
      <w:kern w:val="2"/>
      <w:sz w:val="24"/>
      <w:szCs w:val="21"/>
      <w:lang w:val="en-US" w:eastAsia="zh-CN" w:bidi="ar-SA"/>
    </w:rPr>
  </w:style>
  <w:style w:type="paragraph" w:customStyle="1" w:styleId="6">
    <w:name w:val="图题"/>
    <w:basedOn w:val="1"/>
    <w:next w:val="1"/>
    <w:qFormat/>
    <w:uiPriority w:val="0"/>
    <w:pPr>
      <w:jc w:val="center"/>
    </w:pPr>
    <w:rPr>
      <w:rFonts w:ascii="宋体" w:hAnsi="宋体" w:eastAsia="黑体"/>
      <w:b/>
    </w:rPr>
  </w:style>
  <w:style w:type="paragraph" w:styleId="13">
    <w:name w:val="List 3"/>
    <w:basedOn w:val="1"/>
    <w:next w:val="1"/>
    <w:qFormat/>
    <w:locked/>
    <w:uiPriority w:val="0"/>
    <w:pPr>
      <w:ind w:left="100" w:leftChars="400" w:hanging="200" w:hangingChars="200"/>
    </w:pPr>
    <w:rPr>
      <w:szCs w:val="20"/>
    </w:rPr>
  </w:style>
  <w:style w:type="paragraph" w:styleId="14">
    <w:name w:val="E-mail Signature"/>
    <w:basedOn w:val="1"/>
    <w:next w:val="15"/>
    <w:unhideWhenUsed/>
    <w:qFormat/>
    <w:locked/>
    <w:uiPriority w:val="99"/>
    <w:pPr>
      <w:spacing w:line="460" w:lineRule="exact"/>
      <w:ind w:firstLine="200"/>
    </w:pPr>
  </w:style>
  <w:style w:type="paragraph" w:customStyle="1" w:styleId="15">
    <w:name w:val="文章"/>
    <w:basedOn w:val="16"/>
    <w:next w:val="18"/>
    <w:qFormat/>
    <w:uiPriority w:val="0"/>
    <w:pPr>
      <w:widowControl/>
      <w:spacing w:line="240" w:lineRule="auto"/>
      <w:jc w:val="center"/>
    </w:pPr>
    <w:rPr>
      <w:sz w:val="26"/>
    </w:rPr>
  </w:style>
  <w:style w:type="paragraph" w:styleId="16">
    <w:name w:val="Body Text Indent"/>
    <w:basedOn w:val="1"/>
    <w:next w:val="17"/>
    <w:link w:val="63"/>
    <w:qFormat/>
    <w:uiPriority w:val="0"/>
    <w:pPr>
      <w:spacing w:after="120"/>
      <w:ind w:left="420" w:leftChars="200"/>
    </w:pPr>
    <w:rPr>
      <w:kern w:val="0"/>
      <w:sz w:val="24"/>
      <w:szCs w:val="20"/>
    </w:rPr>
  </w:style>
  <w:style w:type="paragraph" w:styleId="17">
    <w:name w:val="caption"/>
    <w:basedOn w:val="1"/>
    <w:next w:val="1"/>
    <w:qFormat/>
    <w:locked/>
    <w:uiPriority w:val="35"/>
    <w:pPr>
      <w:tabs>
        <w:tab w:val="left" w:pos="3240"/>
        <w:tab w:val="left" w:pos="6120"/>
      </w:tabs>
    </w:pPr>
    <w:rPr>
      <w:rFonts w:ascii="Cambria" w:hAnsi="Cambria" w:eastAsia="黑体" w:cs="Times New Roman"/>
      <w:sz w:val="20"/>
      <w:szCs w:val="20"/>
    </w:rPr>
  </w:style>
  <w:style w:type="paragraph" w:styleId="18">
    <w:name w:val="List"/>
    <w:basedOn w:val="1"/>
    <w:next w:val="1"/>
    <w:qFormat/>
    <w:locked/>
    <w:uiPriority w:val="0"/>
    <w:pPr>
      <w:ind w:left="200" w:hanging="200" w:hangingChars="200"/>
    </w:pPr>
  </w:style>
  <w:style w:type="paragraph" w:styleId="19">
    <w:name w:val="Normal Indent"/>
    <w:basedOn w:val="1"/>
    <w:next w:val="10"/>
    <w:qFormat/>
    <w:locked/>
    <w:uiPriority w:val="0"/>
    <w:pPr>
      <w:spacing w:line="360" w:lineRule="auto"/>
      <w:ind w:firstLine="420" w:firstLineChars="200"/>
    </w:pPr>
    <w:rPr>
      <w:sz w:val="24"/>
    </w:rPr>
  </w:style>
  <w:style w:type="paragraph" w:styleId="20">
    <w:name w:val="annotation text"/>
    <w:basedOn w:val="1"/>
    <w:link w:val="65"/>
    <w:semiHidden/>
    <w:qFormat/>
    <w:uiPriority w:val="0"/>
    <w:pPr>
      <w:jc w:val="left"/>
    </w:pPr>
    <w:rPr>
      <w:kern w:val="0"/>
      <w:sz w:val="24"/>
      <w:szCs w:val="20"/>
    </w:rPr>
  </w:style>
  <w:style w:type="paragraph" w:styleId="21">
    <w:name w:val="Salutation"/>
    <w:basedOn w:val="1"/>
    <w:next w:val="1"/>
    <w:qFormat/>
    <w:locked/>
    <w:uiPriority w:val="0"/>
  </w:style>
  <w:style w:type="paragraph" w:styleId="22">
    <w:name w:val="Body Text"/>
    <w:basedOn w:val="1"/>
    <w:next w:val="23"/>
    <w:link w:val="64"/>
    <w:qFormat/>
    <w:uiPriority w:val="0"/>
    <w:pPr>
      <w:widowControl/>
      <w:snapToGrid w:val="0"/>
      <w:spacing w:before="60" w:after="160" w:line="259" w:lineRule="auto"/>
      <w:ind w:right="113"/>
    </w:pPr>
    <w:rPr>
      <w:kern w:val="0"/>
      <w:sz w:val="18"/>
      <w:szCs w:val="20"/>
    </w:rPr>
  </w:style>
  <w:style w:type="paragraph" w:styleId="23">
    <w:name w:val="List Bullet 5"/>
    <w:basedOn w:val="1"/>
    <w:qFormat/>
    <w:locked/>
    <w:uiPriority w:val="0"/>
    <w:pPr>
      <w:numPr>
        <w:ilvl w:val="0"/>
        <w:numId w:val="2"/>
      </w:numPr>
    </w:pPr>
  </w:style>
  <w:style w:type="paragraph" w:styleId="24">
    <w:name w:val="Block Text"/>
    <w:basedOn w:val="1"/>
    <w:qFormat/>
    <w:locked/>
    <w:uiPriority w:val="0"/>
    <w:pPr>
      <w:spacing w:after="120"/>
      <w:ind w:left="1440" w:leftChars="700" w:right="1440" w:rightChars="700"/>
    </w:pPr>
  </w:style>
  <w:style w:type="paragraph" w:styleId="25">
    <w:name w:val="List Bullet 2"/>
    <w:basedOn w:val="1"/>
    <w:next w:val="26"/>
    <w:qFormat/>
    <w:locked/>
    <w:uiPriority w:val="0"/>
    <w:pPr>
      <w:numPr>
        <w:ilvl w:val="0"/>
        <w:numId w:val="3"/>
      </w:numPr>
    </w:pPr>
  </w:style>
  <w:style w:type="paragraph" w:customStyle="1" w:styleId="26">
    <w:name w:val="xl70"/>
    <w:basedOn w:val="1"/>
    <w:next w:val="27"/>
    <w:qFormat/>
    <w:uiPriority w:val="0"/>
    <w:pPr>
      <w:widowControl/>
      <w:spacing w:before="100" w:beforeAutospacing="1" w:after="100" w:afterAutospacing="1" w:line="240" w:lineRule="auto"/>
      <w:ind w:firstLine="0" w:firstLineChars="0"/>
    </w:pPr>
    <w:rPr>
      <w:rFonts w:ascii="Arial" w:hAnsi="Arial" w:cs="Arial"/>
    </w:rPr>
  </w:style>
  <w:style w:type="paragraph" w:customStyle="1" w:styleId="27">
    <w:name w:val="正文缩进1"/>
    <w:basedOn w:val="1"/>
    <w:next w:val="28"/>
    <w:qFormat/>
    <w:uiPriority w:val="0"/>
    <w:pPr>
      <w:spacing w:line="240" w:lineRule="auto"/>
      <w:ind w:firstLine="420" w:firstLineChars="0"/>
    </w:pPr>
  </w:style>
  <w:style w:type="paragraph" w:customStyle="1" w:styleId="28">
    <w:name w:val="td1"/>
    <w:basedOn w:val="1"/>
    <w:next w:val="1"/>
    <w:qFormat/>
    <w:uiPriority w:val="0"/>
    <w:pPr>
      <w:widowControl/>
      <w:spacing w:before="280" w:after="280" w:line="300" w:lineRule="atLeast"/>
    </w:pPr>
    <w:rPr>
      <w:sz w:val="18"/>
    </w:rPr>
  </w:style>
  <w:style w:type="paragraph" w:styleId="29">
    <w:name w:val="Plain Text"/>
    <w:basedOn w:val="1"/>
    <w:qFormat/>
    <w:locked/>
    <w:uiPriority w:val="0"/>
    <w:rPr>
      <w:rFonts w:ascii="宋体" w:hAnsi="Courier New"/>
      <w:szCs w:val="20"/>
    </w:rPr>
  </w:style>
  <w:style w:type="paragraph" w:styleId="30">
    <w:name w:val="Date"/>
    <w:basedOn w:val="1"/>
    <w:next w:val="1"/>
    <w:link w:val="66"/>
    <w:qFormat/>
    <w:uiPriority w:val="0"/>
    <w:pPr>
      <w:ind w:left="100" w:leftChars="2500"/>
    </w:pPr>
    <w:rPr>
      <w:kern w:val="0"/>
      <w:sz w:val="24"/>
      <w:szCs w:val="20"/>
    </w:rPr>
  </w:style>
  <w:style w:type="paragraph" w:styleId="31">
    <w:name w:val="Body Text Indent 2"/>
    <w:basedOn w:val="1"/>
    <w:qFormat/>
    <w:locked/>
    <w:uiPriority w:val="0"/>
    <w:pPr>
      <w:spacing w:line="300" w:lineRule="auto"/>
      <w:ind w:firstLine="570"/>
    </w:pPr>
    <w:rPr>
      <w:sz w:val="28"/>
      <w:szCs w:val="20"/>
    </w:rPr>
  </w:style>
  <w:style w:type="paragraph" w:styleId="32">
    <w:name w:val="Balloon Text"/>
    <w:basedOn w:val="1"/>
    <w:link w:val="67"/>
    <w:semiHidden/>
    <w:qFormat/>
    <w:uiPriority w:val="0"/>
    <w:rPr>
      <w:kern w:val="0"/>
      <w:sz w:val="18"/>
      <w:szCs w:val="20"/>
    </w:rPr>
  </w:style>
  <w:style w:type="paragraph" w:styleId="33">
    <w:name w:val="footer"/>
    <w:basedOn w:val="1"/>
    <w:link w:val="68"/>
    <w:qFormat/>
    <w:uiPriority w:val="99"/>
    <w:pPr>
      <w:tabs>
        <w:tab w:val="center" w:pos="4153"/>
        <w:tab w:val="right" w:pos="8306"/>
      </w:tabs>
      <w:snapToGrid w:val="0"/>
      <w:jc w:val="left"/>
    </w:pPr>
    <w:rPr>
      <w:kern w:val="0"/>
      <w:sz w:val="18"/>
      <w:szCs w:val="20"/>
    </w:rPr>
  </w:style>
  <w:style w:type="paragraph" w:styleId="34">
    <w:name w:val="header"/>
    <w:basedOn w:val="1"/>
    <w:link w:val="69"/>
    <w:qFormat/>
    <w:uiPriority w:val="0"/>
    <w:pPr>
      <w:pBdr>
        <w:bottom w:val="single" w:color="auto" w:sz="6" w:space="1"/>
      </w:pBdr>
      <w:tabs>
        <w:tab w:val="center" w:pos="4153"/>
        <w:tab w:val="right" w:pos="8306"/>
      </w:tabs>
      <w:snapToGrid w:val="0"/>
      <w:jc w:val="center"/>
    </w:pPr>
    <w:rPr>
      <w:kern w:val="0"/>
      <w:sz w:val="18"/>
      <w:szCs w:val="20"/>
    </w:rPr>
  </w:style>
  <w:style w:type="paragraph" w:styleId="35">
    <w:name w:val="toc 1"/>
    <w:basedOn w:val="1"/>
    <w:next w:val="1"/>
    <w:unhideWhenUsed/>
    <w:qFormat/>
    <w:locked/>
    <w:uiPriority w:val="0"/>
  </w:style>
  <w:style w:type="paragraph" w:styleId="36">
    <w:name w:val="Body Text Indent 3"/>
    <w:basedOn w:val="1"/>
    <w:qFormat/>
    <w:locked/>
    <w:uiPriority w:val="99"/>
    <w:pPr>
      <w:snapToGrid w:val="0"/>
      <w:spacing w:line="480" w:lineRule="exact"/>
      <w:ind w:firstLine="535" w:firstLineChars="191"/>
    </w:pPr>
    <w:rPr>
      <w:sz w:val="28"/>
    </w:rPr>
  </w:style>
  <w:style w:type="paragraph" w:styleId="37">
    <w:name w:val="toc 2"/>
    <w:basedOn w:val="1"/>
    <w:next w:val="14"/>
    <w:qFormat/>
    <w:locked/>
    <w:uiPriority w:val="39"/>
    <w:pPr>
      <w:tabs>
        <w:tab w:val="left" w:pos="840"/>
        <w:tab w:val="right" w:leader="dot" w:pos="9060"/>
      </w:tabs>
      <w:spacing w:line="400" w:lineRule="exact"/>
      <w:ind w:left="210"/>
      <w:jc w:val="left"/>
    </w:pPr>
    <w:rPr>
      <w:smallCaps/>
      <w:sz w:val="20"/>
      <w:szCs w:val="20"/>
    </w:rPr>
  </w:style>
  <w:style w:type="paragraph" w:styleId="38">
    <w:name w:val="toc 9"/>
    <w:basedOn w:val="1"/>
    <w:next w:val="1"/>
    <w:qFormat/>
    <w:locked/>
    <w:uiPriority w:val="39"/>
    <w:pPr>
      <w:ind w:left="1680"/>
      <w:jc w:val="left"/>
    </w:pPr>
    <w:rPr>
      <w:sz w:val="20"/>
      <w:szCs w:val="20"/>
    </w:rPr>
  </w:style>
  <w:style w:type="paragraph" w:styleId="39">
    <w:name w:val="Body Text 2"/>
    <w:basedOn w:val="1"/>
    <w:unhideWhenUsed/>
    <w:qFormat/>
    <w:locked/>
    <w:uiPriority w:val="0"/>
    <w:pPr>
      <w:spacing w:after="120" w:line="480" w:lineRule="auto"/>
    </w:pPr>
  </w:style>
  <w:style w:type="paragraph" w:styleId="40">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1">
    <w:name w:val="Normal (Web)"/>
    <w:basedOn w:val="1"/>
    <w:link w:val="70"/>
    <w:qFormat/>
    <w:uiPriority w:val="0"/>
    <w:pPr>
      <w:widowControl/>
      <w:spacing w:before="100" w:beforeAutospacing="1" w:after="100" w:afterAutospacing="1"/>
      <w:jc w:val="left"/>
    </w:pPr>
    <w:rPr>
      <w:rFonts w:ascii="宋体" w:hAnsi="宋体"/>
      <w:kern w:val="0"/>
      <w:sz w:val="24"/>
      <w:szCs w:val="20"/>
    </w:rPr>
  </w:style>
  <w:style w:type="paragraph" w:styleId="42">
    <w:name w:val="annotation subject"/>
    <w:basedOn w:val="20"/>
    <w:next w:val="20"/>
    <w:link w:val="71"/>
    <w:semiHidden/>
    <w:qFormat/>
    <w:uiPriority w:val="0"/>
    <w:rPr>
      <w:b/>
      <w:sz w:val="24"/>
      <w:szCs w:val="20"/>
    </w:rPr>
  </w:style>
  <w:style w:type="paragraph" w:styleId="43">
    <w:name w:val="Body Text First Indent"/>
    <w:basedOn w:val="22"/>
    <w:unhideWhenUsed/>
    <w:qFormat/>
    <w:locked/>
    <w:uiPriority w:val="99"/>
    <w:pPr>
      <w:ind w:firstLine="420" w:firstLineChars="100"/>
    </w:pPr>
  </w:style>
  <w:style w:type="table" w:styleId="45">
    <w:name w:val="Table Grid"/>
    <w:basedOn w:val="4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basedOn w:val="46"/>
    <w:qFormat/>
    <w:locked/>
    <w:uiPriority w:val="0"/>
    <w:rPr>
      <w:b/>
    </w:rPr>
  </w:style>
  <w:style w:type="character" w:styleId="48">
    <w:name w:val="page number"/>
    <w:qFormat/>
    <w:locked/>
    <w:uiPriority w:val="0"/>
  </w:style>
  <w:style w:type="character" w:styleId="49">
    <w:name w:val="Emphasis"/>
    <w:qFormat/>
    <w:locked/>
    <w:uiPriority w:val="20"/>
    <w:rPr>
      <w:i/>
    </w:rPr>
  </w:style>
  <w:style w:type="character" w:styleId="50">
    <w:name w:val="Hyperlink"/>
    <w:qFormat/>
    <w:locked/>
    <w:uiPriority w:val="0"/>
    <w:rPr>
      <w:color w:val="0000FF"/>
      <w:u w:val="single"/>
    </w:rPr>
  </w:style>
  <w:style w:type="character" w:styleId="51">
    <w:name w:val="annotation reference"/>
    <w:semiHidden/>
    <w:qFormat/>
    <w:uiPriority w:val="0"/>
    <w:rPr>
      <w:sz w:val="21"/>
    </w:rPr>
  </w:style>
  <w:style w:type="paragraph" w:customStyle="1" w:styleId="52">
    <w:name w:val="样式35"/>
    <w:basedOn w:val="53"/>
    <w:next w:val="58"/>
    <w:qFormat/>
    <w:uiPriority w:val="0"/>
    <w:pPr>
      <w:tabs>
        <w:tab w:val="left" w:pos="0"/>
        <w:tab w:val="left" w:pos="360"/>
        <w:tab w:val="left" w:pos="480"/>
        <w:tab w:val="left" w:pos="540"/>
        <w:tab w:val="left" w:pos="567"/>
        <w:tab w:val="left" w:pos="720"/>
        <w:tab w:val="left" w:pos="992"/>
      </w:tabs>
      <w:ind w:hanging="567"/>
    </w:pPr>
  </w:style>
  <w:style w:type="paragraph" w:customStyle="1" w:styleId="53">
    <w:name w:val="样式26"/>
    <w:basedOn w:val="54"/>
    <w:qFormat/>
    <w:uiPriority w:val="0"/>
    <w:pPr>
      <w:tabs>
        <w:tab w:val="left" w:pos="0"/>
        <w:tab w:val="left" w:pos="360"/>
        <w:tab w:val="left" w:pos="480"/>
        <w:tab w:val="left" w:pos="540"/>
        <w:tab w:val="left" w:pos="567"/>
        <w:tab w:val="left" w:pos="720"/>
      </w:tabs>
    </w:pPr>
  </w:style>
  <w:style w:type="paragraph" w:customStyle="1" w:styleId="54">
    <w:name w:val="样式21"/>
    <w:basedOn w:val="55"/>
    <w:qFormat/>
    <w:uiPriority w:val="0"/>
    <w:pPr>
      <w:numPr>
        <w:ilvl w:val="1"/>
        <w:numId w:val="4"/>
      </w:numPr>
    </w:pPr>
    <w:rPr>
      <w:bCs/>
    </w:rPr>
  </w:style>
  <w:style w:type="paragraph" w:customStyle="1" w:styleId="55">
    <w:name w:val="样式5"/>
    <w:basedOn w:val="56"/>
    <w:qFormat/>
    <w:uiPriority w:val="0"/>
    <w:pPr>
      <w:keepNext w:val="0"/>
      <w:keepLines w:val="0"/>
      <w:widowControl/>
      <w:spacing w:beforeLines="50" w:afterLines="50" w:line="360" w:lineRule="auto"/>
      <w:ind w:left="780" w:hanging="360"/>
      <w:jc w:val="left"/>
    </w:pPr>
    <w:rPr>
      <w:rFonts w:ascii="Times New Roman" w:hAnsi="Times New Roman"/>
      <w:bCs w:val="0"/>
      <w:kern w:val="0"/>
      <w:sz w:val="30"/>
      <w:szCs w:val="30"/>
    </w:rPr>
  </w:style>
  <w:style w:type="paragraph" w:customStyle="1" w:styleId="56">
    <w:name w:val="样式12"/>
    <w:basedOn w:val="57"/>
    <w:qFormat/>
    <w:uiPriority w:val="0"/>
    <w:pPr>
      <w:spacing w:before="180" w:after="120" w:line="500" w:lineRule="exact"/>
      <w:ind w:firstLine="200" w:firstLineChars="200"/>
      <w:jc w:val="center"/>
    </w:pPr>
    <w:rPr>
      <w:rFonts w:ascii="Arial" w:hAnsi="Arial"/>
      <w:sz w:val="36"/>
    </w:rPr>
  </w:style>
  <w:style w:type="paragraph" w:customStyle="1" w:styleId="57">
    <w:name w:val="样式 标题 3标题 3 Char标题3H3h33rd level第二层条三级标题ReHead 3 WSA头..."/>
    <w:basedOn w:val="9"/>
    <w:qFormat/>
    <w:uiPriority w:val="0"/>
    <w:pPr>
      <w:ind w:left="4140" w:hanging="720"/>
    </w:pPr>
    <w:rPr>
      <w:rFonts w:eastAsia="黑体"/>
      <w:color w:val="FF0000"/>
    </w:rPr>
  </w:style>
  <w:style w:type="paragraph" w:customStyle="1" w:styleId="58">
    <w:name w:val="font6"/>
    <w:basedOn w:val="1"/>
    <w:next w:val="37"/>
    <w:qFormat/>
    <w:uiPriority w:val="0"/>
    <w:pPr>
      <w:widowControl/>
      <w:spacing w:before="100" w:beforeAutospacing="1" w:after="100" w:afterAutospacing="1"/>
      <w:jc w:val="left"/>
    </w:pPr>
    <w:rPr>
      <w:rFonts w:eastAsia="Arial Unicode MS"/>
      <w:kern w:val="0"/>
      <w:sz w:val="28"/>
      <w:szCs w:val="28"/>
    </w:rPr>
  </w:style>
  <w:style w:type="paragraph" w:customStyle="1" w:styleId="59">
    <w:name w:val="图表名称"/>
    <w:basedOn w:val="43"/>
    <w:next w:val="60"/>
    <w:qFormat/>
    <w:uiPriority w:val="0"/>
    <w:pPr>
      <w:tabs>
        <w:tab w:val="left" w:pos="3240"/>
        <w:tab w:val="left" w:pos="6120"/>
      </w:tabs>
      <w:adjustRightInd w:val="0"/>
      <w:snapToGrid w:val="0"/>
      <w:ind w:left="0" w:firstLine="0" w:firstLineChars="0"/>
      <w:jc w:val="center"/>
    </w:pPr>
    <w:rPr>
      <w:rFonts w:ascii="Times New Roman" w:hAnsi="Times New Roman"/>
      <w:b/>
      <w:bCs/>
      <w:kern w:val="2"/>
      <w:sz w:val="24"/>
      <w:szCs w:val="28"/>
      <w:lang w:eastAsia="zh-CN"/>
    </w:rPr>
  </w:style>
  <w:style w:type="paragraph" w:customStyle="1" w:styleId="60">
    <w:name w:val="报告正文"/>
    <w:basedOn w:val="61"/>
    <w:qFormat/>
    <w:uiPriority w:val="1"/>
    <w:pPr>
      <w:ind w:firstLine="200"/>
      <w:jc w:val="both"/>
    </w:pPr>
    <w:rPr>
      <w:kern w:val="2"/>
      <w:szCs w:val="22"/>
    </w:rPr>
  </w:style>
  <w:style w:type="paragraph" w:styleId="61">
    <w:name w:val="List Paragraph"/>
    <w:basedOn w:val="1"/>
    <w:qFormat/>
    <w:uiPriority w:val="1"/>
    <w:pPr>
      <w:ind w:left="1057" w:firstLine="480"/>
    </w:pPr>
    <w:rPr>
      <w:rFonts w:ascii="宋体" w:hAnsi="宋体" w:eastAsia="宋体" w:cs="宋体"/>
      <w:lang w:val="en-US" w:eastAsia="zh-CN" w:bidi="ar-SA"/>
    </w:rPr>
  </w:style>
  <w:style w:type="character" w:customStyle="1" w:styleId="62">
    <w:name w:val="标题 2 字符"/>
    <w:link w:val="8"/>
    <w:semiHidden/>
    <w:qFormat/>
    <w:uiPriority w:val="0"/>
    <w:rPr>
      <w:rFonts w:ascii="等线 Light" w:hAnsi="等线 Light" w:eastAsia="等线 Light" w:cs="Times New Roman"/>
      <w:b/>
      <w:bCs/>
      <w:kern w:val="2"/>
      <w:sz w:val="32"/>
      <w:szCs w:val="32"/>
    </w:rPr>
  </w:style>
  <w:style w:type="character" w:customStyle="1" w:styleId="63">
    <w:name w:val="正文文本缩进 字符"/>
    <w:link w:val="16"/>
    <w:semiHidden/>
    <w:qFormat/>
    <w:locked/>
    <w:uiPriority w:val="0"/>
    <w:rPr>
      <w:rFonts w:ascii="Times New Roman" w:hAnsi="Times New Roman" w:eastAsia="宋体"/>
      <w:sz w:val="24"/>
    </w:rPr>
  </w:style>
  <w:style w:type="character" w:customStyle="1" w:styleId="64">
    <w:name w:val="正文文本 字符"/>
    <w:link w:val="22"/>
    <w:qFormat/>
    <w:locked/>
    <w:uiPriority w:val="0"/>
    <w:rPr>
      <w:sz w:val="18"/>
    </w:rPr>
  </w:style>
  <w:style w:type="character" w:customStyle="1" w:styleId="65">
    <w:name w:val="批注文字 字符"/>
    <w:link w:val="20"/>
    <w:qFormat/>
    <w:locked/>
    <w:uiPriority w:val="0"/>
    <w:rPr>
      <w:rFonts w:ascii="Times New Roman" w:hAnsi="Times New Roman" w:eastAsia="宋体"/>
      <w:sz w:val="24"/>
    </w:rPr>
  </w:style>
  <w:style w:type="character" w:customStyle="1" w:styleId="66">
    <w:name w:val="日期 字符1"/>
    <w:link w:val="30"/>
    <w:qFormat/>
    <w:locked/>
    <w:uiPriority w:val="0"/>
    <w:rPr>
      <w:rFonts w:ascii="Times New Roman" w:hAnsi="Times New Roman" w:eastAsia="宋体"/>
      <w:sz w:val="24"/>
    </w:rPr>
  </w:style>
  <w:style w:type="character" w:customStyle="1" w:styleId="67">
    <w:name w:val="批注框文本 字符"/>
    <w:link w:val="32"/>
    <w:semiHidden/>
    <w:qFormat/>
    <w:locked/>
    <w:uiPriority w:val="0"/>
    <w:rPr>
      <w:rFonts w:ascii="Times New Roman" w:hAnsi="Times New Roman" w:eastAsia="宋体"/>
      <w:sz w:val="18"/>
    </w:rPr>
  </w:style>
  <w:style w:type="character" w:customStyle="1" w:styleId="68">
    <w:name w:val="页脚 字符1"/>
    <w:link w:val="33"/>
    <w:qFormat/>
    <w:locked/>
    <w:uiPriority w:val="99"/>
    <w:rPr>
      <w:sz w:val="18"/>
    </w:rPr>
  </w:style>
  <w:style w:type="character" w:customStyle="1" w:styleId="69">
    <w:name w:val="页眉 字符"/>
    <w:link w:val="34"/>
    <w:qFormat/>
    <w:locked/>
    <w:uiPriority w:val="0"/>
    <w:rPr>
      <w:sz w:val="18"/>
    </w:rPr>
  </w:style>
  <w:style w:type="character" w:customStyle="1" w:styleId="70">
    <w:name w:val="普通(网站) 字符"/>
    <w:link w:val="41"/>
    <w:qFormat/>
    <w:locked/>
    <w:uiPriority w:val="0"/>
    <w:rPr>
      <w:rFonts w:ascii="宋体" w:hAnsi="宋体" w:eastAsia="宋体"/>
      <w:sz w:val="24"/>
    </w:rPr>
  </w:style>
  <w:style w:type="character" w:customStyle="1" w:styleId="71">
    <w:name w:val="批注主题 字符"/>
    <w:link w:val="42"/>
    <w:semiHidden/>
    <w:qFormat/>
    <w:locked/>
    <w:uiPriority w:val="0"/>
    <w:rPr>
      <w:rFonts w:ascii="Times New Roman" w:hAnsi="Times New Roman" w:eastAsia="宋体"/>
      <w:b/>
      <w:kern w:val="2"/>
      <w:sz w:val="24"/>
    </w:rPr>
  </w:style>
  <w:style w:type="paragraph" w:customStyle="1" w:styleId="72">
    <w:name w:val="TT标题"/>
    <w:basedOn w:val="1"/>
    <w:qFormat/>
    <w:uiPriority w:val="0"/>
    <w:pPr>
      <w:widowControl/>
      <w:jc w:val="center"/>
    </w:pPr>
    <w:rPr>
      <w:b/>
      <w:kern w:val="0"/>
      <w:sz w:val="24"/>
      <w:szCs w:val="20"/>
    </w:rPr>
  </w:style>
  <w:style w:type="paragraph" w:customStyle="1" w:styleId="73">
    <w:name w:val="Default1"/>
    <w:next w:val="7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正文样式1"/>
    <w:basedOn w:val="1"/>
    <w:next w:val="1"/>
    <w:qFormat/>
    <w:uiPriority w:val="0"/>
    <w:pPr>
      <w:widowControl/>
      <w:ind w:firstLine="510"/>
    </w:pPr>
    <w:rPr>
      <w:rFonts w:ascii="Tahoma" w:hAnsi="Tahoma" w:eastAsia="Tahoma" w:cs="Tahoma"/>
      <w:kern w:val="24"/>
    </w:rPr>
  </w:style>
  <w:style w:type="paragraph" w:customStyle="1" w:styleId="75">
    <w:name w:val="标题2"/>
    <w:basedOn w:val="8"/>
    <w:next w:val="1"/>
    <w:qFormat/>
    <w:uiPriority w:val="0"/>
    <w:pPr>
      <w:numPr>
        <w:ilvl w:val="1"/>
        <w:numId w:val="5"/>
      </w:numPr>
      <w:spacing w:before="0" w:after="0" w:line="440" w:lineRule="exact"/>
    </w:pPr>
    <w:rPr>
      <w:kern w:val="0"/>
      <w:sz w:val="28"/>
    </w:rPr>
  </w:style>
  <w:style w:type="paragraph" w:customStyle="1" w:styleId="76">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77">
    <w:name w:val="xl27"/>
    <w:basedOn w:val="1"/>
    <w:qFormat/>
    <w:uiPriority w:val="0"/>
    <w:pPr>
      <w:widowControl/>
      <w:pBdr>
        <w:bottom w:val="single" w:color="auto" w:sz="4" w:space="0"/>
        <w:right w:val="single" w:color="auto" w:sz="4" w:space="0"/>
      </w:pBdr>
      <w:spacing w:beforeAutospacing="1" w:afterAutospacing="1"/>
      <w:jc w:val="center"/>
    </w:pPr>
    <w:rPr>
      <w:kern w:val="0"/>
      <w:szCs w:val="21"/>
    </w:rPr>
  </w:style>
  <w:style w:type="paragraph" w:customStyle="1" w:styleId="78">
    <w:name w:val="我的表格"/>
    <w:basedOn w:val="52"/>
    <w:next w:val="79"/>
    <w:qFormat/>
    <w:uiPriority w:val="0"/>
    <w:pPr>
      <w:adjustRightInd w:val="0"/>
      <w:snapToGrid w:val="0"/>
      <w:spacing w:before="280" w:after="290"/>
      <w:jc w:val="center"/>
    </w:pPr>
    <w:rPr>
      <w:rFonts w:ascii="宋体" w:hAnsi="宋体" w:cs="宋体"/>
      <w:szCs w:val="21"/>
    </w:rPr>
  </w:style>
  <w:style w:type="paragraph" w:customStyle="1" w:styleId="79">
    <w:name w:val="正文1"/>
    <w:basedOn w:val="1"/>
    <w:qFormat/>
    <w:uiPriority w:val="99"/>
    <w:pPr>
      <w:widowControl/>
      <w:tabs>
        <w:tab w:val="left" w:pos="432"/>
      </w:tabs>
      <w:adjustRightInd w:val="0"/>
      <w:spacing w:line="480" w:lineRule="exact"/>
      <w:jc w:val="center"/>
      <w:textAlignment w:val="baseline"/>
    </w:pPr>
    <w:rPr>
      <w:rFonts w:ascii="宋体" w:hAnsi="Times New Roman"/>
      <w:kern w:val="0"/>
      <w:sz w:val="28"/>
      <w:szCs w:val="20"/>
    </w:rPr>
  </w:style>
  <w:style w:type="paragraph" w:customStyle="1" w:styleId="80">
    <w:name w:val="样式8"/>
    <w:basedOn w:val="81"/>
    <w:qFormat/>
    <w:uiPriority w:val="0"/>
    <w:pPr>
      <w:tabs>
        <w:tab w:val="left" w:pos="567"/>
      </w:tabs>
    </w:pPr>
    <w:rPr>
      <w:snapToGrid w:val="0"/>
    </w:rPr>
  </w:style>
  <w:style w:type="paragraph" w:customStyle="1" w:styleId="81">
    <w:name w:val="样式 标题 1标题 11一、 + Times New Roman 行距: 固定值 23 磅"/>
    <w:basedOn w:val="7"/>
    <w:qFormat/>
    <w:uiPriority w:val="0"/>
    <w:pPr>
      <w:spacing w:before="0" w:after="0" w:line="460" w:lineRule="exact"/>
    </w:pPr>
    <w:rPr>
      <w:rFonts w:ascii="黑体" w:eastAsia="黑体" w:cs="宋体"/>
      <w:b w:val="0"/>
      <w:sz w:val="32"/>
      <w:szCs w:val="32"/>
    </w:rPr>
  </w:style>
  <w:style w:type="character" w:customStyle="1" w:styleId="82">
    <w:name w:val="font11"/>
    <w:basedOn w:val="46"/>
    <w:qFormat/>
    <w:uiPriority w:val="0"/>
    <w:rPr>
      <w:rFonts w:hint="eastAsia" w:ascii="宋体" w:hAnsi="宋体" w:eastAsia="宋体" w:cs="宋体"/>
      <w:b/>
      <w:color w:val="000000"/>
      <w:sz w:val="18"/>
      <w:szCs w:val="18"/>
      <w:u w:val="none"/>
    </w:rPr>
  </w:style>
  <w:style w:type="character" w:customStyle="1" w:styleId="83">
    <w:name w:val="页脚 字符"/>
    <w:qFormat/>
    <w:uiPriority w:val="99"/>
  </w:style>
  <w:style w:type="character" w:customStyle="1" w:styleId="84">
    <w:name w:val="日期 字符"/>
    <w:semiHidden/>
    <w:qFormat/>
    <w:uiPriority w:val="0"/>
    <w:rPr>
      <w:rFonts w:ascii="Times New Roman" w:hAnsi="Times New Roman" w:eastAsia="宋体"/>
      <w:sz w:val="24"/>
    </w:rPr>
  </w:style>
  <w:style w:type="character" w:customStyle="1" w:styleId="85">
    <w:name w:val="正文文本 字符1"/>
    <w:semiHidden/>
    <w:qFormat/>
    <w:uiPriority w:val="0"/>
    <w:rPr>
      <w:rFonts w:ascii="Times New Roman" w:hAnsi="Times New Roman" w:eastAsia="宋体"/>
      <w:sz w:val="24"/>
    </w:rPr>
  </w:style>
  <w:style w:type="character" w:customStyle="1" w:styleId="86">
    <w:name w:val="批注文字 字符1"/>
    <w:semiHidden/>
    <w:qFormat/>
    <w:uiPriority w:val="0"/>
    <w:rPr>
      <w:rFonts w:ascii="Times New Roman" w:hAnsi="Times New Roman" w:eastAsia="宋体"/>
      <w:sz w:val="24"/>
    </w:rPr>
  </w:style>
  <w:style w:type="character" w:customStyle="1" w:styleId="87">
    <w:name w:val="表格 Char"/>
    <w:link w:val="88"/>
    <w:qFormat/>
    <w:locked/>
    <w:uiPriority w:val="0"/>
    <w:rPr>
      <w:rFonts w:ascii="宋体"/>
      <w:sz w:val="21"/>
    </w:rPr>
  </w:style>
  <w:style w:type="paragraph" w:customStyle="1" w:styleId="88">
    <w:name w:val="表格"/>
    <w:basedOn w:val="19"/>
    <w:next w:val="1"/>
    <w:link w:val="87"/>
    <w:qFormat/>
    <w:uiPriority w:val="0"/>
    <w:pPr>
      <w:adjustRightInd w:val="0"/>
      <w:snapToGrid w:val="0"/>
      <w:spacing w:beforeLines="10" w:afterLines="10" w:line="259" w:lineRule="auto"/>
      <w:jc w:val="center"/>
    </w:pPr>
    <w:rPr>
      <w:rFonts w:ascii="宋体"/>
      <w:kern w:val="0"/>
      <w:szCs w:val="20"/>
    </w:rPr>
  </w:style>
  <w:style w:type="paragraph" w:customStyle="1" w:styleId="89">
    <w:name w:val="Lux 正文"/>
    <w:basedOn w:val="1"/>
    <w:qFormat/>
    <w:uiPriority w:val="0"/>
    <w:pPr>
      <w:spacing w:before="80" w:after="80" w:line="500" w:lineRule="exact"/>
      <w:ind w:firstLine="200" w:firstLineChars="200"/>
    </w:pPr>
    <w:rPr>
      <w:kern w:val="0"/>
      <w:sz w:val="24"/>
      <w:szCs w:val="20"/>
    </w:rPr>
  </w:style>
  <w:style w:type="paragraph" w:customStyle="1" w:styleId="90">
    <w:name w:val="0表格内容"/>
    <w:basedOn w:val="1"/>
    <w:qFormat/>
    <w:uiPriority w:val="0"/>
    <w:pPr>
      <w:jc w:val="center"/>
    </w:pPr>
    <w:rPr>
      <w:szCs w:val="24"/>
    </w:rPr>
  </w:style>
  <w:style w:type="paragraph" w:customStyle="1" w:styleId="9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2">
    <w:name w:val="正文_7"/>
    <w:qFormat/>
    <w:uiPriority w:val="0"/>
    <w:pPr>
      <w:widowControl w:val="0"/>
      <w:jc w:val="both"/>
    </w:pPr>
    <w:rPr>
      <w:rFonts w:ascii="Calibri" w:hAnsi="Calibri" w:eastAsia="宋体" w:cs="Times New Roman"/>
      <w:kern w:val="2"/>
      <w:sz w:val="21"/>
      <w:lang w:val="en-US" w:eastAsia="zh-CN" w:bidi="ar-SA"/>
    </w:rPr>
  </w:style>
  <w:style w:type="paragraph" w:customStyle="1" w:styleId="93">
    <w:name w:val="TT表格文字"/>
    <w:basedOn w:val="1"/>
    <w:qFormat/>
    <w:uiPriority w:val="0"/>
    <w:pPr>
      <w:jc w:val="center"/>
    </w:pPr>
    <w:rPr>
      <w:rFonts w:ascii="Times New Roman" w:hAnsi="Times New Roman"/>
      <w:sz w:val="21"/>
      <w:szCs w:val="20"/>
    </w:rPr>
  </w:style>
  <w:style w:type="paragraph" w:customStyle="1" w:styleId="94">
    <w:name w:val="样式 小四 行距: 1.5 倍行距"/>
    <w:basedOn w:val="10"/>
    <w:qFormat/>
    <w:uiPriority w:val="0"/>
    <w:pPr>
      <w:spacing w:line="360" w:lineRule="auto"/>
    </w:pPr>
    <w:rPr>
      <w:rFonts w:eastAsia="宋体" w:cs="宋体"/>
      <w:sz w:val="24"/>
      <w:szCs w:val="20"/>
    </w:rPr>
  </w:style>
  <w:style w:type="paragraph" w:customStyle="1" w:styleId="95">
    <w:name w:val="Other|2"/>
    <w:basedOn w:val="1"/>
    <w:qFormat/>
    <w:uiPriority w:val="0"/>
    <w:pPr>
      <w:widowControl w:val="0"/>
      <w:shd w:val="clear" w:color="auto" w:fill="auto"/>
      <w:spacing w:before="80"/>
    </w:pPr>
    <w:rPr>
      <w:rFonts w:ascii="宋体" w:hAnsi="宋体" w:eastAsia="宋体" w:cs="宋体"/>
      <w:sz w:val="19"/>
      <w:szCs w:val="19"/>
      <w:u w:val="none"/>
      <w:shd w:val="clear" w:color="auto" w:fill="auto"/>
      <w:lang w:val="zh-TW" w:eastAsia="zh-TW" w:bidi="zh-TW"/>
    </w:rPr>
  </w:style>
  <w:style w:type="paragraph" w:customStyle="1" w:styleId="96">
    <w:name w:val="Body text|1"/>
    <w:basedOn w:val="1"/>
    <w:qFormat/>
    <w:uiPriority w:val="0"/>
    <w:pPr>
      <w:widowControl w:val="0"/>
      <w:shd w:val="clear" w:color="auto" w:fill="auto"/>
      <w:spacing w:line="408" w:lineRule="auto"/>
      <w:ind w:firstLine="400"/>
    </w:pPr>
    <w:rPr>
      <w:rFonts w:ascii="宋体" w:hAnsi="宋体" w:eastAsia="宋体" w:cs="宋体"/>
      <w:u w:val="none"/>
      <w:shd w:val="clear" w:color="auto" w:fill="auto"/>
      <w:lang w:val="zh-TW" w:eastAsia="zh-TW" w:bidi="zh-TW"/>
    </w:rPr>
  </w:style>
  <w:style w:type="paragraph" w:customStyle="1" w:styleId="97">
    <w:name w:val="标题 31"/>
    <w:basedOn w:val="1"/>
    <w:next w:val="1"/>
    <w:qFormat/>
    <w:uiPriority w:val="0"/>
    <w:pPr>
      <w:keepNext/>
      <w:keepLines/>
      <w:spacing w:before="260" w:after="260" w:line="416" w:lineRule="auto"/>
      <w:outlineLvl w:val="2"/>
    </w:pPr>
    <w:rPr>
      <w:b/>
      <w:bCs/>
      <w:sz w:val="32"/>
      <w:szCs w:val="32"/>
    </w:rPr>
  </w:style>
  <w:style w:type="paragraph" w:customStyle="1" w:styleId="98">
    <w:name w:val="Heading #1|1"/>
    <w:basedOn w:val="1"/>
    <w:qFormat/>
    <w:uiPriority w:val="0"/>
    <w:pPr>
      <w:widowControl w:val="0"/>
      <w:shd w:val="clear" w:color="auto" w:fill="auto"/>
      <w:spacing w:line="468" w:lineRule="exact"/>
      <w:ind w:left="1360"/>
      <w:outlineLvl w:val="0"/>
    </w:pPr>
    <w:rPr>
      <w:rFonts w:ascii="宋体" w:hAnsi="宋体" w:eastAsia="宋体" w:cs="宋体"/>
      <w:b/>
      <w:bCs/>
      <w:u w:val="none"/>
      <w:shd w:val="clear" w:color="auto" w:fill="auto"/>
      <w:lang w:val="zh-TW" w:eastAsia="zh-TW" w:bidi="zh-TW"/>
    </w:rPr>
  </w:style>
  <w:style w:type="paragraph" w:customStyle="1" w:styleId="99">
    <w:name w:val="Table caption|1"/>
    <w:basedOn w:val="1"/>
    <w:qFormat/>
    <w:uiPriority w:val="0"/>
    <w:pPr>
      <w:widowControl w:val="0"/>
      <w:shd w:val="clear" w:color="auto" w:fill="auto"/>
      <w:spacing w:line="468" w:lineRule="exact"/>
      <w:ind w:firstLine="480"/>
    </w:pPr>
    <w:rPr>
      <w:rFonts w:ascii="宋体" w:hAnsi="宋体" w:eastAsia="宋体" w:cs="宋体"/>
      <w:u w:val="none"/>
      <w:shd w:val="clear" w:color="auto" w:fill="auto"/>
      <w:lang w:val="zh-TW" w:eastAsia="zh-TW" w:bidi="zh-TW"/>
    </w:rPr>
  </w:style>
  <w:style w:type="paragraph" w:customStyle="1" w:styleId="100">
    <w:name w:val="Other|1"/>
    <w:basedOn w:val="1"/>
    <w:qFormat/>
    <w:uiPriority w:val="0"/>
    <w:pPr>
      <w:widowControl w:val="0"/>
      <w:shd w:val="clear" w:color="auto" w:fill="auto"/>
      <w:spacing w:after="70" w:line="410" w:lineRule="auto"/>
      <w:ind w:firstLine="400"/>
    </w:pPr>
    <w:rPr>
      <w:rFonts w:ascii="宋体" w:hAnsi="宋体" w:eastAsia="宋体" w:cs="宋体"/>
      <w:u w:val="none"/>
      <w:shd w:val="clear" w:color="auto" w:fill="auto"/>
      <w:lang w:val="zh-TW" w:eastAsia="zh-TW" w:bidi="zh-TW"/>
    </w:rPr>
  </w:style>
  <w:style w:type="paragraph" w:customStyle="1" w:styleId="101">
    <w:name w:val="表格字体"/>
    <w:basedOn w:val="1"/>
    <w:semiHidden/>
    <w:qFormat/>
    <w:uiPriority w:val="0"/>
    <w:pPr>
      <w:adjustRightInd w:val="0"/>
      <w:spacing w:beforeLines="20" w:afterLines="20"/>
      <w:jc w:val="center"/>
      <w:textAlignment w:val="center"/>
    </w:pPr>
    <w:rPr>
      <w:szCs w:val="21"/>
    </w:rPr>
  </w:style>
  <w:style w:type="paragraph" w:customStyle="1" w:styleId="102">
    <w:name w:val="mm标题3"/>
    <w:basedOn w:val="1"/>
    <w:qFormat/>
    <w:uiPriority w:val="0"/>
    <w:pPr>
      <w:widowControl/>
      <w:spacing w:line="480" w:lineRule="exact"/>
      <w:ind w:firstLine="200" w:firstLineChars="200"/>
      <w:jc w:val="left"/>
    </w:pPr>
    <w:rPr>
      <w:rFonts w:cs="宋体"/>
      <w:b/>
      <w:bCs/>
      <w:color w:val="000000"/>
      <w:sz w:val="24"/>
      <w:szCs w:val="20"/>
    </w:rPr>
  </w:style>
  <w:style w:type="paragraph" w:customStyle="1" w:styleId="103">
    <w:name w:val="表格文字01"/>
    <w:basedOn w:val="1"/>
    <w:qFormat/>
    <w:uiPriority w:val="0"/>
    <w:pPr>
      <w:tabs>
        <w:tab w:val="left" w:pos="480"/>
      </w:tabs>
      <w:wordWrap w:val="0"/>
      <w:overflowPunct w:val="0"/>
      <w:topLinePunct/>
      <w:spacing w:line="360" w:lineRule="auto"/>
      <w:jc w:val="center"/>
    </w:pPr>
    <w:rPr>
      <w:rFonts w:ascii="Calibri" w:hAnsi="Calibri"/>
      <w:color w:val="000000"/>
      <w:sz w:val="24"/>
    </w:rPr>
  </w:style>
  <w:style w:type="paragraph" w:customStyle="1" w:styleId="104">
    <w:name w:val="表格1"/>
    <w:basedOn w:val="1"/>
    <w:next w:val="1"/>
    <w:qFormat/>
    <w:uiPriority w:val="0"/>
    <w:pPr>
      <w:adjustRightInd w:val="0"/>
      <w:spacing w:line="20" w:lineRule="atLeast"/>
      <w:jc w:val="center"/>
      <w:textAlignment w:val="center"/>
    </w:pPr>
    <w:rPr>
      <w:rFonts w:ascii="宋体"/>
      <w:kern w:val="0"/>
      <w:szCs w:val="20"/>
    </w:rPr>
  </w:style>
  <w:style w:type="paragraph" w:customStyle="1" w:styleId="105">
    <w:name w:val="TT正文"/>
    <w:basedOn w:val="1"/>
    <w:qFormat/>
    <w:uiPriority w:val="0"/>
    <w:pPr>
      <w:spacing w:line="360" w:lineRule="auto"/>
      <w:ind w:firstLine="200" w:firstLineChars="200"/>
    </w:pPr>
    <w:rPr>
      <w:sz w:val="24"/>
    </w:rPr>
  </w:style>
  <w:style w:type="paragraph" w:customStyle="1" w:styleId="106">
    <w:name w:val="【表头】"/>
    <w:basedOn w:val="1"/>
    <w:qFormat/>
    <w:uiPriority w:val="0"/>
    <w:pPr>
      <w:spacing w:after="0" w:line="360" w:lineRule="auto"/>
      <w:jc w:val="center"/>
    </w:pPr>
    <w:rPr>
      <w:rFonts w:ascii="Times New Roman" w:hAnsi="Times New Roman" w:eastAsia="宋体" w:cs="Arial"/>
      <w:b/>
      <w:sz w:val="24"/>
      <w:szCs w:val="20"/>
      <w:lang w:eastAsia="zh-CN"/>
    </w:rPr>
  </w:style>
  <w:style w:type="paragraph" w:customStyle="1" w:styleId="107">
    <w:name w:val="正 文"/>
    <w:qFormat/>
    <w:uiPriority w:val="0"/>
    <w:pPr>
      <w:widowControl w:val="0"/>
      <w:spacing w:line="480" w:lineRule="exact"/>
      <w:ind w:firstLine="471"/>
      <w:jc w:val="both"/>
    </w:pPr>
    <w:rPr>
      <w:rFonts w:ascii="Times New Roman" w:hAnsi="Times New Roman" w:eastAsia="Times New Roman" w:cs="Times New Roman"/>
      <w:kern w:val="2"/>
      <w:sz w:val="24"/>
      <w:szCs w:val="24"/>
      <w:lang w:val="en-US" w:eastAsia="zh-CN" w:bidi="ar-SA"/>
    </w:rPr>
  </w:style>
  <w:style w:type="paragraph" w:customStyle="1" w:styleId="108">
    <w:name w:val="表格内容jophy"/>
    <w:basedOn w:val="1"/>
    <w:qFormat/>
    <w:uiPriority w:val="0"/>
    <w:pPr>
      <w:adjustRightInd w:val="0"/>
      <w:snapToGrid w:val="0"/>
      <w:jc w:val="center"/>
    </w:pPr>
    <w:rPr>
      <w:szCs w:val="18"/>
    </w:rPr>
  </w:style>
  <w:style w:type="paragraph" w:customStyle="1" w:styleId="109">
    <w:name w:val="表格文字"/>
    <w:basedOn w:val="29"/>
    <w:qFormat/>
    <w:uiPriority w:val="0"/>
    <w:pPr>
      <w:adjustRightInd w:val="0"/>
      <w:snapToGrid w:val="0"/>
      <w:jc w:val="center"/>
    </w:pPr>
    <w:rPr>
      <w:sz w:val="21"/>
      <w:lang w:val="en-US" w:eastAsia="zh-CN" w:bidi="ar-SA"/>
    </w:rPr>
  </w:style>
  <w:style w:type="paragraph" w:customStyle="1" w:styleId="110">
    <w:name w:val="表格 32"/>
    <w:basedOn w:val="1"/>
    <w:qFormat/>
    <w:uiPriority w:val="0"/>
    <w:pPr>
      <w:autoSpaceDE w:val="0"/>
      <w:autoSpaceDN w:val="0"/>
      <w:adjustRightInd w:val="0"/>
      <w:jc w:val="center"/>
      <w:textAlignment w:val="baseline"/>
    </w:pPr>
    <w:rPr>
      <w:rFonts w:eastAsia="楷体_GB2312"/>
      <w:kern w:val="0"/>
      <w:sz w:val="24"/>
      <w:szCs w:val="20"/>
    </w:rPr>
  </w:style>
  <w:style w:type="paragraph" w:customStyle="1" w:styleId="111">
    <w:name w:val="Body text|2"/>
    <w:basedOn w:val="1"/>
    <w:qFormat/>
    <w:uiPriority w:val="0"/>
    <w:pPr>
      <w:widowControl w:val="0"/>
      <w:shd w:val="clear" w:color="auto" w:fill="auto"/>
      <w:jc w:val="center"/>
    </w:pPr>
    <w:rPr>
      <w:rFonts w:ascii="宋体" w:hAnsi="宋体" w:eastAsia="宋体" w:cs="宋体"/>
      <w:b/>
      <w:bCs/>
      <w:sz w:val="20"/>
      <w:szCs w:val="20"/>
      <w:u w:val="none"/>
      <w:shd w:val="clear" w:color="auto" w:fill="auto"/>
      <w:lang w:val="zh-TW" w:eastAsia="zh-TW" w:bidi="zh-TW"/>
    </w:rPr>
  </w:style>
  <w:style w:type="paragraph" w:customStyle="1" w:styleId="112">
    <w:name w:val="Table Paragraph"/>
    <w:basedOn w:val="1"/>
    <w:qFormat/>
    <w:uiPriority w:val="1"/>
    <w:pPr>
      <w:jc w:val="left"/>
    </w:pPr>
    <w:rPr>
      <w:rFonts w:ascii="Calibri" w:hAnsi="Calibri"/>
      <w:kern w:val="0"/>
      <w:sz w:val="22"/>
      <w:szCs w:val="22"/>
      <w:lang w:eastAsia="en-US"/>
    </w:rPr>
  </w:style>
  <w:style w:type="paragraph" w:customStyle="1" w:styleId="11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14">
    <w:name w:val="表 内容"/>
    <w:basedOn w:val="1"/>
    <w:qFormat/>
    <w:uiPriority w:val="0"/>
    <w:pPr>
      <w:spacing w:line="240" w:lineRule="atLeast"/>
      <w:jc w:val="center"/>
    </w:pPr>
    <w:rPr>
      <w:szCs w:val="21"/>
    </w:rPr>
  </w:style>
  <w:style w:type="paragraph" w:customStyle="1" w:styleId="115">
    <w:name w:val="文本正文"/>
    <w:basedOn w:val="1"/>
    <w:qFormat/>
    <w:uiPriority w:val="0"/>
    <w:pPr>
      <w:spacing w:line="360" w:lineRule="auto"/>
      <w:ind w:firstLine="480" w:firstLineChars="200"/>
    </w:pPr>
    <w:rPr>
      <w:sz w:val="24"/>
      <w:szCs w:val="24"/>
    </w:rPr>
  </w:style>
  <w:style w:type="paragraph" w:customStyle="1" w:styleId="116">
    <w:name w:val="表头，图名"/>
    <w:basedOn w:val="1"/>
    <w:qFormat/>
    <w:uiPriority w:val="0"/>
    <w:pPr>
      <w:jc w:val="center"/>
    </w:pPr>
    <w:rPr>
      <w:b/>
    </w:rPr>
  </w:style>
  <w:style w:type="paragraph" w:customStyle="1" w:styleId="117">
    <w:name w:val="!正文"/>
    <w:basedOn w:val="1"/>
    <w:qFormat/>
    <w:uiPriority w:val="0"/>
    <w:pPr>
      <w:spacing w:line="480" w:lineRule="exact"/>
      <w:ind w:firstLine="480"/>
    </w:pPr>
    <w:rPr>
      <w:rFonts w:hAnsi="宋体" w:cs="宋体"/>
    </w:rPr>
  </w:style>
  <w:style w:type="paragraph" w:customStyle="1" w:styleId="118">
    <w:name w:val="样式 表格 32 + 首行缩进:  2 字符"/>
    <w:basedOn w:val="110"/>
    <w:qFormat/>
    <w:uiPriority w:val="0"/>
    <w:pPr>
      <w:autoSpaceDE w:val="0"/>
      <w:autoSpaceDN w:val="0"/>
      <w:adjustRightInd w:val="0"/>
      <w:spacing w:line="0" w:lineRule="atLeast"/>
      <w:jc w:val="center"/>
      <w:textAlignment w:val="baseline"/>
    </w:pPr>
    <w:rPr>
      <w:kern w:val="0"/>
      <w:szCs w:val="21"/>
    </w:rPr>
  </w:style>
  <w:style w:type="paragraph" w:customStyle="1" w:styleId="119">
    <w:name w:val="报告表  段"/>
    <w:basedOn w:val="1"/>
    <w:qFormat/>
    <w:uiPriority w:val="0"/>
    <w:pPr>
      <w:snapToGrid/>
      <w:ind w:firstLine="505"/>
      <w:textAlignment w:val="baseline"/>
    </w:pPr>
    <w:rPr>
      <w:rFonts w:ascii="宋体" w:eastAsia="宋体"/>
      <w:sz w:val="24"/>
      <w:lang w:val="en-US" w:eastAsia="zh-CN" w:bidi="ar-SA"/>
    </w:rPr>
  </w:style>
  <w:style w:type="paragraph" w:customStyle="1" w:styleId="120">
    <w:name w:val="0正文"/>
    <w:basedOn w:val="1"/>
    <w:qFormat/>
    <w:uiPriority w:val="0"/>
    <w:pPr>
      <w:adjustRightInd w:val="0"/>
      <w:spacing w:line="360" w:lineRule="auto"/>
      <w:ind w:firstLine="480" w:firstLineChars="200"/>
    </w:pPr>
    <w:rPr>
      <w:sz w:val="24"/>
      <w:szCs w:val="24"/>
    </w:rPr>
  </w:style>
  <w:style w:type="paragraph" w:customStyle="1" w:styleId="121">
    <w:name w:val="表格标题1111"/>
    <w:basedOn w:val="1"/>
    <w:semiHidden/>
    <w:qFormat/>
    <w:uiPriority w:val="0"/>
    <w:pPr>
      <w:jc w:val="center"/>
    </w:pPr>
    <w:rPr>
      <w:rFonts w:cs="宋体"/>
      <w:b/>
      <w:bCs/>
      <w:color w:val="000000"/>
      <w:sz w:val="24"/>
      <w:szCs w:val="20"/>
    </w:rPr>
  </w:style>
  <w:style w:type="paragraph" w:customStyle="1" w:styleId="122">
    <w:name w:val="TTT"/>
    <w:basedOn w:val="1"/>
    <w:qFormat/>
    <w:uiPriority w:val="0"/>
    <w:pPr>
      <w:tabs>
        <w:tab w:val="left" w:pos="480"/>
      </w:tabs>
      <w:spacing w:line="360" w:lineRule="auto"/>
      <w:ind w:firstLine="200" w:firstLineChars="200"/>
      <w:jc w:val="both"/>
    </w:pPr>
    <w:rPr>
      <w:rFonts w:ascii="Times New Roman" w:hAnsi="Times New Roman" w:cs="Times New Roman"/>
      <w:b/>
    </w:rPr>
  </w:style>
  <w:style w:type="paragraph" w:customStyle="1" w:styleId="123">
    <w:name w:val="Heading 3"/>
    <w:basedOn w:val="1"/>
    <w:qFormat/>
    <w:uiPriority w:val="1"/>
    <w:pPr>
      <w:ind w:left="700"/>
      <w:outlineLvl w:val="3"/>
    </w:pPr>
    <w:rPr>
      <w:rFonts w:ascii="宋体" w:hAnsi="宋体" w:eastAsia="宋体" w:cs="宋体"/>
      <w:b/>
      <w:bCs/>
      <w:sz w:val="24"/>
      <w:szCs w:val="24"/>
      <w:lang w:val="en-US" w:eastAsia="zh-CN" w:bidi="ar-SA"/>
    </w:rPr>
  </w:style>
  <w:style w:type="paragraph" w:customStyle="1" w:styleId="124">
    <w:name w:val="【正文】"/>
    <w:basedOn w:val="1"/>
    <w:link w:val="125"/>
    <w:qFormat/>
    <w:uiPriority w:val="0"/>
    <w:pPr>
      <w:adjustRightInd w:val="0"/>
      <w:snapToGrid w:val="0"/>
      <w:spacing w:line="360" w:lineRule="auto"/>
      <w:ind w:firstLine="200" w:firstLineChars="200"/>
      <w:jc w:val="left"/>
    </w:pPr>
    <w:rPr>
      <w:color w:val="000000"/>
      <w:sz w:val="24"/>
    </w:rPr>
  </w:style>
  <w:style w:type="character" w:customStyle="1" w:styleId="125">
    <w:name w:val="【正文】 Char"/>
    <w:link w:val="124"/>
    <w:qFormat/>
    <w:uiPriority w:val="0"/>
    <w:rPr>
      <w:color w:val="000000"/>
      <w:sz w:val="24"/>
    </w:rPr>
  </w:style>
  <w:style w:type="paragraph" w:customStyle="1" w:styleId="126">
    <w:name w:val="缩进"/>
    <w:basedOn w:val="1"/>
    <w:qFormat/>
    <w:uiPriority w:val="0"/>
    <w:pPr>
      <w:tabs>
        <w:tab w:val="left" w:pos="-52"/>
      </w:tabs>
      <w:spacing w:line="400" w:lineRule="atLeast"/>
      <w:ind w:right="-4" w:firstLine="425"/>
    </w:pPr>
    <w:rPr>
      <w:rFonts w:ascii="宋体" w:hAnsi="宋体"/>
      <w:sz w:val="24"/>
    </w:rPr>
  </w:style>
  <w:style w:type="paragraph" w:customStyle="1" w:styleId="127">
    <w:name w:val="表1表2"/>
    <w:basedOn w:val="1"/>
    <w:qFormat/>
    <w:uiPriority w:val="0"/>
    <w:pPr>
      <w:autoSpaceDE w:val="0"/>
      <w:autoSpaceDN w:val="0"/>
      <w:snapToGrid/>
      <w:spacing w:line="240" w:lineRule="auto"/>
      <w:jc w:val="center"/>
      <w:textAlignment w:val="center"/>
    </w:pPr>
    <w:rPr>
      <w:rFonts w:eastAsia="仿宋体"/>
      <w:kern w:val="0"/>
      <w:sz w:val="24"/>
      <w:szCs w:val="20"/>
    </w:rPr>
  </w:style>
  <w:style w:type="paragraph" w:customStyle="1" w:styleId="128">
    <w:name w:val="样式 正文缩进正文（首行缩进两字） Char Char Char Char Char Char正文（首行缩进两字） Char..."/>
    <w:basedOn w:val="19"/>
    <w:qFormat/>
    <w:uiPriority w:val="0"/>
    <w:pPr>
      <w:ind w:firstLine="480"/>
    </w:pPr>
    <w:rPr>
      <w:rFonts w:ascii="宋体" w:hAnsi="宋体" w:eastAsia="宋体"/>
      <w:color w:val="000000"/>
      <w:szCs w:val="20"/>
    </w:rPr>
  </w:style>
  <w:style w:type="paragraph" w:customStyle="1" w:styleId="129">
    <w:name w:val="mm正文"/>
    <w:basedOn w:val="1"/>
    <w:qFormat/>
    <w:uiPriority w:val="0"/>
    <w:pPr>
      <w:spacing w:line="480" w:lineRule="exact"/>
      <w:ind w:firstLine="200" w:firstLineChars="200"/>
    </w:pPr>
    <w:rPr>
      <w:rFonts w:cs="宋体"/>
      <w:color w:val="000000"/>
    </w:rPr>
  </w:style>
  <w:style w:type="paragraph" w:customStyle="1" w:styleId="130">
    <w:name w:val="WPSOffice手动目录 1"/>
    <w:qFormat/>
    <w:uiPriority w:val="0"/>
    <w:rPr>
      <w:rFonts w:ascii="Times New Roman" w:hAnsi="Times New Roman" w:eastAsia="宋体" w:cs="Times New Roman"/>
      <w:lang w:val="en-US" w:eastAsia="zh-CN" w:bidi="ar-SA"/>
    </w:rPr>
  </w:style>
  <w:style w:type="table" w:customStyle="1" w:styleId="131">
    <w:name w:val="网格型1"/>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32">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33">
    <w:name w:val="0表格标题"/>
    <w:basedOn w:val="1"/>
    <w:qFormat/>
    <w:uiPriority w:val="0"/>
    <w:pPr>
      <w:spacing w:before="156" w:beforeLines="50"/>
      <w:jc w:val="center"/>
    </w:pPr>
    <w:rPr>
      <w:b/>
      <w:sz w:val="24"/>
    </w:rPr>
  </w:style>
  <w:style w:type="paragraph" w:customStyle="1" w:styleId="134">
    <w:name w:val="B表内"/>
    <w:basedOn w:val="1"/>
    <w:qFormat/>
    <w:uiPriority w:val="0"/>
    <w:pPr>
      <w:spacing w:line="0" w:lineRule="atLeast"/>
      <w:jc w:val="center"/>
    </w:pPr>
    <w:rPr>
      <w:rFonts w:cs="宋体"/>
    </w:rPr>
  </w:style>
  <w:style w:type="character" w:customStyle="1" w:styleId="135">
    <w:name w:val="NormalCharacter"/>
    <w:qFormat/>
    <w:uiPriority w:val="0"/>
  </w:style>
  <w:style w:type="paragraph" w:customStyle="1" w:styleId="136">
    <w:name w:val="Table Text"/>
    <w:basedOn w:val="1"/>
    <w:semiHidden/>
    <w:qFormat/>
    <w:uiPriority w:val="0"/>
    <w:rPr>
      <w:rFonts w:ascii="宋体" w:hAnsi="宋体" w:eastAsia="宋体" w:cs="宋体"/>
      <w:sz w:val="20"/>
      <w:szCs w:val="20"/>
      <w:lang w:val="en-US" w:eastAsia="en-US" w:bidi="ar-SA"/>
    </w:rPr>
  </w:style>
  <w:style w:type="paragraph" w:customStyle="1" w:styleId="137">
    <w:name w:val="样式 正文首行缩进:  2 字符 + 首行缩进:  2 字符"/>
    <w:basedOn w:val="1"/>
    <w:qFormat/>
    <w:uiPriority w:val="0"/>
    <w:pPr>
      <w:spacing w:line="360" w:lineRule="auto"/>
      <w:ind w:firstLine="480" w:firstLineChars="200"/>
    </w:pPr>
    <w:rPr>
      <w:rFonts w:ascii="Times New Roman" w:hAnsi="Times New Roman" w:eastAsia="宋体" w:cs="宋体"/>
      <w:sz w:val="24"/>
      <w:szCs w:val="20"/>
    </w:rPr>
  </w:style>
  <w:style w:type="paragraph" w:customStyle="1" w:styleId="138">
    <w:name w:val="J表格"/>
    <w:basedOn w:val="139"/>
    <w:qFormat/>
    <w:uiPriority w:val="0"/>
    <w:pPr>
      <w:spacing w:line="240" w:lineRule="auto"/>
      <w:ind w:firstLine="0" w:firstLineChars="0"/>
      <w:jc w:val="center"/>
    </w:pPr>
    <w:rPr>
      <w:sz w:val="21"/>
    </w:rPr>
  </w:style>
  <w:style w:type="paragraph" w:customStyle="1" w:styleId="139">
    <w:name w:val="J"/>
    <w:basedOn w:val="24"/>
    <w:qFormat/>
    <w:uiPriority w:val="0"/>
    <w:pPr>
      <w:autoSpaceDE w:val="0"/>
      <w:autoSpaceDN w:val="0"/>
      <w:adjustRightInd w:val="0"/>
      <w:snapToGrid w:val="0"/>
      <w:spacing w:after="0"/>
      <w:ind w:left="0" w:leftChars="0" w:right="0" w:rightChars="0" w:firstLine="200" w:firstLineChars="200"/>
    </w:pPr>
  </w:style>
  <w:style w:type="character" w:customStyle="1" w:styleId="140">
    <w:name w:val="font21"/>
    <w:basedOn w:val="46"/>
    <w:qFormat/>
    <w:uiPriority w:val="0"/>
    <w:rPr>
      <w:rFonts w:hint="eastAsia" w:ascii="宋体" w:hAnsi="宋体" w:eastAsia="宋体" w:cs="宋体"/>
      <w:color w:val="000000"/>
      <w:sz w:val="21"/>
      <w:szCs w:val="21"/>
      <w:u w:val="none"/>
    </w:rPr>
  </w:style>
  <w:style w:type="paragraph" w:customStyle="1" w:styleId="141">
    <w:name w:val="表格内容居中"/>
    <w:qFormat/>
    <w:uiPriority w:val="0"/>
    <w:pPr>
      <w:adjustRightInd w:val="0"/>
      <w:snapToGrid w:val="0"/>
      <w:spacing w:line="360" w:lineRule="auto"/>
      <w:jc w:val="center"/>
    </w:pPr>
    <w:rPr>
      <w:rFonts w:ascii="Times New Roman" w:hAnsi="Times New Roman" w:eastAsia="宋体" w:cs="Times New Roman"/>
      <w:snapToGrid w:val="0"/>
      <w:kern w:val="0"/>
      <w:sz w:val="21"/>
      <w:szCs w:val="21"/>
      <w:lang w:val="en-US" w:eastAsia="zh-CN" w:bidi="ar-SA"/>
    </w:rPr>
  </w:style>
  <w:style w:type="paragraph" w:customStyle="1" w:styleId="142">
    <w:name w:val="表头"/>
    <w:basedOn w:val="143"/>
    <w:next w:val="1"/>
    <w:qFormat/>
    <w:uiPriority w:val="0"/>
    <w:pPr>
      <w:spacing w:line="360" w:lineRule="auto"/>
      <w:jc w:val="center"/>
    </w:pPr>
    <w:rPr>
      <w:sz w:val="21"/>
      <w:szCs w:val="22"/>
      <w:lang w:val="en-US" w:eastAsia="zh-CN" w:bidi="ar-SA"/>
    </w:rPr>
  </w:style>
  <w:style w:type="paragraph" w:customStyle="1" w:styleId="143">
    <w:name w:val="表标题"/>
    <w:basedOn w:val="22"/>
    <w:next w:val="22"/>
    <w:qFormat/>
    <w:uiPriority w:val="0"/>
    <w:pPr>
      <w:widowControl/>
      <w:ind w:firstLine="510"/>
      <w:jc w:val="center"/>
    </w:pPr>
    <w:rPr>
      <w:rFonts w:ascii="宋体" w:hAnsi="宋体"/>
      <w:b/>
    </w:rPr>
  </w:style>
  <w:style w:type="paragraph" w:customStyle="1" w:styleId="144">
    <w:name w:val="文本"/>
    <w:basedOn w:val="16"/>
    <w:next w:val="1"/>
    <w:qFormat/>
    <w:uiPriority w:val="0"/>
    <w:pPr>
      <w:autoSpaceDE w:val="0"/>
      <w:autoSpaceDN w:val="0"/>
      <w:ind w:firstLine="480"/>
    </w:pPr>
    <w:rPr>
      <w:rFonts w:cs="Times New Roman"/>
      <w:szCs w:val="24"/>
      <w:lang w:val="zh-CN"/>
    </w:rPr>
  </w:style>
  <w:style w:type="character" w:customStyle="1" w:styleId="145">
    <w:name w:val="font01"/>
    <w:qFormat/>
    <w:uiPriority w:val="0"/>
    <w:rPr>
      <w:rFonts w:hint="eastAsia" w:ascii="宋体" w:hAnsi="宋体" w:eastAsia="宋体" w:cs="宋体"/>
      <w:color w:val="000000"/>
      <w:sz w:val="22"/>
      <w:szCs w:val="22"/>
      <w:u w:val="none"/>
      <w:vertAlign w:val="superscript"/>
    </w:rPr>
  </w:style>
  <w:style w:type="paragraph" w:customStyle="1" w:styleId="146">
    <w:name w:val="yjjh正文"/>
    <w:basedOn w:val="1"/>
    <w:qFormat/>
    <w:uiPriority w:val="0"/>
    <w:pPr>
      <w:ind w:firstLine="0" w:firstLineChars="0"/>
      <w:jc w:val="center"/>
    </w:pPr>
    <w:rPr>
      <w:rFonts w:ascii="宋体" w:hAnsi="宋体"/>
      <w:iCs/>
      <w:snapToGrid w:val="0"/>
      <w:sz w:val="28"/>
      <w:szCs w:val="28"/>
      <w:lang w:val="zh-CN"/>
    </w:rPr>
  </w:style>
  <w:style w:type="paragraph" w:customStyle="1" w:styleId="147">
    <w:name w:val="正文（首行缩进） Char"/>
    <w:basedOn w:val="1"/>
    <w:qFormat/>
    <w:uiPriority w:val="0"/>
    <w:pPr>
      <w:widowControl/>
      <w:overflowPunct w:val="0"/>
      <w:topLinePunct/>
      <w:autoSpaceDE w:val="0"/>
      <w:autoSpaceDN w:val="0"/>
      <w:adjustRightInd w:val="0"/>
      <w:snapToGrid w:val="0"/>
      <w:spacing w:line="360" w:lineRule="auto"/>
      <w:ind w:firstLine="480" w:firstLineChars="200"/>
      <w:textAlignment w:val="baseline"/>
    </w:pPr>
    <w:rPr>
      <w:kern w:val="0"/>
      <w:sz w:val="24"/>
      <w:szCs w:val="24"/>
    </w:rPr>
  </w:style>
  <w:style w:type="paragraph" w:customStyle="1" w:styleId="148">
    <w:name w:val="表格标题8"/>
    <w:basedOn w:val="17"/>
    <w:next w:val="1"/>
    <w:qFormat/>
    <w:uiPriority w:val="0"/>
    <w:pPr>
      <w:keepNext/>
      <w:spacing w:line="360" w:lineRule="auto"/>
      <w:ind w:firstLine="0" w:firstLineChars="0"/>
      <w:jc w:val="center"/>
    </w:pPr>
    <w:rPr>
      <w:rFonts w:ascii="Times New Roman" w:hAnsi="Times New Roman" w:eastAsia="宋体" w:cs="Times New Roman"/>
      <w:sz w:val="21"/>
    </w:rPr>
  </w:style>
  <w:style w:type="paragraph" w:customStyle="1" w:styleId="149">
    <w:name w:val="样式 加粗 居中"/>
    <w:basedOn w:val="1"/>
    <w:qFormat/>
    <w:uiPriority w:val="0"/>
    <w:pPr>
      <w:spacing w:line="400" w:lineRule="exact"/>
      <w:jc w:val="center"/>
    </w:pPr>
    <w:rPr>
      <w:rFonts w:cs="宋体"/>
      <w:b/>
      <w:bCs/>
      <w:color w:val="auto"/>
      <w:kern w:val="2"/>
      <w:sz w:val="24"/>
      <w:szCs w:val="20"/>
    </w:rPr>
  </w:style>
  <w:style w:type="table" w:customStyle="1" w:styleId="150">
    <w:name w:val="常规"/>
    <w:basedOn w:val="44"/>
    <w:qFormat/>
    <w:uiPriority w:val="0"/>
    <w:pPr>
      <w:keepNext w:val="0"/>
      <w:keepLines w:val="0"/>
      <w:widowControl/>
      <w:suppressLineNumbers w:val="0"/>
      <w:spacing w:before="0" w:beforeAutospacing="0" w:after="0" w:afterAutospacing="0" w:line="276" w:lineRule="auto"/>
      <w:ind w:left="0" w:right="0"/>
      <w:jc w:val="center"/>
    </w:pPr>
    <w:rPr>
      <w:rFonts w:hint="default" w:ascii="Times New Roman" w:hAnsi="Times New Roman" w:eastAsia="宋体" w:cs="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tblStylePr w:type="firstRow">
      <w:rPr>
        <w:rFonts w:hint="default" w:ascii="Times New Roman" w:hAnsi="Times New Roman" w:eastAsia="宋体" w:cs="Times New Roman"/>
        <w:b w:val="0"/>
        <w:sz w:val="21"/>
        <w:szCs w:val="21"/>
      </w:rPr>
    </w:tblStylePr>
  </w:style>
  <w:style w:type="paragraph" w:customStyle="1" w:styleId="151">
    <w:name w:val="表2"/>
    <w:basedOn w:val="1"/>
    <w:next w:val="88"/>
    <w:qFormat/>
    <w:uiPriority w:val="0"/>
    <w:pPr>
      <w:numPr>
        <w:ilvl w:val="0"/>
        <w:numId w:val="6"/>
      </w:numPr>
    </w:pPr>
  </w:style>
  <w:style w:type="character" w:customStyle="1" w:styleId="152">
    <w:name w:val="font71"/>
    <w:basedOn w:val="46"/>
    <w:qFormat/>
    <w:uiPriority w:val="0"/>
    <w:rPr>
      <w:rFonts w:hint="eastAsia" w:ascii="宋体" w:hAnsi="宋体" w:eastAsia="宋体" w:cs="宋体"/>
      <w:color w:val="000000"/>
      <w:sz w:val="20"/>
      <w:szCs w:val="20"/>
      <w:u w:val="none"/>
    </w:rPr>
  </w:style>
  <w:style w:type="paragraph" w:customStyle="1" w:styleId="153">
    <w:name w:val="小节标题"/>
    <w:basedOn w:val="1"/>
    <w:next w:val="154"/>
    <w:qFormat/>
    <w:uiPriority w:val="0"/>
    <w:pPr>
      <w:widowControl/>
      <w:numPr>
        <w:ilvl w:val="0"/>
        <w:numId w:val="7"/>
      </w:numPr>
      <w:tabs>
        <w:tab w:val="clear" w:pos="0"/>
      </w:tabs>
      <w:spacing w:line="360" w:lineRule="auto"/>
      <w:ind w:firstLine="560" w:firstLineChars="200"/>
      <w:jc w:val="left"/>
    </w:pPr>
    <w:rPr>
      <w:rFonts w:hint="eastAsia" w:cs="宋体"/>
      <w:b/>
      <w:bCs/>
      <w:sz w:val="24"/>
      <w:szCs w:val="21"/>
      <w:lang w:bidi="ar"/>
    </w:rPr>
  </w:style>
  <w:style w:type="paragraph" w:customStyle="1" w:styleId="154">
    <w:name w:val="正文小四"/>
    <w:basedOn w:val="1"/>
    <w:qFormat/>
    <w:uiPriority w:val="0"/>
    <w:pPr>
      <w:spacing w:line="360" w:lineRule="auto"/>
      <w:ind w:firstLine="420" w:firstLineChars="200"/>
    </w:pPr>
    <w:rPr>
      <w:rFonts w:ascii="Times New Roman" w:hAnsi="Times New Roman"/>
      <w:sz w:val="24"/>
    </w:rPr>
  </w:style>
  <w:style w:type="paragraph" w:customStyle="1" w:styleId="155">
    <w:name w:val="表1"/>
    <w:basedOn w:val="1"/>
    <w:next w:val="88"/>
    <w:qFormat/>
    <w:uiPriority w:val="0"/>
    <w:pPr>
      <w:numPr>
        <w:ilvl w:val="0"/>
        <w:numId w:val="8"/>
      </w:numPr>
      <w:spacing w:line="360" w:lineRule="auto"/>
      <w:ind w:firstLine="0" w:firstLineChars="0"/>
      <w:jc w:val="center"/>
    </w:pPr>
    <w:rPr>
      <w:b/>
      <w:sz w:val="24"/>
    </w:rPr>
  </w:style>
  <w:style w:type="character" w:customStyle="1" w:styleId="156">
    <w:name w:val="font31"/>
    <w:basedOn w:val="46"/>
    <w:qFormat/>
    <w:uiPriority w:val="0"/>
    <w:rPr>
      <w:rFonts w:hint="eastAsia" w:ascii="宋体" w:hAnsi="宋体" w:eastAsia="宋体" w:cs="宋体"/>
      <w:color w:val="000000"/>
      <w:sz w:val="24"/>
      <w:szCs w:val="24"/>
      <w:u w:val="none"/>
    </w:rPr>
  </w:style>
  <w:style w:type="character" w:customStyle="1" w:styleId="157">
    <w:name w:val="font41"/>
    <w:basedOn w:val="46"/>
    <w:qFormat/>
    <w:uiPriority w:val="0"/>
    <w:rPr>
      <w:rFonts w:hint="eastAsia" w:ascii="宋体" w:hAnsi="宋体" w:eastAsia="宋体" w:cs="宋体"/>
      <w:color w:val="000000"/>
      <w:sz w:val="24"/>
      <w:szCs w:val="24"/>
      <w:u w:val="none"/>
    </w:rPr>
  </w:style>
  <w:style w:type="paragraph" w:customStyle="1" w:styleId="158">
    <w:name w:val="国寰正文"/>
    <w:basedOn w:val="1"/>
    <w:qFormat/>
    <w:uiPriority w:val="0"/>
    <w:pPr>
      <w:adjustRightInd w:val="0"/>
      <w:snapToGrid w:val="0"/>
      <w:spacing w:line="360" w:lineRule="auto"/>
      <w:ind w:firstLine="200" w:firstLineChars="200"/>
    </w:pPr>
    <w:rPr>
      <w:spacing w:val="0"/>
      <w:kern w:val="2"/>
      <w:sz w:val="24"/>
      <w:szCs w:val="24"/>
    </w:rPr>
  </w:style>
  <w:style w:type="character" w:customStyle="1" w:styleId="159">
    <w:name w:val="fontstyle01"/>
    <w:basedOn w:val="46"/>
    <w:qFormat/>
    <w:uiPriority w:val="0"/>
    <w:rPr>
      <w:rFonts w:hint="eastAsia" w:ascii="宋体" w:hAnsi="宋体" w:eastAsia="宋体"/>
      <w:color w:val="000000"/>
      <w:sz w:val="24"/>
      <w:szCs w:val="24"/>
    </w:rPr>
  </w:style>
  <w:style w:type="character" w:customStyle="1" w:styleId="160">
    <w:name w:val="fontstyle11"/>
    <w:basedOn w:val="46"/>
    <w:qFormat/>
    <w:uiPriority w:val="0"/>
    <w:rPr>
      <w:rFonts w:hint="default" w:ascii="Times New Roman" w:hAnsi="Times New Roman" w:cs="Times New Roman"/>
      <w:color w:val="000000"/>
      <w:sz w:val="24"/>
      <w:szCs w:val="24"/>
    </w:rPr>
  </w:style>
  <w:style w:type="paragraph" w:customStyle="1" w:styleId="161">
    <w:name w:val="附图附件"/>
    <w:basedOn w:val="1"/>
    <w:qFormat/>
    <w:uiPriority w:val="0"/>
    <w:pPr>
      <w:spacing w:line="240" w:lineRule="auto"/>
      <w:jc w:val="center"/>
      <w:outlineLvl w:val="0"/>
    </w:pPr>
  </w:style>
  <w:style w:type="character" w:customStyle="1" w:styleId="162">
    <w:name w:val="fontstyle21"/>
    <w:qFormat/>
    <w:uiPriority w:val="0"/>
    <w:rPr>
      <w:rFonts w:hint="default" w:ascii="Times New Roman" w:hAnsi="Times New Roman" w:cs="Times New Roman"/>
      <w:color w:val="000000"/>
      <w:sz w:val="24"/>
      <w:szCs w:val="24"/>
    </w:rPr>
  </w:style>
  <w:style w:type="paragraph" w:customStyle="1" w:styleId="163">
    <w:name w:val="6-正文"/>
    <w:basedOn w:val="1"/>
    <w:qFormat/>
    <w:uiPriority w:val="0"/>
    <w:rPr>
      <w:szCs w:val="28"/>
    </w:rPr>
  </w:style>
  <w:style w:type="character" w:customStyle="1" w:styleId="164">
    <w:name w:val="font112"/>
    <w:basedOn w:val="46"/>
    <w:qFormat/>
    <w:uiPriority w:val="0"/>
    <w:rPr>
      <w:rFonts w:hint="eastAsia" w:ascii="宋体" w:hAnsi="宋体" w:eastAsia="宋体" w:cs="宋体"/>
      <w:color w:val="000000"/>
      <w:sz w:val="20"/>
      <w:szCs w:val="20"/>
      <w:u w:val="none"/>
    </w:rPr>
  </w:style>
  <w:style w:type="character" w:customStyle="1" w:styleId="165">
    <w:name w:val="font81"/>
    <w:basedOn w:val="46"/>
    <w:qFormat/>
    <w:uiPriority w:val="0"/>
    <w:rPr>
      <w:rFonts w:hint="default" w:ascii="Times New Roman" w:hAnsi="Times New Roman" w:cs="Times New Roman"/>
      <w:b/>
      <w:bCs/>
      <w:color w:val="FF0000"/>
      <w:sz w:val="21"/>
      <w:szCs w:val="21"/>
      <w:u w:val="none"/>
      <w:vertAlign w:val="superscript"/>
    </w:rPr>
  </w:style>
  <w:style w:type="character" w:customStyle="1" w:styleId="166">
    <w:name w:val="font91"/>
    <w:basedOn w:val="46"/>
    <w:qFormat/>
    <w:uiPriority w:val="0"/>
    <w:rPr>
      <w:rFonts w:hint="eastAsia" w:ascii="宋体" w:hAnsi="宋体" w:eastAsia="宋体" w:cs="宋体"/>
      <w:b/>
      <w:bCs/>
      <w:color w:val="000000"/>
      <w:sz w:val="21"/>
      <w:szCs w:val="21"/>
      <w:u w:val="none"/>
    </w:rPr>
  </w:style>
  <w:style w:type="character" w:customStyle="1" w:styleId="167">
    <w:name w:val="font101"/>
    <w:basedOn w:val="46"/>
    <w:qFormat/>
    <w:uiPriority w:val="0"/>
    <w:rPr>
      <w:rFonts w:hint="eastAsia" w:ascii="宋体" w:hAnsi="宋体" w:eastAsia="宋体" w:cs="宋体"/>
      <w:color w:val="FF0000"/>
      <w:sz w:val="21"/>
      <w:szCs w:val="21"/>
      <w:u w:val="none"/>
    </w:rPr>
  </w:style>
  <w:style w:type="character" w:customStyle="1" w:styleId="168">
    <w:name w:val="font51"/>
    <w:basedOn w:val="46"/>
    <w:qFormat/>
    <w:uiPriority w:val="0"/>
    <w:rPr>
      <w:rFonts w:hint="eastAsia" w:ascii="宋体" w:hAnsi="宋体" w:eastAsia="宋体" w:cs="宋体"/>
      <w:b/>
      <w:bCs/>
      <w:color w:val="000000"/>
      <w:sz w:val="21"/>
      <w:szCs w:val="21"/>
      <w:u w:val="none"/>
    </w:rPr>
  </w:style>
  <w:style w:type="character" w:customStyle="1" w:styleId="169">
    <w:name w:val="font61"/>
    <w:basedOn w:val="46"/>
    <w:qFormat/>
    <w:uiPriority w:val="0"/>
    <w:rPr>
      <w:rFonts w:hint="default" w:ascii="Times New Roman" w:hAnsi="Times New Roman" w:cs="Times New Roman"/>
      <w:b/>
      <w:bCs/>
      <w:color w:val="000000"/>
      <w:sz w:val="21"/>
      <w:szCs w:val="21"/>
      <w:u w:val="none"/>
      <w:vertAlign w:val="superscript"/>
    </w:rPr>
  </w:style>
  <w:style w:type="character" w:customStyle="1" w:styleId="170">
    <w:name w:val="font111"/>
    <w:basedOn w:val="46"/>
    <w:qFormat/>
    <w:uiPriority w:val="0"/>
    <w:rPr>
      <w:rFonts w:hint="eastAsia" w:ascii="宋体" w:hAnsi="宋体" w:eastAsia="宋体" w:cs="宋体"/>
      <w:color w:val="FF0000"/>
      <w:sz w:val="21"/>
      <w:szCs w:val="21"/>
      <w:u w:val="none"/>
    </w:rPr>
  </w:style>
  <w:style w:type="character" w:customStyle="1" w:styleId="171">
    <w:name w:val="font122"/>
    <w:basedOn w:val="46"/>
    <w:qFormat/>
    <w:uiPriority w:val="0"/>
    <w:rPr>
      <w:rFonts w:hint="default" w:ascii="Times New Roman" w:hAnsi="Times New Roman" w:cs="Times New Roman"/>
      <w:color w:val="000000"/>
      <w:sz w:val="21"/>
      <w:szCs w:val="21"/>
      <w:u w:val="none"/>
    </w:rPr>
  </w:style>
  <w:style w:type="character" w:customStyle="1" w:styleId="172">
    <w:name w:val="font131"/>
    <w:basedOn w:val="46"/>
    <w:qFormat/>
    <w:uiPriority w:val="0"/>
    <w:rPr>
      <w:rFonts w:hint="eastAsia" w:ascii="宋体" w:hAnsi="宋体" w:eastAsia="宋体" w:cs="宋体"/>
      <w:color w:val="FF0000"/>
      <w:sz w:val="21"/>
      <w:szCs w:val="21"/>
      <w:u w:val="none"/>
    </w:rPr>
  </w:style>
  <w:style w:type="paragraph" w:customStyle="1" w:styleId="173">
    <w:name w:val="报告表小标题"/>
    <w:basedOn w:val="1"/>
    <w:qFormat/>
    <w:uiPriority w:val="0"/>
    <w:pPr>
      <w:spacing w:before="100" w:beforeAutospacing="1" w:line="360" w:lineRule="auto"/>
    </w:pPr>
    <w:rPr>
      <w:b/>
      <w:sz w:val="24"/>
    </w:rPr>
  </w:style>
  <w:style w:type="paragraph" w:customStyle="1" w:styleId="174">
    <w:name w:val="J-表格标题+图片标题（5号+居中）"/>
    <w:basedOn w:val="1"/>
    <w:qFormat/>
    <w:uiPriority w:val="0"/>
    <w:pPr>
      <w:jc w:val="center"/>
    </w:pPr>
    <w:rPr>
      <w:b/>
      <w:sz w:val="21"/>
      <w:szCs w:val="21"/>
    </w:rPr>
  </w:style>
  <w:style w:type="paragraph" w:customStyle="1" w:styleId="175">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76">
    <w:name w:val="（一）"/>
    <w:basedOn w:val="1"/>
    <w:qFormat/>
    <w:uiPriority w:val="0"/>
    <w:pPr>
      <w:numPr>
        <w:ilvl w:val="0"/>
        <w:numId w:val="9"/>
      </w:numPr>
      <w:spacing w:line="400" w:lineRule="exact"/>
    </w:pPr>
    <w:rPr>
      <w:b/>
      <w:sz w:val="24"/>
    </w:rPr>
  </w:style>
  <w:style w:type="paragraph" w:customStyle="1" w:styleId="177">
    <w:name w:val="正文~"/>
    <w:basedOn w:val="1"/>
    <w:qFormat/>
    <w:uiPriority w:val="0"/>
    <w:pPr>
      <w:spacing w:line="360" w:lineRule="auto"/>
      <w:ind w:firstLine="177" w:firstLineChars="177"/>
    </w:pPr>
  </w:style>
  <w:style w:type="character" w:customStyle="1" w:styleId="178">
    <w:name w:val="font12"/>
    <w:basedOn w:val="46"/>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numbering" Target="numbering.xml"/><Relationship Id="rId94" Type="http://schemas.openxmlformats.org/officeDocument/2006/relationships/customXml" Target="../customXml/item1.xml"/><Relationship Id="rId93" Type="http://schemas.openxmlformats.org/officeDocument/2006/relationships/image" Target="media/image62.jpeg"/><Relationship Id="rId92" Type="http://schemas.openxmlformats.org/officeDocument/2006/relationships/image" Target="media/image61.jpeg"/><Relationship Id="rId91" Type="http://schemas.openxmlformats.org/officeDocument/2006/relationships/image" Target="media/image60.png"/><Relationship Id="rId90" Type="http://schemas.openxmlformats.org/officeDocument/2006/relationships/image" Target="media/image59.jpeg"/><Relationship Id="rId9" Type="http://schemas.openxmlformats.org/officeDocument/2006/relationships/header" Target="header4.xml"/><Relationship Id="rId89" Type="http://schemas.openxmlformats.org/officeDocument/2006/relationships/image" Target="media/image58.jpeg"/><Relationship Id="rId88" Type="http://schemas.openxmlformats.org/officeDocument/2006/relationships/image" Target="media/image57.jpeg"/><Relationship Id="rId87" Type="http://schemas.openxmlformats.org/officeDocument/2006/relationships/image" Target="media/image56.jpeg"/><Relationship Id="rId86" Type="http://schemas.openxmlformats.org/officeDocument/2006/relationships/image" Target="media/image55.png"/><Relationship Id="rId85" Type="http://schemas.openxmlformats.org/officeDocument/2006/relationships/image" Target="media/image54.jpeg"/><Relationship Id="rId84" Type="http://schemas.openxmlformats.org/officeDocument/2006/relationships/image" Target="media/image53.jpeg"/><Relationship Id="rId83" Type="http://schemas.openxmlformats.org/officeDocument/2006/relationships/image" Target="media/image52.png"/><Relationship Id="rId82" Type="http://schemas.openxmlformats.org/officeDocument/2006/relationships/image" Target="media/image51.jpeg"/><Relationship Id="rId81" Type="http://schemas.openxmlformats.org/officeDocument/2006/relationships/image" Target="media/image50.png"/><Relationship Id="rId80" Type="http://schemas.openxmlformats.org/officeDocument/2006/relationships/image" Target="media/image49.jpeg"/><Relationship Id="rId8" Type="http://schemas.openxmlformats.org/officeDocument/2006/relationships/footer" Target="footer3.xml"/><Relationship Id="rId79" Type="http://schemas.openxmlformats.org/officeDocument/2006/relationships/image" Target="media/image48.jpeg"/><Relationship Id="rId78" Type="http://schemas.openxmlformats.org/officeDocument/2006/relationships/image" Target="media/image47.png"/><Relationship Id="rId77" Type="http://schemas.openxmlformats.org/officeDocument/2006/relationships/image" Target="media/image46.jpeg"/><Relationship Id="rId76" Type="http://schemas.openxmlformats.org/officeDocument/2006/relationships/image" Target="media/image45.png"/><Relationship Id="rId75" Type="http://schemas.openxmlformats.org/officeDocument/2006/relationships/image" Target="media/image44.png"/><Relationship Id="rId74" Type="http://schemas.openxmlformats.org/officeDocument/2006/relationships/image" Target="media/image43.jpeg"/><Relationship Id="rId73" Type="http://schemas.openxmlformats.org/officeDocument/2006/relationships/image" Target="media/image42.jpeg"/><Relationship Id="rId72" Type="http://schemas.openxmlformats.org/officeDocument/2006/relationships/image" Target="media/image41.jpeg"/><Relationship Id="rId71" Type="http://schemas.openxmlformats.org/officeDocument/2006/relationships/image" Target="media/image40.jpeg"/><Relationship Id="rId70" Type="http://schemas.openxmlformats.org/officeDocument/2006/relationships/image" Target="media/image39.jpeg"/><Relationship Id="rId7" Type="http://schemas.openxmlformats.org/officeDocument/2006/relationships/footer" Target="footer2.xml"/><Relationship Id="rId69" Type="http://schemas.openxmlformats.org/officeDocument/2006/relationships/image" Target="media/image38.png"/><Relationship Id="rId68" Type="http://schemas.openxmlformats.org/officeDocument/2006/relationships/image" Target="media/image37.png"/><Relationship Id="rId67" Type="http://schemas.openxmlformats.org/officeDocument/2006/relationships/image" Target="media/image36.jpeg"/><Relationship Id="rId66" Type="http://schemas.openxmlformats.org/officeDocument/2006/relationships/image" Target="media/image35.png"/><Relationship Id="rId65" Type="http://schemas.openxmlformats.org/officeDocument/2006/relationships/image" Target="media/image34.jpeg"/><Relationship Id="rId64" Type="http://schemas.openxmlformats.org/officeDocument/2006/relationships/image" Target="media/image33.jpeg"/><Relationship Id="rId63" Type="http://schemas.openxmlformats.org/officeDocument/2006/relationships/image" Target="media/image32.jpeg"/><Relationship Id="rId62" Type="http://schemas.openxmlformats.org/officeDocument/2006/relationships/image" Target="media/image31.jpeg"/><Relationship Id="rId61" Type="http://schemas.openxmlformats.org/officeDocument/2006/relationships/image" Target="media/image30.jpeg"/><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bmp"/><Relationship Id="rId58" Type="http://schemas.openxmlformats.org/officeDocument/2006/relationships/image" Target="media/image27.png"/><Relationship Id="rId57" Type="http://schemas.openxmlformats.org/officeDocument/2006/relationships/image" Target="media/image26.jpeg"/><Relationship Id="rId56" Type="http://schemas.openxmlformats.org/officeDocument/2006/relationships/image" Target="media/image25.png"/><Relationship Id="rId55" Type="http://schemas.openxmlformats.org/officeDocument/2006/relationships/image" Target="media/image24.png"/><Relationship Id="rId54" Type="http://schemas.openxmlformats.org/officeDocument/2006/relationships/image" Target="media/image23.png"/><Relationship Id="rId53" Type="http://schemas.openxmlformats.org/officeDocument/2006/relationships/image" Target="media/image22.jpeg"/><Relationship Id="rId52" Type="http://schemas.openxmlformats.org/officeDocument/2006/relationships/image" Target="media/image21.jpeg"/><Relationship Id="rId51" Type="http://schemas.openxmlformats.org/officeDocument/2006/relationships/image" Target="media/image20.jpeg"/><Relationship Id="rId50" Type="http://schemas.openxmlformats.org/officeDocument/2006/relationships/image" Target="media/image19.jpeg"/><Relationship Id="rId5" Type="http://schemas.openxmlformats.org/officeDocument/2006/relationships/header" Target="header3.xml"/><Relationship Id="rId49" Type="http://schemas.openxmlformats.org/officeDocument/2006/relationships/image" Target="media/image18.wmf"/><Relationship Id="rId48" Type="http://schemas.openxmlformats.org/officeDocument/2006/relationships/oleObject" Target="embeddings/oleObject12.bin"/><Relationship Id="rId47" Type="http://schemas.openxmlformats.org/officeDocument/2006/relationships/image" Target="media/image17.wmf"/><Relationship Id="rId46" Type="http://schemas.openxmlformats.org/officeDocument/2006/relationships/oleObject" Target="embeddings/oleObject11.bin"/><Relationship Id="rId45" Type="http://schemas.openxmlformats.org/officeDocument/2006/relationships/image" Target="media/image16.wmf"/><Relationship Id="rId44" Type="http://schemas.openxmlformats.org/officeDocument/2006/relationships/oleObject" Target="embeddings/oleObject10.bin"/><Relationship Id="rId43" Type="http://schemas.openxmlformats.org/officeDocument/2006/relationships/image" Target="media/image15.wmf"/><Relationship Id="rId42" Type="http://schemas.openxmlformats.org/officeDocument/2006/relationships/oleObject" Target="embeddings/oleObject9.bin"/><Relationship Id="rId41" Type="http://schemas.openxmlformats.org/officeDocument/2006/relationships/image" Target="media/image1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13.wmf"/><Relationship Id="rId38" Type="http://schemas.openxmlformats.org/officeDocument/2006/relationships/oleObject" Target="embeddings/oleObject7.bin"/><Relationship Id="rId37" Type="http://schemas.openxmlformats.org/officeDocument/2006/relationships/image" Target="media/image12.png"/><Relationship Id="rId36" Type="http://schemas.openxmlformats.org/officeDocument/2006/relationships/image" Target="media/image11.png"/><Relationship Id="rId35" Type="http://schemas.openxmlformats.org/officeDocument/2006/relationships/image" Target="media/image10.png"/><Relationship Id="rId34" Type="http://schemas.openxmlformats.org/officeDocument/2006/relationships/image" Target="media/image9.wmf"/><Relationship Id="rId33" Type="http://schemas.openxmlformats.org/officeDocument/2006/relationships/oleObject" Target="embeddings/oleObject6.bin"/><Relationship Id="rId32" Type="http://schemas.openxmlformats.org/officeDocument/2006/relationships/image" Target="media/image8.jpeg"/><Relationship Id="rId31" Type="http://schemas.openxmlformats.org/officeDocument/2006/relationships/image" Target="media/image7.e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6.png"/><Relationship Id="rId28" Type="http://schemas.openxmlformats.org/officeDocument/2006/relationships/image" Target="media/image5.emf"/><Relationship Id="rId27" Type="http://schemas.openxmlformats.org/officeDocument/2006/relationships/oleObject" Target="embeddings/oleObject4.bin"/><Relationship Id="rId26" Type="http://schemas.openxmlformats.org/officeDocument/2006/relationships/image" Target="media/image4.wmf"/><Relationship Id="rId25" Type="http://schemas.openxmlformats.org/officeDocument/2006/relationships/oleObject" Target="embeddings/oleObject3.bin"/><Relationship Id="rId24" Type="http://schemas.openxmlformats.org/officeDocument/2006/relationships/image" Target="media/image3.emf"/><Relationship Id="rId23" Type="http://schemas.openxmlformats.org/officeDocument/2006/relationships/oleObject" Target="embeddings/oleObject2.bin"/><Relationship Id="rId22" Type="http://schemas.openxmlformats.org/officeDocument/2006/relationships/image" Target="media/image2.emf"/><Relationship Id="rId21" Type="http://schemas.openxmlformats.org/officeDocument/2006/relationships/oleObject" Target="embeddings/oleObject1.bin"/><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182</Pages>
  <Words>19375</Words>
  <Characters>20560</Characters>
  <Lines>353</Lines>
  <Paragraphs>99</Paragraphs>
  <TotalTime>7</TotalTime>
  <ScaleCrop>false</ScaleCrop>
  <LinksUpToDate>false</LinksUpToDate>
  <CharactersWithSpaces>20683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＇夜归郎＇</cp:lastModifiedBy>
  <cp:lastPrinted>2021-03-31T08:31:00Z</cp:lastPrinted>
  <dcterms:modified xsi:type="dcterms:W3CDTF">2026-10-16T07:28:03Z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DBD0E132BC7441B4AA26D24F36243B5D_13</vt:lpwstr>
  </property>
  <property fmtid="{D5CDD505-2E9C-101B-9397-08002B2CF9AE}" pid="4" name="KSOTemplateDocerSaveRecord">
    <vt:lpwstr>eyJoZGlkIjoiZjdjMmQwNzZhNTFhMjFkZmQ0OThlNzhhYjlmZjg3YmIiLCJ1c2VySWQiOiIzNTExNzk0NTAifQ==</vt:lpwstr>
  </property>
</Properties>
</file>