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E5A5D">
      <w:pPr>
        <w:jc w:val="center"/>
        <w:rPr>
          <w:rFonts w:hint="eastAsia" w:ascii="楷体_GB2312" w:hAnsi="楷体_GB2312" w:eastAsia="楷体_GB2312"/>
          <w:color w:val="000000"/>
          <w:sz w:val="36"/>
          <w:szCs w:val="36"/>
          <w:highlight w:val="none"/>
          <w:lang w:eastAsia="zh-CN"/>
        </w:rPr>
        <w:sectPr>
          <w:footerReference r:id="rId5" w:type="default"/>
          <w:pgSz w:w="11906" w:h="16838"/>
          <w:pgMar w:top="1701" w:right="1531" w:bottom="1701" w:left="1531" w:header="851" w:footer="1077" w:gutter="0"/>
          <w:pgNumType w:start="1"/>
          <w:cols w:space="720" w:num="1"/>
          <w:docGrid w:linePitch="312" w:charSpace="0"/>
        </w:sectPr>
      </w:pPr>
      <w:r>
        <w:rPr>
          <w:rFonts w:hint="eastAsia" w:ascii="楷体_GB2312" w:hAnsi="楷体_GB2312" w:eastAsia="楷体_GB2312"/>
          <w:color w:val="000000"/>
          <w:sz w:val="36"/>
          <w:szCs w:val="36"/>
          <w:highlight w:val="none"/>
          <w:lang w:eastAsia="zh-CN"/>
        </w:rPr>
        <w:drawing>
          <wp:inline distT="0" distB="0" distL="114300" distR="114300">
            <wp:extent cx="5615940" cy="8193405"/>
            <wp:effectExtent l="0" t="0" r="3810" b="17145"/>
            <wp:docPr id="27" name="图片 27"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 首页"/>
                    <pic:cNvPicPr>
                      <a:picLocks noChangeAspect="1"/>
                    </pic:cNvPicPr>
                  </pic:nvPicPr>
                  <pic:blipFill>
                    <a:blip r:embed="rId11"/>
                    <a:stretch>
                      <a:fillRect/>
                    </a:stretch>
                  </pic:blipFill>
                  <pic:spPr>
                    <a:xfrm>
                      <a:off x="0" y="0"/>
                      <a:ext cx="5615940" cy="8193405"/>
                    </a:xfrm>
                    <a:prstGeom prst="rect">
                      <a:avLst/>
                    </a:prstGeom>
                  </pic:spPr>
                </pic:pic>
              </a:graphicData>
            </a:graphic>
          </wp:inline>
        </w:drawing>
      </w:r>
    </w:p>
    <w:p w14:paraId="6E38899E">
      <w:pPr>
        <w:spacing w:line="240" w:lineRule="auto"/>
        <w:jc w:val="center"/>
        <w:rPr>
          <w:rFonts w:hint="default" w:ascii="Times New Roman" w:hAnsi="Times New Roman" w:cs="Times New Roman"/>
          <w:b/>
          <w:bCs/>
          <w:color w:val="000000"/>
          <w:sz w:val="44"/>
          <w:szCs w:val="44"/>
          <w:highlight w:val="none"/>
        </w:rPr>
      </w:pPr>
      <w:r>
        <w:rPr>
          <w:rFonts w:hint="default" w:ascii="Times New Roman" w:hAnsi="Times New Roman" w:cs="Times New Roman"/>
          <w:b/>
          <w:bCs/>
          <w:color w:val="000000"/>
          <w:sz w:val="36"/>
          <w:szCs w:val="44"/>
          <w:highlight w:val="none"/>
        </w:rPr>
        <w:t>目</w:t>
      </w:r>
      <w:r>
        <w:rPr>
          <w:rFonts w:hint="default" w:ascii="Times New Roman" w:hAnsi="Times New Roman" w:cs="Times New Roman"/>
          <w:b/>
          <w:bCs/>
          <w:color w:val="000000"/>
          <w:sz w:val="36"/>
          <w:szCs w:val="44"/>
          <w:highlight w:val="none"/>
          <w:lang w:val="en-US" w:eastAsia="zh-CN"/>
        </w:rPr>
        <w:t xml:space="preserve">  </w:t>
      </w:r>
      <w:r>
        <w:rPr>
          <w:rFonts w:hint="default" w:ascii="Times New Roman" w:hAnsi="Times New Roman" w:cs="Times New Roman"/>
          <w:b/>
          <w:bCs/>
          <w:color w:val="000000"/>
          <w:sz w:val="36"/>
          <w:szCs w:val="44"/>
          <w:highlight w:val="none"/>
        </w:rPr>
        <w:t>录</w:t>
      </w:r>
    </w:p>
    <w:p w14:paraId="7CB2989E">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color w:val="000000"/>
          <w:highlight w:val="none"/>
        </w:rPr>
        <w:instrText xml:space="preserve">TOC \o "1-2" \h \u </w:instrText>
      </w:r>
      <w:r>
        <w:rPr>
          <w:rFonts w:hint="default" w:ascii="Times New Roman" w:hAnsi="Times New Roman" w:cs="Times New Roman"/>
          <w:color w:val="000000"/>
          <w:highlight w:val="none"/>
        </w:rPr>
        <w:fldChar w:fldCharType="separate"/>
      </w: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_Toc595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一、建设项目基本情况</w:t>
      </w:r>
      <w:r>
        <w:tab/>
      </w:r>
      <w:r>
        <w:fldChar w:fldCharType="begin"/>
      </w:r>
      <w:r>
        <w:instrText xml:space="preserve"> PAGEREF _Toc595 \h </w:instrText>
      </w:r>
      <w:r>
        <w:fldChar w:fldCharType="separate"/>
      </w:r>
      <w:r>
        <w:t>1</w:t>
      </w:r>
      <w:r>
        <w:fldChar w:fldCharType="end"/>
      </w:r>
      <w:r>
        <w:rPr>
          <w:rFonts w:hint="default" w:ascii="Times New Roman" w:hAnsi="Times New Roman" w:cs="Times New Roman"/>
          <w:color w:val="000000"/>
          <w:highlight w:val="none"/>
        </w:rPr>
        <w:fldChar w:fldCharType="end"/>
      </w:r>
    </w:p>
    <w:p w14:paraId="294B5E8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_Toc8343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二、建设项目工程分析</w:t>
      </w:r>
      <w:r>
        <w:tab/>
      </w:r>
      <w:r>
        <w:fldChar w:fldCharType="begin"/>
      </w:r>
      <w:r>
        <w:instrText xml:space="preserve"> PAGEREF _Toc8343 \h </w:instrText>
      </w:r>
      <w:r>
        <w:fldChar w:fldCharType="separate"/>
      </w:r>
      <w:r>
        <w:t>22</w:t>
      </w:r>
      <w:r>
        <w:fldChar w:fldCharType="end"/>
      </w:r>
      <w:r>
        <w:rPr>
          <w:rFonts w:hint="default" w:ascii="Times New Roman" w:hAnsi="Times New Roman" w:cs="Times New Roman"/>
          <w:color w:val="000000"/>
          <w:highlight w:val="none"/>
        </w:rPr>
        <w:fldChar w:fldCharType="end"/>
      </w:r>
    </w:p>
    <w:p w14:paraId="224ADBA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_Toc30365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三、区域环境质量现状、环境保护目标及评价标准</w:t>
      </w:r>
      <w:r>
        <w:tab/>
      </w:r>
      <w:r>
        <w:fldChar w:fldCharType="begin"/>
      </w:r>
      <w:r>
        <w:instrText xml:space="preserve"> PAGEREF _Toc30365 \h </w:instrText>
      </w:r>
      <w:r>
        <w:fldChar w:fldCharType="separate"/>
      </w:r>
      <w:r>
        <w:t>13</w:t>
      </w:r>
      <w:r>
        <w:fldChar w:fldCharType="end"/>
      </w:r>
      <w:r>
        <w:rPr>
          <w:rFonts w:hint="default" w:ascii="Times New Roman" w:hAnsi="Times New Roman" w:cs="Times New Roman"/>
          <w:color w:val="000000"/>
          <w:highlight w:val="none"/>
        </w:rPr>
        <w:fldChar w:fldCharType="end"/>
      </w:r>
    </w:p>
    <w:p w14:paraId="2914274E">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_Toc18310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四、主要环境影响和保护措施</w:t>
      </w:r>
      <w:r>
        <w:tab/>
      </w:r>
      <w:r>
        <w:fldChar w:fldCharType="begin"/>
      </w:r>
      <w:r>
        <w:instrText xml:space="preserve"> PAGEREF _Toc18310 \h </w:instrText>
      </w:r>
      <w:r>
        <w:fldChar w:fldCharType="separate"/>
      </w:r>
      <w:r>
        <w:t>20</w:t>
      </w:r>
      <w:r>
        <w:fldChar w:fldCharType="end"/>
      </w:r>
      <w:r>
        <w:rPr>
          <w:rFonts w:hint="default" w:ascii="Times New Roman" w:hAnsi="Times New Roman" w:cs="Times New Roman"/>
          <w:color w:val="000000"/>
          <w:highlight w:val="none"/>
        </w:rPr>
        <w:fldChar w:fldCharType="end"/>
      </w:r>
    </w:p>
    <w:p w14:paraId="27D71BE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_Toc6974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五、环境保护措施监督检查清单</w:t>
      </w:r>
      <w:r>
        <w:tab/>
      </w:r>
      <w:r>
        <w:fldChar w:fldCharType="begin"/>
      </w:r>
      <w:r>
        <w:instrText xml:space="preserve"> PAGEREF _Toc6974 \h </w:instrText>
      </w:r>
      <w:r>
        <w:fldChar w:fldCharType="separate"/>
      </w:r>
      <w:r>
        <w:t>54</w:t>
      </w:r>
      <w:r>
        <w:fldChar w:fldCharType="end"/>
      </w:r>
      <w:r>
        <w:rPr>
          <w:rFonts w:hint="default" w:ascii="Times New Roman" w:hAnsi="Times New Roman" w:cs="Times New Roman"/>
          <w:color w:val="000000"/>
          <w:highlight w:val="none"/>
        </w:rPr>
        <w:fldChar w:fldCharType="end"/>
      </w:r>
    </w:p>
    <w:p w14:paraId="4DCFFC3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_Toc24882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六、结论</w:t>
      </w:r>
      <w:r>
        <w:tab/>
      </w:r>
      <w:r>
        <w:fldChar w:fldCharType="begin"/>
      </w:r>
      <w:r>
        <w:instrText xml:space="preserve"> PAGEREF _Toc24882 \h </w:instrText>
      </w:r>
      <w:r>
        <w:fldChar w:fldCharType="separate"/>
      </w:r>
      <w:r>
        <w:t>58</w:t>
      </w:r>
      <w:r>
        <w:fldChar w:fldCharType="end"/>
      </w:r>
      <w:r>
        <w:rPr>
          <w:rFonts w:hint="default" w:ascii="Times New Roman" w:hAnsi="Times New Roman" w:cs="Times New Roman"/>
          <w:color w:val="000000"/>
          <w:highlight w:val="none"/>
        </w:rPr>
        <w:fldChar w:fldCharType="end"/>
      </w:r>
    </w:p>
    <w:p w14:paraId="6935886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_Toc20721 </w:instrText>
      </w:r>
      <w:r>
        <w:rPr>
          <w:rFonts w:hint="default" w:ascii="Times New Roman" w:hAnsi="Times New Roman" w:cs="Times New Roman"/>
          <w:highlight w:val="none"/>
        </w:rPr>
        <w:fldChar w:fldCharType="separate"/>
      </w:r>
      <w:r>
        <w:rPr>
          <w:rFonts w:hint="default" w:ascii="Times New Roman" w:hAnsi="Times New Roman" w:eastAsia="宋体" w:cs="Times New Roman"/>
          <w:szCs w:val="28"/>
          <w:highlight w:val="none"/>
          <w:lang w:val="en-US" w:eastAsia="zh-CN"/>
        </w:rPr>
        <w:t>附表</w:t>
      </w:r>
      <w:r>
        <w:tab/>
      </w:r>
      <w:r>
        <w:fldChar w:fldCharType="begin"/>
      </w:r>
      <w:r>
        <w:instrText xml:space="preserve"> PAGEREF _Toc20721 \h </w:instrText>
      </w:r>
      <w:r>
        <w:fldChar w:fldCharType="separate"/>
      </w:r>
      <w:r>
        <w:t>59</w:t>
      </w:r>
      <w:r>
        <w:fldChar w:fldCharType="end"/>
      </w:r>
      <w:r>
        <w:rPr>
          <w:rFonts w:hint="default" w:ascii="Times New Roman" w:hAnsi="Times New Roman" w:cs="Times New Roman"/>
          <w:color w:val="000000"/>
          <w:highlight w:val="none"/>
        </w:rPr>
        <w:fldChar w:fldCharType="end"/>
      </w:r>
    </w:p>
    <w:p w14:paraId="00080BF5">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_Toc28179 </w:instrText>
      </w:r>
      <w:r>
        <w:rPr>
          <w:rFonts w:hint="default" w:ascii="Times New Roman" w:hAnsi="Times New Roman" w:cs="Times New Roman"/>
          <w:highlight w:val="none"/>
        </w:rPr>
        <w:fldChar w:fldCharType="separate"/>
      </w:r>
      <w:r>
        <w:rPr>
          <w:rFonts w:eastAsia="黑体"/>
          <w:szCs w:val="40"/>
          <w:highlight w:val="none"/>
        </w:rPr>
        <w:t>建设项目污染物排放量汇总表</w:t>
      </w:r>
      <w:r>
        <w:tab/>
      </w:r>
      <w:r>
        <w:fldChar w:fldCharType="begin"/>
      </w:r>
      <w:r>
        <w:instrText xml:space="preserve"> PAGEREF _Toc28179 \h </w:instrText>
      </w:r>
      <w:r>
        <w:fldChar w:fldCharType="separate"/>
      </w:r>
      <w:r>
        <w:t>59</w:t>
      </w:r>
      <w:r>
        <w:fldChar w:fldCharType="end"/>
      </w:r>
      <w:r>
        <w:rPr>
          <w:rFonts w:hint="default" w:ascii="Times New Roman" w:hAnsi="Times New Roman" w:cs="Times New Roman"/>
          <w:color w:val="000000"/>
          <w:highlight w:val="none"/>
        </w:rPr>
        <w:fldChar w:fldCharType="end"/>
      </w:r>
    </w:p>
    <w:p w14:paraId="763D36D1">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_Toc32252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rPr>
        <w:t xml:space="preserve">附图1 </w:t>
      </w:r>
      <w:r>
        <w:rPr>
          <w:rFonts w:hint="default" w:ascii="Times New Roman" w:hAnsi="Times New Roman" w:eastAsia="宋体" w:cs="Times New Roman"/>
          <w:bCs/>
          <w:szCs w:val="24"/>
          <w:highlight w:val="none"/>
        </w:rPr>
        <w:t>项目地理位置图</w:t>
      </w:r>
      <w:r>
        <w:tab/>
      </w:r>
      <w:r>
        <w:fldChar w:fldCharType="begin"/>
      </w:r>
      <w:r>
        <w:instrText xml:space="preserve"> PAGEREF _Toc32252 \h </w:instrText>
      </w:r>
      <w:r>
        <w:fldChar w:fldCharType="separate"/>
      </w:r>
      <w:r>
        <w:t>61</w:t>
      </w:r>
      <w:r>
        <w:fldChar w:fldCharType="end"/>
      </w:r>
      <w:r>
        <w:rPr>
          <w:rFonts w:hint="default" w:ascii="Times New Roman" w:hAnsi="Times New Roman" w:cs="Times New Roman"/>
          <w:color w:val="000000"/>
          <w:highlight w:val="none"/>
        </w:rPr>
        <w:fldChar w:fldCharType="end"/>
      </w:r>
    </w:p>
    <w:p w14:paraId="0530587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_Toc21251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rPr>
        <w:t xml:space="preserve">附图2 </w:t>
      </w:r>
      <w:r>
        <w:rPr>
          <w:rFonts w:hint="default" w:ascii="Times New Roman" w:hAnsi="Times New Roman" w:eastAsia="宋体" w:cs="Times New Roman"/>
          <w:bCs/>
          <w:szCs w:val="24"/>
          <w:highlight w:val="none"/>
        </w:rPr>
        <w:t>项目四至情况</w:t>
      </w:r>
      <w:r>
        <w:rPr>
          <w:rFonts w:hint="default" w:ascii="Times New Roman" w:hAnsi="Times New Roman" w:cs="Times New Roman"/>
          <w:bCs/>
          <w:szCs w:val="24"/>
          <w:highlight w:val="none"/>
          <w:lang w:val="en-US" w:eastAsia="zh-CN"/>
        </w:rPr>
        <w:t>卫星图</w:t>
      </w:r>
      <w:r>
        <w:rPr>
          <w:rFonts w:hint="eastAsia" w:cs="Times New Roman"/>
          <w:bCs/>
          <w:szCs w:val="24"/>
          <w:highlight w:val="none"/>
          <w:lang w:val="en-US" w:eastAsia="zh-CN"/>
        </w:rPr>
        <w:t>及环保措施图</w:t>
      </w:r>
      <w:r>
        <w:tab/>
      </w:r>
      <w:r>
        <w:fldChar w:fldCharType="begin"/>
      </w:r>
      <w:r>
        <w:instrText xml:space="preserve"> PAGEREF _Toc21251 \h </w:instrText>
      </w:r>
      <w:r>
        <w:fldChar w:fldCharType="separate"/>
      </w:r>
      <w:r>
        <w:t>62</w:t>
      </w:r>
      <w:r>
        <w:fldChar w:fldCharType="end"/>
      </w:r>
      <w:r>
        <w:rPr>
          <w:rFonts w:hint="default" w:ascii="Times New Roman" w:hAnsi="Times New Roman" w:cs="Times New Roman"/>
          <w:color w:val="000000"/>
          <w:highlight w:val="none"/>
        </w:rPr>
        <w:fldChar w:fldCharType="end"/>
      </w:r>
    </w:p>
    <w:p w14:paraId="180CBF68">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_Toc21909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附图3 </w:t>
      </w:r>
      <w:r>
        <w:rPr>
          <w:rFonts w:hint="default" w:ascii="Times New Roman" w:hAnsi="Times New Roman" w:cs="Times New Roman"/>
          <w:bCs/>
          <w:szCs w:val="24"/>
          <w:highlight w:val="none"/>
          <w:lang w:eastAsia="zh-CN"/>
        </w:rPr>
        <w:t>车间</w:t>
      </w:r>
      <w:r>
        <w:rPr>
          <w:rFonts w:hint="default" w:ascii="Times New Roman" w:hAnsi="Times New Roman" w:eastAsia="宋体" w:cs="Times New Roman"/>
          <w:bCs/>
          <w:szCs w:val="24"/>
          <w:highlight w:val="none"/>
          <w:lang w:eastAsia="zh-CN"/>
        </w:rPr>
        <w:t>平面布置图</w:t>
      </w:r>
      <w:r>
        <w:tab/>
      </w:r>
      <w:r>
        <w:fldChar w:fldCharType="begin"/>
      </w:r>
      <w:r>
        <w:instrText xml:space="preserve"> PAGEREF _Toc21909 \h </w:instrText>
      </w:r>
      <w:r>
        <w:fldChar w:fldCharType="separate"/>
      </w:r>
      <w:r>
        <w:t>63</w:t>
      </w:r>
      <w:r>
        <w:fldChar w:fldCharType="end"/>
      </w:r>
      <w:r>
        <w:rPr>
          <w:rFonts w:hint="default" w:ascii="Times New Roman" w:hAnsi="Times New Roman" w:cs="Times New Roman"/>
          <w:color w:val="000000"/>
          <w:highlight w:val="none"/>
        </w:rPr>
        <w:fldChar w:fldCharType="end"/>
      </w:r>
    </w:p>
    <w:p w14:paraId="271A794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_Toc22812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附图4 </w:t>
      </w:r>
      <w:r>
        <w:rPr>
          <w:rFonts w:hint="default" w:ascii="Times New Roman" w:hAnsi="Times New Roman" w:eastAsia="宋体" w:cs="Times New Roman"/>
          <w:bCs/>
          <w:szCs w:val="24"/>
          <w:highlight w:val="none"/>
          <w:lang w:eastAsia="zh-CN"/>
        </w:rPr>
        <w:t>环境保护目标分布图</w:t>
      </w:r>
      <w:r>
        <w:tab/>
      </w:r>
      <w:r>
        <w:fldChar w:fldCharType="begin"/>
      </w:r>
      <w:r>
        <w:instrText xml:space="preserve"> PAGEREF _Toc22812 \h </w:instrText>
      </w:r>
      <w:r>
        <w:fldChar w:fldCharType="separate"/>
      </w:r>
      <w:r>
        <w:t>64</w:t>
      </w:r>
      <w:r>
        <w:fldChar w:fldCharType="end"/>
      </w:r>
      <w:r>
        <w:rPr>
          <w:rFonts w:hint="default" w:ascii="Times New Roman" w:hAnsi="Times New Roman" w:cs="Times New Roman"/>
          <w:color w:val="000000"/>
          <w:highlight w:val="none"/>
        </w:rPr>
        <w:fldChar w:fldCharType="end"/>
      </w:r>
    </w:p>
    <w:p w14:paraId="46A1F91A">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_Toc23386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附图5 </w:t>
      </w:r>
      <w:r>
        <w:rPr>
          <w:rFonts w:hint="default" w:ascii="Times New Roman" w:hAnsi="Times New Roman" w:eastAsia="宋体" w:cs="Times New Roman"/>
          <w:bCs/>
          <w:szCs w:val="24"/>
          <w:highlight w:val="none"/>
          <w:lang w:eastAsia="zh-CN"/>
        </w:rPr>
        <w:t>建设项目土地利用规划图</w:t>
      </w:r>
      <w:r>
        <w:tab/>
      </w:r>
      <w:r>
        <w:fldChar w:fldCharType="begin"/>
      </w:r>
      <w:r>
        <w:instrText xml:space="preserve"> PAGEREF _Toc23386 \h </w:instrText>
      </w:r>
      <w:r>
        <w:fldChar w:fldCharType="separate"/>
      </w:r>
      <w:r>
        <w:t>65</w:t>
      </w:r>
      <w:r>
        <w:fldChar w:fldCharType="end"/>
      </w:r>
      <w:r>
        <w:rPr>
          <w:rFonts w:hint="default" w:ascii="Times New Roman" w:hAnsi="Times New Roman" w:cs="Times New Roman"/>
          <w:color w:val="000000"/>
          <w:highlight w:val="none"/>
        </w:rPr>
        <w:fldChar w:fldCharType="end"/>
      </w:r>
    </w:p>
    <w:p w14:paraId="66C23873">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_Toc12139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附图6 </w:t>
      </w:r>
      <w:r>
        <w:rPr>
          <w:rFonts w:hint="default" w:ascii="Times New Roman" w:hAnsi="Times New Roman" w:eastAsia="宋体" w:cs="Times New Roman"/>
          <w:bCs/>
          <w:szCs w:val="24"/>
          <w:highlight w:val="none"/>
          <w:lang w:eastAsia="zh-CN"/>
        </w:rPr>
        <w:t>韶关市乐昌开发区周边水系图</w:t>
      </w:r>
      <w:r>
        <w:tab/>
      </w:r>
      <w:r>
        <w:fldChar w:fldCharType="begin"/>
      </w:r>
      <w:r>
        <w:instrText xml:space="preserve"> PAGEREF _Toc12139 \h </w:instrText>
      </w:r>
      <w:r>
        <w:fldChar w:fldCharType="separate"/>
      </w:r>
      <w:r>
        <w:t>66</w:t>
      </w:r>
      <w:r>
        <w:fldChar w:fldCharType="end"/>
      </w:r>
      <w:r>
        <w:rPr>
          <w:rFonts w:hint="default" w:ascii="Times New Roman" w:hAnsi="Times New Roman" w:cs="Times New Roman"/>
          <w:color w:val="000000"/>
          <w:highlight w:val="none"/>
        </w:rPr>
        <w:fldChar w:fldCharType="end"/>
      </w:r>
    </w:p>
    <w:p w14:paraId="0D03D86A">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_Toc15950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附图7 </w:t>
      </w:r>
      <w:r>
        <w:rPr>
          <w:rFonts w:hint="default" w:ascii="Times New Roman" w:hAnsi="Times New Roman" w:eastAsia="宋体" w:cs="Times New Roman"/>
          <w:bCs/>
          <w:szCs w:val="24"/>
          <w:highlight w:val="none"/>
          <w:lang w:eastAsia="zh-CN"/>
        </w:rPr>
        <w:t>大气环境功能区划图</w:t>
      </w:r>
      <w:r>
        <w:tab/>
      </w:r>
      <w:r>
        <w:fldChar w:fldCharType="begin"/>
      </w:r>
      <w:r>
        <w:instrText xml:space="preserve"> PAGEREF _Toc15950 \h </w:instrText>
      </w:r>
      <w:r>
        <w:fldChar w:fldCharType="separate"/>
      </w:r>
      <w:r>
        <w:t>67</w:t>
      </w:r>
      <w:r>
        <w:fldChar w:fldCharType="end"/>
      </w:r>
      <w:r>
        <w:rPr>
          <w:rFonts w:hint="default" w:ascii="Times New Roman" w:hAnsi="Times New Roman" w:cs="Times New Roman"/>
          <w:color w:val="000000"/>
          <w:highlight w:val="none"/>
        </w:rPr>
        <w:fldChar w:fldCharType="end"/>
      </w:r>
    </w:p>
    <w:p w14:paraId="452FA02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_Toc21202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附图8 </w:t>
      </w:r>
      <w:r>
        <w:rPr>
          <w:rFonts w:hint="eastAsia" w:cs="Times New Roman"/>
          <w:bCs/>
          <w:szCs w:val="24"/>
          <w:highlight w:val="none"/>
          <w:lang w:eastAsia="zh-CN"/>
        </w:rPr>
        <w:t>声环境功能区划图</w:t>
      </w:r>
      <w:r>
        <w:tab/>
      </w:r>
      <w:r>
        <w:fldChar w:fldCharType="begin"/>
      </w:r>
      <w:r>
        <w:instrText xml:space="preserve"> PAGEREF _Toc21202 \h </w:instrText>
      </w:r>
      <w:r>
        <w:fldChar w:fldCharType="separate"/>
      </w:r>
      <w:r>
        <w:t>68</w:t>
      </w:r>
      <w:r>
        <w:fldChar w:fldCharType="end"/>
      </w:r>
      <w:r>
        <w:rPr>
          <w:rFonts w:hint="default" w:ascii="Times New Roman" w:hAnsi="Times New Roman" w:cs="Times New Roman"/>
          <w:color w:val="000000"/>
          <w:highlight w:val="none"/>
        </w:rPr>
        <w:fldChar w:fldCharType="end"/>
      </w:r>
    </w:p>
    <w:p w14:paraId="258C84D7">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_Toc27245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附图9 </w:t>
      </w:r>
      <w:r>
        <w:rPr>
          <w:rFonts w:hint="default" w:ascii="Times New Roman" w:hAnsi="Times New Roman" w:eastAsia="宋体" w:cs="Times New Roman"/>
          <w:bCs/>
          <w:szCs w:val="24"/>
          <w:highlight w:val="none"/>
          <w:lang w:eastAsia="zh-CN"/>
        </w:rPr>
        <w:t>生态红线分布图</w:t>
      </w:r>
      <w:r>
        <w:tab/>
      </w:r>
      <w:r>
        <w:fldChar w:fldCharType="begin"/>
      </w:r>
      <w:r>
        <w:instrText xml:space="preserve"> PAGEREF _Toc27245 \h </w:instrText>
      </w:r>
      <w:r>
        <w:fldChar w:fldCharType="separate"/>
      </w:r>
      <w:r>
        <w:t>69</w:t>
      </w:r>
      <w:r>
        <w:fldChar w:fldCharType="end"/>
      </w:r>
      <w:r>
        <w:rPr>
          <w:rFonts w:hint="default" w:ascii="Times New Roman" w:hAnsi="Times New Roman" w:cs="Times New Roman"/>
          <w:color w:val="000000"/>
          <w:highlight w:val="none"/>
        </w:rPr>
        <w:fldChar w:fldCharType="end"/>
      </w:r>
    </w:p>
    <w:p w14:paraId="1631B711">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_Toc6685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附图10 </w:t>
      </w:r>
      <w:r>
        <w:rPr>
          <w:rFonts w:hint="default" w:ascii="Times New Roman" w:hAnsi="Times New Roman" w:eastAsia="宋体" w:cs="Times New Roman"/>
          <w:bCs/>
          <w:szCs w:val="24"/>
          <w:highlight w:val="none"/>
          <w:lang w:eastAsia="zh-CN"/>
        </w:rPr>
        <w:t>项目周边主要饮用水源保护区分布图</w:t>
      </w:r>
      <w:r>
        <w:tab/>
      </w:r>
      <w:r>
        <w:fldChar w:fldCharType="begin"/>
      </w:r>
      <w:r>
        <w:instrText xml:space="preserve"> PAGEREF _Toc6685 \h </w:instrText>
      </w:r>
      <w:r>
        <w:fldChar w:fldCharType="separate"/>
      </w:r>
      <w:r>
        <w:t>70</w:t>
      </w:r>
      <w:r>
        <w:fldChar w:fldCharType="end"/>
      </w:r>
      <w:r>
        <w:rPr>
          <w:rFonts w:hint="default" w:ascii="Times New Roman" w:hAnsi="Times New Roman" w:cs="Times New Roman"/>
          <w:color w:val="000000"/>
          <w:highlight w:val="none"/>
        </w:rPr>
        <w:fldChar w:fldCharType="end"/>
      </w:r>
    </w:p>
    <w:p w14:paraId="591CA5E7">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_Toc1463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附图11 </w:t>
      </w:r>
      <w:r>
        <w:rPr>
          <w:rFonts w:hint="default" w:ascii="Times New Roman" w:hAnsi="Times New Roman" w:eastAsia="宋体" w:cs="Times New Roman"/>
          <w:bCs/>
          <w:szCs w:val="24"/>
          <w:highlight w:val="none"/>
          <w:lang w:eastAsia="zh-CN"/>
        </w:rPr>
        <w:t>生态功能区划示意图</w:t>
      </w:r>
      <w:r>
        <w:tab/>
      </w:r>
      <w:r>
        <w:fldChar w:fldCharType="begin"/>
      </w:r>
      <w:r>
        <w:instrText xml:space="preserve"> PAGEREF _Toc1463 \h </w:instrText>
      </w:r>
      <w:r>
        <w:fldChar w:fldCharType="separate"/>
      </w:r>
      <w:r>
        <w:t>71</w:t>
      </w:r>
      <w:r>
        <w:fldChar w:fldCharType="end"/>
      </w:r>
      <w:r>
        <w:rPr>
          <w:rFonts w:hint="default" w:ascii="Times New Roman" w:hAnsi="Times New Roman" w:cs="Times New Roman"/>
          <w:color w:val="000000"/>
          <w:highlight w:val="none"/>
        </w:rPr>
        <w:fldChar w:fldCharType="end"/>
      </w:r>
    </w:p>
    <w:p w14:paraId="04BEF3B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_Toc30808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附图12 </w:t>
      </w:r>
      <w:r>
        <w:rPr>
          <w:rFonts w:hint="default" w:ascii="Times New Roman" w:hAnsi="Times New Roman" w:eastAsia="宋体" w:cs="Times New Roman"/>
          <w:bCs/>
          <w:szCs w:val="24"/>
          <w:highlight w:val="none"/>
          <w:lang w:eastAsia="zh-CN"/>
        </w:rPr>
        <w:t>项目周边永久农田、耕地、园地分布图</w:t>
      </w:r>
      <w:r>
        <w:tab/>
      </w:r>
      <w:r>
        <w:fldChar w:fldCharType="begin"/>
      </w:r>
      <w:r>
        <w:instrText xml:space="preserve"> PAGEREF _Toc30808 \h </w:instrText>
      </w:r>
      <w:r>
        <w:fldChar w:fldCharType="separate"/>
      </w:r>
      <w:r>
        <w:t>72</w:t>
      </w:r>
      <w:r>
        <w:fldChar w:fldCharType="end"/>
      </w:r>
      <w:r>
        <w:rPr>
          <w:rFonts w:hint="default" w:ascii="Times New Roman" w:hAnsi="Times New Roman" w:cs="Times New Roman"/>
          <w:color w:val="000000"/>
          <w:highlight w:val="none"/>
        </w:rPr>
        <w:fldChar w:fldCharType="end"/>
      </w:r>
    </w:p>
    <w:p w14:paraId="5BAEED4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_Toc20437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eastAsia="zh-CN"/>
        </w:rPr>
        <w:t xml:space="preserve">附图13 </w:t>
      </w:r>
      <w:r>
        <w:rPr>
          <w:rFonts w:hint="default" w:ascii="Times New Roman" w:hAnsi="Times New Roman" w:eastAsia="宋体" w:cs="Times New Roman"/>
          <w:bCs/>
          <w:szCs w:val="24"/>
          <w:highlight w:val="none"/>
          <w:lang w:eastAsia="zh-CN"/>
        </w:rPr>
        <w:t>项目周边现状图</w:t>
      </w:r>
      <w:r>
        <w:tab/>
      </w:r>
      <w:r>
        <w:fldChar w:fldCharType="begin"/>
      </w:r>
      <w:r>
        <w:instrText xml:space="preserve"> PAGEREF _Toc20437 \h </w:instrText>
      </w:r>
      <w:r>
        <w:fldChar w:fldCharType="separate"/>
      </w:r>
      <w:r>
        <w:t>73</w:t>
      </w:r>
      <w:r>
        <w:fldChar w:fldCharType="end"/>
      </w:r>
      <w:r>
        <w:rPr>
          <w:rFonts w:hint="default" w:ascii="Times New Roman" w:hAnsi="Times New Roman" w:cs="Times New Roman"/>
          <w:color w:val="000000"/>
          <w:highlight w:val="none"/>
        </w:rPr>
        <w:fldChar w:fldCharType="end"/>
      </w:r>
    </w:p>
    <w:p w14:paraId="1B56F44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_Toc23512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附图14 </w:t>
      </w:r>
      <w:r>
        <w:rPr>
          <w:rFonts w:hint="default" w:ascii="Times New Roman" w:hAnsi="Times New Roman" w:eastAsia="宋体" w:cs="Times New Roman"/>
          <w:bCs/>
          <w:szCs w:val="24"/>
          <w:highlight w:val="none"/>
          <w:lang w:val="en-US" w:eastAsia="zh-CN"/>
        </w:rPr>
        <w:t>广东省</w:t>
      </w:r>
      <w:r>
        <w:rPr>
          <w:rFonts w:hint="eastAsia" w:cs="Times New Roman"/>
          <w:bCs/>
          <w:szCs w:val="24"/>
          <w:highlight w:val="none"/>
          <w:lang w:val="en-US" w:eastAsia="zh-CN"/>
        </w:rPr>
        <w:t>生态环境分区管控信息平台</w:t>
      </w:r>
      <w:r>
        <w:rPr>
          <w:rFonts w:hint="default" w:ascii="Times New Roman" w:hAnsi="Times New Roman" w:eastAsia="宋体" w:cs="Times New Roman"/>
          <w:bCs/>
          <w:szCs w:val="24"/>
          <w:highlight w:val="none"/>
          <w:lang w:val="en-US" w:eastAsia="zh-CN"/>
        </w:rPr>
        <w:t>截图</w:t>
      </w:r>
      <w:r>
        <w:tab/>
      </w:r>
      <w:r>
        <w:fldChar w:fldCharType="begin"/>
      </w:r>
      <w:r>
        <w:instrText xml:space="preserve"> PAGEREF _Toc23512 \h </w:instrText>
      </w:r>
      <w:r>
        <w:fldChar w:fldCharType="separate"/>
      </w:r>
      <w:r>
        <w:t>74</w:t>
      </w:r>
      <w:r>
        <w:fldChar w:fldCharType="end"/>
      </w:r>
      <w:r>
        <w:rPr>
          <w:rFonts w:hint="default" w:ascii="Times New Roman" w:hAnsi="Times New Roman" w:cs="Times New Roman"/>
          <w:color w:val="000000"/>
          <w:highlight w:val="none"/>
        </w:rPr>
        <w:fldChar w:fldCharType="end"/>
      </w:r>
    </w:p>
    <w:p w14:paraId="26A4357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_Toc14111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附图15 </w:t>
      </w:r>
      <w:r>
        <w:rPr>
          <w:rFonts w:hint="default" w:ascii="Times New Roman" w:hAnsi="Times New Roman" w:eastAsia="宋体" w:cs="Times New Roman"/>
          <w:bCs/>
          <w:szCs w:val="24"/>
          <w:highlight w:val="none"/>
          <w:lang w:val="en-US" w:eastAsia="zh-CN"/>
        </w:rPr>
        <w:t>项目与大气</w:t>
      </w:r>
      <w:r>
        <w:rPr>
          <w:rFonts w:hint="eastAsia" w:cs="Times New Roman"/>
          <w:bCs/>
          <w:szCs w:val="24"/>
          <w:highlight w:val="none"/>
          <w:lang w:val="en-US" w:eastAsia="zh-CN"/>
        </w:rPr>
        <w:t>引用</w:t>
      </w:r>
      <w:r>
        <w:rPr>
          <w:rFonts w:hint="default" w:ascii="Times New Roman" w:hAnsi="Times New Roman" w:eastAsia="宋体" w:cs="Times New Roman"/>
          <w:bCs/>
          <w:szCs w:val="24"/>
          <w:highlight w:val="none"/>
          <w:lang w:val="en-US" w:eastAsia="zh-CN"/>
        </w:rPr>
        <w:t>监测点位置图</w:t>
      </w:r>
      <w:r>
        <w:tab/>
      </w:r>
      <w:r>
        <w:fldChar w:fldCharType="begin"/>
      </w:r>
      <w:r>
        <w:instrText xml:space="preserve"> PAGEREF _Toc14111 \h </w:instrText>
      </w:r>
      <w:r>
        <w:fldChar w:fldCharType="separate"/>
      </w:r>
      <w:r>
        <w:t>75</w:t>
      </w:r>
      <w:r>
        <w:fldChar w:fldCharType="end"/>
      </w:r>
      <w:r>
        <w:rPr>
          <w:rFonts w:hint="default" w:ascii="Times New Roman" w:hAnsi="Times New Roman" w:cs="Times New Roman"/>
          <w:color w:val="000000"/>
          <w:highlight w:val="none"/>
        </w:rPr>
        <w:fldChar w:fldCharType="end"/>
      </w:r>
    </w:p>
    <w:p w14:paraId="53AA33E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_Toc16104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附图16 </w:t>
      </w:r>
      <w:r>
        <w:rPr>
          <w:rFonts w:hint="default" w:ascii="Times New Roman" w:hAnsi="Times New Roman" w:eastAsia="宋体" w:cs="Times New Roman"/>
          <w:bCs/>
          <w:szCs w:val="24"/>
          <w:highlight w:val="none"/>
          <w:lang w:val="en-US" w:eastAsia="zh-CN"/>
        </w:rPr>
        <w:t>乐昌产业转移工业园管网分布图</w:t>
      </w:r>
      <w:r>
        <w:tab/>
      </w:r>
      <w:r>
        <w:fldChar w:fldCharType="begin"/>
      </w:r>
      <w:r>
        <w:instrText xml:space="preserve"> PAGEREF _Toc16104 \h </w:instrText>
      </w:r>
      <w:r>
        <w:fldChar w:fldCharType="separate"/>
      </w:r>
      <w:r>
        <w:t>76</w:t>
      </w:r>
      <w:r>
        <w:fldChar w:fldCharType="end"/>
      </w:r>
      <w:r>
        <w:rPr>
          <w:rFonts w:hint="default" w:ascii="Times New Roman" w:hAnsi="Times New Roman" w:cs="Times New Roman"/>
          <w:color w:val="000000"/>
          <w:highlight w:val="none"/>
        </w:rPr>
        <w:fldChar w:fldCharType="end"/>
      </w:r>
    </w:p>
    <w:p w14:paraId="4481B086">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_Toc10748 </w:instrText>
      </w:r>
      <w:r>
        <w:rPr>
          <w:rFonts w:hint="default" w:ascii="Times New Roman" w:hAnsi="Times New Roman" w:cs="Times New Roman"/>
          <w:highlight w:val="none"/>
        </w:rPr>
        <w:fldChar w:fldCharType="separate"/>
      </w:r>
      <w:r>
        <w:rPr>
          <w:rFonts w:hint="default" w:ascii="Times New Roman" w:hAnsi="Times New Roman" w:eastAsia="宋体" w:cs="Times New Roman"/>
          <w:bCs/>
          <w:szCs w:val="24"/>
          <w:lang w:val="en-US" w:eastAsia="zh-CN"/>
        </w:rPr>
        <w:t xml:space="preserve">附图17 </w:t>
      </w:r>
      <w:r>
        <w:rPr>
          <w:rFonts w:hint="eastAsia" w:ascii="Times New Roman" w:hAnsi="Times New Roman" w:eastAsia="宋体" w:cs="Times New Roman"/>
          <w:bCs/>
          <w:szCs w:val="24"/>
          <w:highlight w:val="none"/>
          <w:lang w:val="en-US" w:eastAsia="zh-CN"/>
        </w:rPr>
        <w:t>建设项目与韶关市区武江饮用水水源保护区关系示意图</w:t>
      </w:r>
      <w:r>
        <w:tab/>
      </w:r>
      <w:r>
        <w:fldChar w:fldCharType="begin"/>
      </w:r>
      <w:r>
        <w:instrText xml:space="preserve"> PAGEREF _Toc10748 \h </w:instrText>
      </w:r>
      <w:r>
        <w:fldChar w:fldCharType="separate"/>
      </w:r>
      <w:r>
        <w:t>77</w:t>
      </w:r>
      <w:r>
        <w:fldChar w:fldCharType="end"/>
      </w:r>
      <w:r>
        <w:rPr>
          <w:rFonts w:hint="default" w:ascii="Times New Roman" w:hAnsi="Times New Roman" w:cs="Times New Roman"/>
          <w:color w:val="000000"/>
          <w:highlight w:val="none"/>
        </w:rPr>
        <w:fldChar w:fldCharType="end"/>
      </w:r>
    </w:p>
    <w:p w14:paraId="6F53B69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_Toc21528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附件1</w:t>
      </w:r>
      <w:r>
        <w:rPr>
          <w:rFonts w:hint="default" w:ascii="Times New Roman" w:hAnsi="Times New Roman" w:cs="Times New Roman"/>
          <w:bCs/>
          <w:szCs w:val="24"/>
          <w:highlight w:val="none"/>
          <w:lang w:val="en-US" w:eastAsia="zh-CN"/>
        </w:rPr>
        <w:t>营业执照</w:t>
      </w:r>
      <w:r>
        <w:tab/>
      </w:r>
      <w:r>
        <w:fldChar w:fldCharType="begin"/>
      </w:r>
      <w:r>
        <w:instrText xml:space="preserve"> PAGEREF _Toc21528 \h </w:instrText>
      </w:r>
      <w:r>
        <w:fldChar w:fldCharType="separate"/>
      </w:r>
      <w:r>
        <w:t>78</w:t>
      </w:r>
      <w:r>
        <w:fldChar w:fldCharType="end"/>
      </w:r>
      <w:r>
        <w:rPr>
          <w:rFonts w:hint="default" w:ascii="Times New Roman" w:hAnsi="Times New Roman" w:cs="Times New Roman"/>
          <w:color w:val="000000"/>
          <w:highlight w:val="none"/>
        </w:rPr>
        <w:fldChar w:fldCharType="end"/>
      </w:r>
    </w:p>
    <w:p w14:paraId="42852C30">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_Toc24940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附件2</w:t>
      </w:r>
      <w:r>
        <w:rPr>
          <w:rFonts w:hint="default" w:ascii="Times New Roman" w:hAnsi="Times New Roman" w:cs="Times New Roman"/>
          <w:bCs/>
          <w:szCs w:val="24"/>
          <w:highlight w:val="none"/>
          <w:lang w:val="en-US" w:eastAsia="zh-CN"/>
        </w:rPr>
        <w:t>法人身份证复印件</w:t>
      </w:r>
      <w:r>
        <w:tab/>
      </w:r>
      <w:r>
        <w:fldChar w:fldCharType="begin"/>
      </w:r>
      <w:r>
        <w:instrText xml:space="preserve"> PAGEREF _Toc24940 \h </w:instrText>
      </w:r>
      <w:r>
        <w:fldChar w:fldCharType="separate"/>
      </w:r>
      <w:r>
        <w:t>79</w:t>
      </w:r>
      <w:r>
        <w:fldChar w:fldCharType="end"/>
      </w:r>
      <w:r>
        <w:rPr>
          <w:rFonts w:hint="default" w:ascii="Times New Roman" w:hAnsi="Times New Roman" w:cs="Times New Roman"/>
          <w:color w:val="000000"/>
          <w:highlight w:val="none"/>
        </w:rPr>
        <w:fldChar w:fldCharType="end"/>
      </w:r>
    </w:p>
    <w:p w14:paraId="3FFEBFC4">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_Toc28006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附件3</w:t>
      </w:r>
      <w:r>
        <w:rPr>
          <w:rFonts w:hint="eastAsia" w:cs="Times New Roman"/>
          <w:bCs/>
          <w:szCs w:val="24"/>
          <w:highlight w:val="none"/>
          <w:lang w:val="en-US" w:eastAsia="zh-CN"/>
        </w:rPr>
        <w:t>租赁合同</w:t>
      </w:r>
      <w:r>
        <w:tab/>
      </w:r>
      <w:r>
        <w:fldChar w:fldCharType="begin"/>
      </w:r>
      <w:r>
        <w:instrText xml:space="preserve"> PAGEREF _Toc28006 \h </w:instrText>
      </w:r>
      <w:r>
        <w:fldChar w:fldCharType="separate"/>
      </w:r>
      <w:r>
        <w:t>80</w:t>
      </w:r>
      <w:r>
        <w:fldChar w:fldCharType="end"/>
      </w:r>
      <w:r>
        <w:rPr>
          <w:rFonts w:hint="default" w:ascii="Times New Roman" w:hAnsi="Times New Roman" w:cs="Times New Roman"/>
          <w:color w:val="000000"/>
          <w:highlight w:val="none"/>
        </w:rPr>
        <w:fldChar w:fldCharType="end"/>
      </w:r>
    </w:p>
    <w:p w14:paraId="6919E9B9">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_Toc26824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附件5</w:t>
      </w:r>
      <w:r>
        <w:rPr>
          <w:rFonts w:hint="default" w:ascii="Times New Roman" w:hAnsi="Times New Roman" w:cs="Times New Roman"/>
          <w:bCs/>
          <w:szCs w:val="24"/>
          <w:highlight w:val="none"/>
          <w:lang w:val="en-US" w:eastAsia="zh-CN"/>
        </w:rPr>
        <w:t>备案证</w:t>
      </w:r>
      <w:r>
        <w:tab/>
      </w:r>
      <w:r>
        <w:fldChar w:fldCharType="begin"/>
      </w:r>
      <w:r>
        <w:instrText xml:space="preserve"> PAGEREF _Toc26824 \h </w:instrText>
      </w:r>
      <w:r>
        <w:fldChar w:fldCharType="separate"/>
      </w:r>
      <w:r>
        <w:t>84</w:t>
      </w:r>
      <w:r>
        <w:fldChar w:fldCharType="end"/>
      </w:r>
      <w:r>
        <w:rPr>
          <w:rFonts w:hint="default" w:ascii="Times New Roman" w:hAnsi="Times New Roman" w:cs="Times New Roman"/>
          <w:color w:val="000000"/>
          <w:highlight w:val="none"/>
        </w:rPr>
        <w:fldChar w:fldCharType="end"/>
      </w:r>
    </w:p>
    <w:p w14:paraId="3A0BB0CF">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_Toc10017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附件6</w:t>
      </w:r>
      <w:r>
        <w:rPr>
          <w:rFonts w:hint="default" w:ascii="Times New Roman" w:hAnsi="Times New Roman" w:cs="Times New Roman"/>
          <w:bCs/>
          <w:szCs w:val="24"/>
          <w:highlight w:val="none"/>
          <w:lang w:val="en-US" w:eastAsia="zh-CN"/>
        </w:rPr>
        <w:t>环境质量现状监测报告（摘录部分）</w:t>
      </w:r>
      <w:r>
        <w:tab/>
      </w:r>
      <w:r>
        <w:fldChar w:fldCharType="begin"/>
      </w:r>
      <w:r>
        <w:instrText xml:space="preserve"> PAGEREF _Toc10017 \h </w:instrText>
      </w:r>
      <w:r>
        <w:fldChar w:fldCharType="separate"/>
      </w:r>
      <w:r>
        <w:t>85</w:t>
      </w:r>
      <w:r>
        <w:fldChar w:fldCharType="end"/>
      </w:r>
      <w:r>
        <w:rPr>
          <w:rFonts w:hint="default" w:ascii="Times New Roman" w:hAnsi="Times New Roman" w:cs="Times New Roman"/>
          <w:color w:val="000000"/>
          <w:highlight w:val="none"/>
        </w:rPr>
        <w:fldChar w:fldCharType="end"/>
      </w:r>
    </w:p>
    <w:p w14:paraId="0647E56D">
      <w:pPr>
        <w:pStyle w:val="38"/>
        <w:tabs>
          <w:tab w:val="right" w:leader="dot" w:pos="8844"/>
        </w:tabs>
      </w:pPr>
      <w:r>
        <w:rPr>
          <w:rFonts w:hint="default" w:ascii="Times New Roman" w:hAnsi="Times New Roman" w:cs="Times New Roman"/>
          <w:color w:val="000000"/>
          <w:highlight w:val="none"/>
        </w:rPr>
        <w:fldChar w:fldCharType="begin"/>
      </w:r>
      <w:r>
        <w:rPr>
          <w:rFonts w:hint="default" w:ascii="Times New Roman" w:hAnsi="Times New Roman" w:cs="Times New Roman"/>
          <w:highlight w:val="none"/>
        </w:rPr>
        <w:instrText xml:space="preserve"> HYPERLINK \l _Toc28492 </w:instrText>
      </w:r>
      <w:r>
        <w:rPr>
          <w:rFonts w:hint="default" w:ascii="Times New Roman" w:hAnsi="Times New Roman" w:cs="Times New Roman"/>
          <w:highlight w:val="none"/>
        </w:rPr>
        <w:fldChar w:fldCharType="separate"/>
      </w:r>
      <w:r>
        <w:rPr>
          <w:rFonts w:hint="default" w:ascii="Times New Roman" w:hAnsi="Times New Roman" w:eastAsia="宋体" w:cs="宋体"/>
          <w:bCs/>
          <w:kern w:val="0"/>
          <w:szCs w:val="24"/>
          <w:lang w:val="en-US" w:eastAsia="zh-CN" w:bidi="ar-SA"/>
        </w:rPr>
        <w:t>附件7</w:t>
      </w:r>
      <w:r>
        <w:rPr>
          <w:rFonts w:hint="eastAsia" w:cs="Times New Roman"/>
          <w:bCs/>
          <w:szCs w:val="24"/>
          <w:highlight w:val="none"/>
          <w:lang w:val="en-US" w:eastAsia="zh-CN"/>
        </w:rPr>
        <w:t>原辅料MSDS、VOCs含量检测报告</w:t>
      </w:r>
      <w:r>
        <w:tab/>
      </w:r>
      <w:r>
        <w:fldChar w:fldCharType="begin"/>
      </w:r>
      <w:r>
        <w:instrText xml:space="preserve"> PAGEREF _Toc28492 \h </w:instrText>
      </w:r>
      <w:r>
        <w:fldChar w:fldCharType="separate"/>
      </w:r>
      <w:r>
        <w:t>90</w:t>
      </w:r>
      <w:r>
        <w:fldChar w:fldCharType="end"/>
      </w:r>
      <w:r>
        <w:rPr>
          <w:rFonts w:hint="default" w:ascii="Times New Roman" w:hAnsi="Times New Roman" w:cs="Times New Roman"/>
          <w:color w:val="000000"/>
          <w:highlight w:val="none"/>
        </w:rPr>
        <w:fldChar w:fldCharType="end"/>
      </w:r>
    </w:p>
    <w:p w14:paraId="2CF5F986">
      <w:pPr>
        <w:spacing w:line="240" w:lineRule="auto"/>
        <w:jc w:val="both"/>
        <w:rPr>
          <w:rFonts w:hint="default" w:ascii="Times New Roman" w:hAnsi="Times New Roman" w:cs="Times New Roman"/>
          <w:color w:val="000000"/>
          <w:highlight w:val="none"/>
        </w:rPr>
      </w:pPr>
      <w:r>
        <w:rPr>
          <w:rFonts w:hint="default" w:ascii="Times New Roman" w:hAnsi="Times New Roman" w:cs="Times New Roman"/>
          <w:color w:val="000000"/>
          <w:highlight w:val="none"/>
        </w:rPr>
        <w:fldChar w:fldCharType="end"/>
      </w:r>
    </w:p>
    <w:p w14:paraId="1116D4D6">
      <w:pPr>
        <w:rPr>
          <w:rFonts w:hint="default" w:ascii="Times New Roman" w:hAnsi="Times New Roman" w:cs="Times New Roman"/>
          <w:color w:val="00000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0" w:num="1"/>
          <w:docGrid w:linePitch="312" w:charSpace="0"/>
        </w:sectPr>
      </w:pPr>
    </w:p>
    <w:p w14:paraId="3F4F7197">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0" w:name="_Toc595"/>
      <w:bookmarkStart w:id="1" w:name="_Toc26935"/>
      <w:r>
        <w:rPr>
          <w:rFonts w:hint="default" w:ascii="Times New Roman" w:hAnsi="Times New Roman" w:cs="Times New Roman"/>
          <w:color w:val="000000"/>
          <w:highlight w:val="none"/>
        </w:rPr>
        <w:t>一、</w:t>
      </w:r>
      <w:r>
        <w:rPr>
          <w:rFonts w:hint="default" w:ascii="Times New Roman" w:hAnsi="Times New Roman" w:cs="Times New Roman"/>
          <w:color w:val="000000" w:themeColor="text1"/>
          <w:highlight w:val="none"/>
          <w14:textFill>
            <w14:solidFill>
              <w14:schemeClr w14:val="tx1"/>
            </w14:solidFill>
          </w14:textFill>
        </w:rPr>
        <w:t>建设项目基本情况</w:t>
      </w:r>
      <w:bookmarkEnd w:id="0"/>
      <w:bookmarkEnd w:id="1"/>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86"/>
        <w:gridCol w:w="1808"/>
        <w:gridCol w:w="502"/>
        <w:gridCol w:w="1146"/>
        <w:gridCol w:w="967"/>
        <w:gridCol w:w="2163"/>
      </w:tblGrid>
      <w:tr w14:paraId="0CD6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059D59C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建设项目名称</w:t>
            </w:r>
          </w:p>
        </w:tc>
        <w:tc>
          <w:tcPr>
            <w:tcW w:w="3861" w:type="pct"/>
            <w:gridSpan w:val="5"/>
            <w:vAlign w:val="center"/>
          </w:tcPr>
          <w:p w14:paraId="1BA4DB1F">
            <w:pPr>
              <w:keepNext w:val="0"/>
              <w:keepLines w:val="0"/>
              <w:pageBreakBefore w:val="0"/>
              <w:kinsoku/>
              <w:overflowPunct/>
              <w:topLinePunct w:val="0"/>
              <w:bidi w:val="0"/>
              <w:adjustRightInd/>
              <w:snapToGrid/>
              <w:jc w:val="center"/>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乐昌博柠橡胶制品项目</w:t>
            </w:r>
          </w:p>
        </w:tc>
      </w:tr>
      <w:tr w14:paraId="1373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0139499D">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项目代码</w:t>
            </w:r>
          </w:p>
        </w:tc>
        <w:tc>
          <w:tcPr>
            <w:tcW w:w="3861" w:type="pct"/>
            <w:gridSpan w:val="5"/>
            <w:vAlign w:val="center"/>
          </w:tcPr>
          <w:p w14:paraId="29BFB292">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2605-440281-04-01-522065</w:t>
            </w:r>
          </w:p>
        </w:tc>
      </w:tr>
      <w:tr w14:paraId="493C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5C6EC1C7">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建设单位联系人</w:t>
            </w:r>
          </w:p>
        </w:tc>
        <w:tc>
          <w:tcPr>
            <w:tcW w:w="1354" w:type="pct"/>
            <w:gridSpan w:val="2"/>
            <w:vAlign w:val="center"/>
          </w:tcPr>
          <w:p w14:paraId="4CD8490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olor w:val="000000" w:themeColor="text1"/>
                <w14:textFill>
                  <w14:solidFill>
                    <w14:schemeClr w14:val="tx1"/>
                  </w14:solidFill>
                </w14:textFill>
              </w:rPr>
              <w:t>邵</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凯</w:t>
            </w:r>
          </w:p>
        </w:tc>
        <w:tc>
          <w:tcPr>
            <w:tcW w:w="1239" w:type="pct"/>
            <w:gridSpan w:val="2"/>
            <w:vAlign w:val="center"/>
          </w:tcPr>
          <w:p w14:paraId="239FBF0D">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联系方式</w:t>
            </w:r>
          </w:p>
        </w:tc>
        <w:tc>
          <w:tcPr>
            <w:tcW w:w="1267" w:type="pct"/>
            <w:vAlign w:val="center"/>
          </w:tcPr>
          <w:p w14:paraId="3BD6AB1E">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150****0323</w:t>
            </w:r>
          </w:p>
        </w:tc>
      </w:tr>
      <w:tr w14:paraId="5EE0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409DF21D">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建设地点</w:t>
            </w:r>
          </w:p>
        </w:tc>
        <w:tc>
          <w:tcPr>
            <w:tcW w:w="3861" w:type="pct"/>
            <w:gridSpan w:val="5"/>
            <w:vAlign w:val="center"/>
          </w:tcPr>
          <w:p w14:paraId="591C92D0">
            <w:pPr>
              <w:keepNext w:val="0"/>
              <w:keepLines w:val="0"/>
              <w:pageBreakBefore w:val="0"/>
              <w:widowControl/>
              <w:kinsoku/>
              <w:overflowPunct/>
              <w:topLinePunct w:val="0"/>
              <w:bidi w:val="0"/>
              <w:adjustRightInd/>
              <w:snapToGrid/>
              <w:jc w:val="center"/>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广东省</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w:t>
            </w:r>
          </w:p>
        </w:tc>
      </w:tr>
      <w:tr w14:paraId="3E2E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360A51B4">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地理坐标</w:t>
            </w:r>
          </w:p>
        </w:tc>
        <w:tc>
          <w:tcPr>
            <w:tcW w:w="3861" w:type="pct"/>
            <w:gridSpan w:val="5"/>
            <w:vAlign w:val="center"/>
          </w:tcPr>
          <w:p w14:paraId="7592AEA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E</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113°24′8.864″,</w:t>
            </w:r>
            <w:r>
              <w:rPr>
                <w:rFonts w:hint="default"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25°8′48.88</w:t>
            </w:r>
            <w:r>
              <w:rPr>
                <w:rFonts w:hint="eastAsia" w:ascii="Times New Roman" w:hAnsi="Times New Roman" w:cs="Times New Roman"/>
                <w:color w:val="000000" w:themeColor="text1"/>
                <w:kern w:val="2"/>
                <w:position w:val="-1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76CF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138" w:type="pct"/>
            <w:gridSpan w:val="2"/>
            <w:vAlign w:val="center"/>
          </w:tcPr>
          <w:p w14:paraId="5E255466">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国民经济</w:t>
            </w:r>
          </w:p>
          <w:p w14:paraId="2D6D5398">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行业类别</w:t>
            </w:r>
          </w:p>
        </w:tc>
        <w:tc>
          <w:tcPr>
            <w:tcW w:w="1060" w:type="pct"/>
            <w:vAlign w:val="center"/>
          </w:tcPr>
          <w:p w14:paraId="01F952F1">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C29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其他橡胶</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制品制造</w:t>
            </w:r>
          </w:p>
        </w:tc>
        <w:tc>
          <w:tcPr>
            <w:tcW w:w="966" w:type="pct"/>
            <w:gridSpan w:val="2"/>
            <w:vAlign w:val="center"/>
          </w:tcPr>
          <w:p w14:paraId="5155BFED">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w:t>
            </w:r>
          </w:p>
          <w:p w14:paraId="19BDFCA4">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行业类别</w:t>
            </w:r>
          </w:p>
        </w:tc>
        <w:tc>
          <w:tcPr>
            <w:tcW w:w="1834" w:type="pct"/>
            <w:gridSpan w:val="2"/>
            <w:vAlign w:val="center"/>
          </w:tcPr>
          <w:p w14:paraId="0689D8BA">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二十六、橡胶和塑料制品业29—5</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橡胶</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制品业29</w:t>
            </w:r>
            <w:r>
              <w:rPr>
                <w:rFonts w:hint="eastAsia" w:cs="Times New Roman"/>
                <w:color w:val="000000" w:themeColor="text1"/>
                <w:kern w:val="2"/>
                <w:position w:val="-1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其他</w:t>
            </w:r>
          </w:p>
        </w:tc>
      </w:tr>
      <w:tr w14:paraId="0898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138" w:type="pct"/>
            <w:gridSpan w:val="2"/>
            <w:vAlign w:val="center"/>
          </w:tcPr>
          <w:p w14:paraId="73E429E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建设性质</w:t>
            </w:r>
          </w:p>
        </w:tc>
        <w:tc>
          <w:tcPr>
            <w:tcW w:w="1060" w:type="pct"/>
            <w:vAlign w:val="center"/>
          </w:tcPr>
          <w:p w14:paraId="7914D3BF">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新建（迁建）</w:t>
            </w:r>
          </w:p>
          <w:p w14:paraId="2EEFC96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改建</w:t>
            </w:r>
          </w:p>
          <w:p w14:paraId="1A47B48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扩建</w:t>
            </w:r>
          </w:p>
          <w:p w14:paraId="42EF166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技术改造</w:t>
            </w:r>
          </w:p>
        </w:tc>
        <w:tc>
          <w:tcPr>
            <w:tcW w:w="966" w:type="pct"/>
            <w:gridSpan w:val="2"/>
            <w:vAlign w:val="center"/>
          </w:tcPr>
          <w:p w14:paraId="44359E2F">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建设项目</w:t>
            </w:r>
          </w:p>
          <w:p w14:paraId="7CDBECEB">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申报情形</w:t>
            </w:r>
          </w:p>
        </w:tc>
        <w:tc>
          <w:tcPr>
            <w:tcW w:w="1834" w:type="pct"/>
            <w:gridSpan w:val="2"/>
            <w:vAlign w:val="center"/>
          </w:tcPr>
          <w:p w14:paraId="22F342FC">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首次申报项目</w:t>
            </w:r>
          </w:p>
          <w:p w14:paraId="43F5953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不予批准后再次申报项目</w:t>
            </w:r>
          </w:p>
          <w:p w14:paraId="7FA2EBC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超五年重新审核项目</w:t>
            </w:r>
          </w:p>
          <w:p w14:paraId="15FAE95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重大变动重新报批项目</w:t>
            </w:r>
          </w:p>
        </w:tc>
      </w:tr>
      <w:tr w14:paraId="7F5B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138" w:type="pct"/>
            <w:gridSpan w:val="2"/>
            <w:vAlign w:val="center"/>
          </w:tcPr>
          <w:p w14:paraId="0B21060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项目审批（核准/备案）部门（选填）</w:t>
            </w:r>
          </w:p>
        </w:tc>
        <w:tc>
          <w:tcPr>
            <w:tcW w:w="1060" w:type="pct"/>
            <w:vAlign w:val="center"/>
          </w:tcPr>
          <w:p w14:paraId="1C350201">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c>
          <w:tcPr>
            <w:tcW w:w="966" w:type="pct"/>
            <w:gridSpan w:val="2"/>
            <w:vAlign w:val="center"/>
          </w:tcPr>
          <w:p w14:paraId="7BC22100">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项目审批（核准/备案）文号（选填）</w:t>
            </w:r>
          </w:p>
        </w:tc>
        <w:tc>
          <w:tcPr>
            <w:tcW w:w="1834" w:type="pct"/>
            <w:gridSpan w:val="2"/>
            <w:vAlign w:val="center"/>
          </w:tcPr>
          <w:p w14:paraId="6079A7E7">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5416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138" w:type="pct"/>
            <w:gridSpan w:val="2"/>
            <w:vAlign w:val="center"/>
          </w:tcPr>
          <w:p w14:paraId="0A810A4F">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总投资（万元）</w:t>
            </w:r>
          </w:p>
        </w:tc>
        <w:tc>
          <w:tcPr>
            <w:tcW w:w="1060" w:type="pct"/>
            <w:vAlign w:val="center"/>
          </w:tcPr>
          <w:p w14:paraId="40B07250">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520</w:t>
            </w:r>
          </w:p>
        </w:tc>
        <w:tc>
          <w:tcPr>
            <w:tcW w:w="966" w:type="pct"/>
            <w:gridSpan w:val="2"/>
            <w:vAlign w:val="center"/>
          </w:tcPr>
          <w:p w14:paraId="14F0736C">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环保投资</w:t>
            </w:r>
          </w:p>
          <w:p w14:paraId="654B16EF">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（万元）</w:t>
            </w:r>
          </w:p>
        </w:tc>
        <w:tc>
          <w:tcPr>
            <w:tcW w:w="1834" w:type="pct"/>
            <w:gridSpan w:val="2"/>
            <w:vAlign w:val="center"/>
          </w:tcPr>
          <w:p w14:paraId="63336128">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50</w:t>
            </w:r>
          </w:p>
        </w:tc>
      </w:tr>
      <w:tr w14:paraId="6188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138" w:type="pct"/>
            <w:gridSpan w:val="2"/>
            <w:vAlign w:val="center"/>
          </w:tcPr>
          <w:p w14:paraId="6CC30D2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环保投资占比（%）</w:t>
            </w:r>
          </w:p>
        </w:tc>
        <w:tc>
          <w:tcPr>
            <w:tcW w:w="1060" w:type="pct"/>
            <w:vAlign w:val="center"/>
          </w:tcPr>
          <w:p w14:paraId="09AAF15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9.6</w:t>
            </w:r>
          </w:p>
        </w:tc>
        <w:tc>
          <w:tcPr>
            <w:tcW w:w="966" w:type="pct"/>
            <w:gridSpan w:val="2"/>
            <w:vAlign w:val="center"/>
          </w:tcPr>
          <w:p w14:paraId="7C5FF643">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施工工期</w:t>
            </w:r>
          </w:p>
        </w:tc>
        <w:tc>
          <w:tcPr>
            <w:tcW w:w="1834" w:type="pct"/>
            <w:gridSpan w:val="2"/>
            <w:vAlign w:val="center"/>
          </w:tcPr>
          <w:p w14:paraId="79DAD5FA">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r>
      <w:tr w14:paraId="0136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138" w:type="pct"/>
            <w:gridSpan w:val="2"/>
            <w:vAlign w:val="center"/>
          </w:tcPr>
          <w:p w14:paraId="778C31FC">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是否开工建设</w:t>
            </w:r>
          </w:p>
        </w:tc>
        <w:tc>
          <w:tcPr>
            <w:tcW w:w="1060" w:type="pct"/>
            <w:vAlign w:val="center"/>
          </w:tcPr>
          <w:p w14:paraId="322BB57C">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否</w:t>
            </w:r>
          </w:p>
          <w:p w14:paraId="78FF7D45">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eastAsia="宋体" w:cs="Times New Roman"/>
                <w:color w:val="000000" w:themeColor="text1"/>
                <w:highlight w:val="none"/>
                <w:u w:val="singl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是：</w:t>
            </w:r>
          </w:p>
        </w:tc>
        <w:tc>
          <w:tcPr>
            <w:tcW w:w="966" w:type="pct"/>
            <w:gridSpan w:val="2"/>
            <w:vAlign w:val="center"/>
          </w:tcPr>
          <w:p w14:paraId="1ADEB755">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用地（用海）面积（m</w:t>
            </w:r>
            <w:r>
              <w:rPr>
                <w:rFonts w:hint="default" w:ascii="Times New Roman" w:hAnsi="Times New Roman" w:eastAsia="宋体" w:cs="Times New Roman"/>
                <w:color w:val="000000" w:themeColor="text1"/>
                <w:kern w:val="2"/>
                <w:position w:val="-10"/>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t>）</w:t>
            </w:r>
          </w:p>
        </w:tc>
        <w:tc>
          <w:tcPr>
            <w:tcW w:w="1834" w:type="pct"/>
            <w:gridSpan w:val="2"/>
            <w:vAlign w:val="center"/>
          </w:tcPr>
          <w:p w14:paraId="0B5C4E2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4"/>
                <w:highlight w:val="none"/>
                <w:lang w:val="en-US" w:eastAsia="zh-CN" w:bidi="ar-SA"/>
                <w14:textFill>
                  <w14:solidFill>
                    <w14:schemeClr w14:val="tx1"/>
                  </w14:solidFill>
                </w14:textFill>
              </w:rPr>
            </w:pPr>
            <w:r>
              <w:rPr>
                <w:rFonts w:hint="eastAsia" w:cs="Times New Roman"/>
                <w:color w:val="000000" w:themeColor="text1"/>
                <w:kern w:val="2"/>
                <w:position w:val="-10"/>
                <w:sz w:val="24"/>
                <w:szCs w:val="24"/>
                <w:highlight w:val="none"/>
                <w:lang w:val="en-US" w:eastAsia="zh-CN" w:bidi="ar-SA"/>
                <w14:textFill>
                  <w14:solidFill>
                    <w14:schemeClr w14:val="tx1"/>
                  </w14:solidFill>
                </w14:textFill>
              </w:rPr>
              <w:t>4525.47</w:t>
            </w:r>
          </w:p>
        </w:tc>
      </w:tr>
      <w:tr w14:paraId="1C0B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2C12459A">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专项评价设置情况</w:t>
            </w:r>
          </w:p>
        </w:tc>
        <w:tc>
          <w:tcPr>
            <w:tcW w:w="3861" w:type="pct"/>
            <w:gridSpan w:val="5"/>
            <w:vAlign w:val="center"/>
          </w:tcPr>
          <w:p w14:paraId="577C23E9">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无</w:t>
            </w:r>
          </w:p>
        </w:tc>
      </w:tr>
      <w:tr w14:paraId="5E0D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1138" w:type="pct"/>
            <w:gridSpan w:val="2"/>
            <w:vAlign w:val="center"/>
          </w:tcPr>
          <w:p w14:paraId="07D002A0">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规划情况</w:t>
            </w:r>
          </w:p>
        </w:tc>
        <w:tc>
          <w:tcPr>
            <w:tcW w:w="3861" w:type="pct"/>
            <w:gridSpan w:val="5"/>
            <w:vAlign w:val="center"/>
          </w:tcPr>
          <w:p w14:paraId="6870C216">
            <w:pPr>
              <w:keepNext w:val="0"/>
              <w:keepLines w:val="0"/>
              <w:pageBreakBefore w:val="0"/>
              <w:widowControl w:val="0"/>
              <w:kinsoku/>
              <w:wordWrap w:val="0"/>
              <w:overflowPunct/>
              <w:topLinePunct w:val="0"/>
              <w:autoSpaceDE w:val="0"/>
              <w:autoSpaceDN w:val="0"/>
              <w:bidi w:val="0"/>
              <w:adjustRightInd/>
              <w:snapToGrid/>
              <w:spacing w:line="360" w:lineRule="auto"/>
              <w:jc w:val="center"/>
              <w:textAlignment w:val="center"/>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1"/>
                <w:kern w:val="2"/>
                <w:position w:val="-10"/>
                <w:sz w:val="24"/>
                <w:szCs w:val="24"/>
                <w:highlight w:val="none"/>
                <w:lang w:val="en-US" w:eastAsia="zh-CN" w:bidi="ar-SA"/>
                <w14:textFill>
                  <w14:solidFill>
                    <w14:schemeClr w14:val="tx1"/>
                  </w14:solidFill>
                </w14:textFill>
              </w:rPr>
              <w:t>《乐昌产业转移工业园城东片区控制性详细规划修编（2023年）》</w:t>
            </w:r>
          </w:p>
        </w:tc>
      </w:tr>
      <w:tr w14:paraId="74B0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24FF0999">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规划环境影响评价情况</w:t>
            </w:r>
          </w:p>
        </w:tc>
        <w:tc>
          <w:tcPr>
            <w:tcW w:w="6586" w:type="dxa"/>
            <w:gridSpan w:val="5"/>
            <w:vAlign w:val="center"/>
          </w:tcPr>
          <w:p w14:paraId="44E936A2">
            <w:pPr>
              <w:pStyle w:val="58"/>
              <w:keepNext w:val="0"/>
              <w:keepLines w:val="0"/>
              <w:pageBreakBefore w:val="0"/>
              <w:kinsoku/>
              <w:wordWrap w:val="0"/>
              <w:overflowPunct/>
              <w:topLinePunct w:val="0"/>
              <w:bidi w:val="0"/>
              <w:adjustRightInd/>
              <w:snapToGrid/>
              <w:outlineLvl w:val="9"/>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审查单位：</w:t>
            </w:r>
            <w:r>
              <w:rPr>
                <w:rFonts w:hint="default" w:ascii="Times New Roman" w:hAnsi="Times New Roman" w:cs="Times New Roman"/>
                <w:color w:val="000000" w:themeColor="text1"/>
                <w:spacing w:val="-1"/>
                <w:sz w:val="24"/>
                <w:szCs w:val="24"/>
                <w:highlight w:val="none"/>
                <w14:textFill>
                  <w14:solidFill>
                    <w14:schemeClr w14:val="tx1"/>
                  </w14:solidFill>
                </w14:textFill>
              </w:rPr>
              <w:t>广东省</w:t>
            </w:r>
            <w:r>
              <w:rPr>
                <w:rFonts w:hint="eastAsia" w:cs="Times New Roman"/>
                <w:color w:val="000000" w:themeColor="text1"/>
                <w:spacing w:val="-1"/>
                <w:sz w:val="24"/>
                <w:szCs w:val="24"/>
                <w:highlight w:val="none"/>
                <w:lang w:val="en-US" w:eastAsia="zh-CN"/>
                <w14:textFill>
                  <w14:solidFill>
                    <w14:schemeClr w14:val="tx1"/>
                  </w14:solidFill>
                </w14:textFill>
              </w:rPr>
              <w:t>生态环境</w:t>
            </w:r>
            <w:r>
              <w:rPr>
                <w:rFonts w:hint="default" w:ascii="Times New Roman" w:hAnsi="Times New Roman" w:cs="Times New Roman"/>
                <w:color w:val="000000" w:themeColor="text1"/>
                <w:spacing w:val="-1"/>
                <w:sz w:val="24"/>
                <w:szCs w:val="24"/>
                <w:highlight w:val="none"/>
                <w14:textFill>
                  <w14:solidFill>
                    <w14:schemeClr w14:val="tx1"/>
                  </w14:solidFill>
                </w14:textFill>
              </w:rPr>
              <w:t>厅，广东省生态环境厅关于印发</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的函</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1"/>
                <w:sz w:val="24"/>
                <w:szCs w:val="24"/>
                <w:highlight w:val="none"/>
                <w14:textFill>
                  <w14:solidFill>
                    <w14:schemeClr w14:val="tx1"/>
                  </w14:solidFill>
                </w14:textFill>
              </w:rPr>
              <w:t>粤环审〔2026〕80 号</w:t>
            </w:r>
          </w:p>
        </w:tc>
      </w:tr>
      <w:tr w14:paraId="41D1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3" w:hRule="atLeast"/>
          <w:jc w:val="center"/>
        </w:trPr>
        <w:tc>
          <w:tcPr>
            <w:tcW w:w="1138" w:type="pct"/>
            <w:gridSpan w:val="2"/>
            <w:vAlign w:val="center"/>
          </w:tcPr>
          <w:p w14:paraId="705439C4">
            <w:pPr>
              <w:widowControl w:val="0"/>
              <w:wordWrap w:val="0"/>
              <w:autoSpaceDE w:val="0"/>
              <w:autoSpaceDN w:val="0"/>
              <w:spacing w:line="360" w:lineRule="auto"/>
              <w:jc w:val="center"/>
              <w:textAlignment w:val="cente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10"/>
                <w:sz w:val="24"/>
                <w:szCs w:val="22"/>
                <w:highlight w:val="none"/>
                <w:lang w:val="en-US" w:eastAsia="zh-CN" w:bidi="ar-SA"/>
                <w14:textFill>
                  <w14:solidFill>
                    <w14:schemeClr w14:val="tx1"/>
                  </w14:solidFill>
                </w14:textFill>
              </w:rPr>
              <w:t>规划及规划环境影响评价符合性分析</w:t>
            </w:r>
          </w:p>
        </w:tc>
        <w:tc>
          <w:tcPr>
            <w:tcW w:w="6586" w:type="dxa"/>
            <w:gridSpan w:val="5"/>
            <w:vAlign w:val="center"/>
          </w:tcPr>
          <w:p w14:paraId="3877F804">
            <w:pPr>
              <w:keepNext w:val="0"/>
              <w:keepLines w:val="0"/>
              <w:pageBreakBefore w:val="0"/>
              <w:numPr>
                <w:ilvl w:val="0"/>
                <w:numId w:val="0"/>
              </w:numPr>
              <w:tabs>
                <w:tab w:val="left" w:pos="0"/>
              </w:tabs>
              <w:kinsoku/>
              <w:wordWrap w:val="0"/>
              <w:overflowPunct/>
              <w:topLinePunct w:val="0"/>
              <w:bidi w:val="0"/>
              <w:adjustRightInd/>
              <w:snapToGrid/>
              <w:spacing w:line="420" w:lineRule="exact"/>
              <w:ind w:firstLine="476" w:firstLineChars="200"/>
              <w:jc w:val="left"/>
              <w:outlineLvl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根据</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，新引入企业</w:t>
            </w:r>
            <w:r>
              <w:rPr>
                <w:rFonts w:hint="default" w:ascii="Times New Roman" w:hAnsi="Times New Roman" w:cs="Times New Roman"/>
                <w:color w:val="000000" w:themeColor="text1"/>
                <w:vertAlign w:val="baseline"/>
                <w14:textFill>
                  <w14:solidFill>
                    <w14:schemeClr w14:val="tx1"/>
                  </w14:solidFill>
                </w14:textFill>
              </w:rPr>
              <w:t>应符合现行有效的《产业结构调整指导目录</w:t>
            </w:r>
            <w:r>
              <w:rPr>
                <w:rFonts w:hint="default" w:ascii="Times New Roman" w:hAnsi="Times New Roman" w:cs="Times New Roman"/>
                <w:color w:val="000000" w:themeColor="text1"/>
                <w:vertAlign w:val="baseline"/>
                <w:lang w:val="en-US" w:eastAsia="zh-CN"/>
                <w14:textFill>
                  <w14:solidFill>
                    <w14:schemeClr w14:val="tx1"/>
                  </w14:solidFill>
                </w14:textFill>
              </w:rPr>
              <w:t>2024本</w:t>
            </w:r>
            <w:r>
              <w:rPr>
                <w:rFonts w:hint="default" w:ascii="Times New Roman" w:hAnsi="Times New Roman" w:cs="Times New Roman"/>
                <w:color w:val="000000" w:themeColor="text1"/>
                <w:vertAlign w:val="baseline"/>
                <w14:textFill>
                  <w14:solidFill>
                    <w14:schemeClr w14:val="tx1"/>
                  </w14:solidFill>
                </w14:textFill>
              </w:rPr>
              <w:t>》、《市场准入负面清单》</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发改体改规〔2025〕466 号</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、《广东省国家重点生态功能区产业准入负面清单(试行</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粤发改规划〔2017〕331 号</w:t>
            </w:r>
            <w:r>
              <w:rPr>
                <w:rFonts w:hint="default" w:ascii="Times New Roman" w:hAnsi="Times New Roman" w:cs="Times New Roman"/>
                <w:color w:val="000000" w:themeColor="text1"/>
                <w:vertAlign w:val="baseline"/>
                <w:lang w:eastAsia="zh-CN"/>
                <w14:textFill>
                  <w14:solidFill>
                    <w14:schemeClr w14:val="tx1"/>
                  </w14:solidFill>
                </w14:textFill>
              </w:rPr>
              <w:t>）</w:t>
            </w:r>
            <w:r>
              <w:rPr>
                <w:rFonts w:hint="default" w:ascii="Times New Roman" w:hAnsi="Times New Roman" w:cs="Times New Roman"/>
                <w:color w:val="000000" w:themeColor="text1"/>
                <w:vertAlign w:val="baseline"/>
                <w14:textFill>
                  <w14:solidFill>
                    <w14:schemeClr w14:val="tx1"/>
                  </w14:solidFill>
                </w14:textFill>
              </w:rPr>
              <w:t>等相关产业政策要求</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cs="Times New Roman"/>
                <w:color w:val="000000" w:themeColor="text1"/>
                <w14:textFill>
                  <w14:solidFill>
                    <w14:schemeClr w14:val="tx1"/>
                  </w14:solidFill>
                </w14:textFill>
              </w:rPr>
              <w:t>禁止建设生产和使用高VOCs含量的溶剂型涂料、油墨、胶粘剂等项目。</w:t>
            </w:r>
            <w:r>
              <w:rPr>
                <w:rFonts w:hint="default" w:ascii="Times New Roman" w:hAnsi="Times New Roman" w:cs="Times New Roman"/>
                <w:color w:val="000000" w:themeColor="text1"/>
                <w:vertAlign w:val="baseline"/>
                <w14:textFill>
                  <w14:solidFill>
                    <w14:schemeClr w14:val="tx1"/>
                  </w14:solidFill>
                </w14:textFill>
              </w:rPr>
              <w:t>禁止新建、扩建专业电镀、鞣革、印染、化学制浆等水污染物排放量大或排放一类污染物、持久性有机污染物的项目。</w:t>
            </w:r>
          </w:p>
          <w:p w14:paraId="54176C7F">
            <w:pPr>
              <w:pStyle w:val="58"/>
              <w:keepNext w:val="0"/>
              <w:keepLines w:val="0"/>
              <w:pageBreakBefore w:val="0"/>
              <w:kinsoku/>
              <w:wordWrap w:val="0"/>
              <w:overflowPunct/>
              <w:topLinePunct w:val="0"/>
              <w:bidi w:val="0"/>
              <w:adjustRightInd/>
              <w:snapToGrid/>
              <w:spacing w:line="360" w:lineRule="auto"/>
              <w:ind w:firstLine="476" w:firstLineChars="200"/>
              <w:jc w:val="left"/>
              <w:outlineLvl w:val="9"/>
              <w:rPr>
                <w:rFonts w:hint="default" w:ascii="Times New Roman" w:hAnsi="Times New Roman" w:cs="Times New Roman"/>
                <w:color w:val="000000" w:themeColor="text1"/>
                <w:spacing w:val="-1"/>
                <w:sz w:val="24"/>
                <w:szCs w:val="24"/>
                <w:highlight w:val="none"/>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本项目满足国家和地方相关产业政策，</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项目所使用油墨均为低</w:t>
            </w:r>
            <w:r>
              <w:rPr>
                <w:rFonts w:hint="eastAsia" w:cs="Times New Roman"/>
                <w:color w:val="000000" w:themeColor="text1"/>
                <w:spacing w:val="-1"/>
                <w:sz w:val="24"/>
                <w:szCs w:val="24"/>
                <w:highlight w:val="none"/>
                <w:lang w:val="en-US" w:eastAsia="zh-CN"/>
                <w14:textFill>
                  <w14:solidFill>
                    <w14:schemeClr w14:val="tx1"/>
                  </w14:solidFill>
                </w14:textFill>
              </w:rPr>
              <w:t>VOCs含量</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产品，项目</w:t>
            </w:r>
            <w:r>
              <w:rPr>
                <w:rFonts w:hint="default" w:ascii="Times New Roman" w:hAnsi="Times New Roman" w:cs="Times New Roman"/>
                <w:color w:val="000000" w:themeColor="text1"/>
                <w:spacing w:val="-1"/>
                <w:sz w:val="24"/>
                <w:szCs w:val="24"/>
                <w:highlight w:val="none"/>
                <w14:textFill>
                  <w14:solidFill>
                    <w14:schemeClr w14:val="tx1"/>
                  </w14:solidFill>
                </w14:textFill>
              </w:rPr>
              <w:t>不排放一类污染物和有毒有害物质，不向河流排放含汞、砷、镉、铬、铅等重金属污染物和持久性有机污染物，不属于园区禁止项目，符合园区准入条件。</w:t>
            </w:r>
          </w:p>
          <w:p w14:paraId="0C070EFB">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《韶关乐昌经济开发区规划</w:t>
            </w:r>
          </w:p>
          <w:p w14:paraId="1F06AF07">
            <w:pPr>
              <w:pStyle w:val="12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环境影响报告书审查意见》的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相符性分析</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012"/>
              <w:gridCol w:w="2058"/>
              <w:gridCol w:w="555"/>
            </w:tblGrid>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022657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管控要求</w:t>
                  </w:r>
                </w:p>
              </w:tc>
              <w:tc>
                <w:tcPr>
                  <w:tcW w:w="3012" w:type="dxa"/>
                  <w:vAlign w:val="center"/>
                </w:tcPr>
                <w:p w14:paraId="034E8F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总体准入要求</w:t>
                  </w:r>
                </w:p>
              </w:tc>
              <w:tc>
                <w:tcPr>
                  <w:tcW w:w="2058" w:type="dxa"/>
                  <w:vAlign w:val="center"/>
                </w:tcPr>
                <w:p w14:paraId="55B946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项目情况</w:t>
                  </w:r>
                </w:p>
              </w:tc>
              <w:tc>
                <w:tcPr>
                  <w:tcW w:w="555" w:type="dxa"/>
                  <w:vAlign w:val="center"/>
                </w:tcPr>
                <w:p w14:paraId="7CA629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735" w:type="dxa"/>
                  <w:vAlign w:val="center"/>
                </w:tcPr>
                <w:p w14:paraId="6B5E01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空间布局约束</w:t>
                  </w:r>
                </w:p>
              </w:tc>
              <w:tc>
                <w:tcPr>
                  <w:tcW w:w="3012" w:type="dxa"/>
                  <w:vAlign w:val="center"/>
                </w:tcPr>
                <w:p w14:paraId="256B59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引入产业应符合现行有效的《产业结构调整指导目录》、《市场准入负面清单》、《广东省国家重点生态功能区产业准入负面清单(试行</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vertAlign w:val="baseline"/>
                      <w14:textFill>
                        <w14:solidFill>
                          <w14:schemeClr w14:val="tx1"/>
                        </w14:solidFill>
                      </w14:textFill>
                    </w:rPr>
                    <w:t>》等相关产业政策要求。</w:t>
                  </w:r>
                </w:p>
                <w:p w14:paraId="31C473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严格控制高污染高能耗项目建设。</w:t>
                  </w:r>
                  <w:r>
                    <w:rPr>
                      <w:rFonts w:hint="eastAsia"/>
                      <w:color w:val="000000" w:themeColor="text1"/>
                      <w:sz w:val="21"/>
                      <w:szCs w:val="21"/>
                      <w:vertAlign w:val="baseline"/>
                      <w14:textFill>
                        <w14:solidFill>
                          <w14:schemeClr w14:val="tx1"/>
                        </w14:solidFill>
                      </w14:textFill>
                    </w:rPr>
                    <w:t>新、改、扩建项目要达到国内清洁生产先进水平。</w:t>
                  </w:r>
                </w:p>
                <w:p w14:paraId="09EDE0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禁止销售、燃用高污染燃料</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vertAlign w:val="baseline"/>
                      <w14:textFill>
                        <w14:solidFill>
                          <w14:schemeClr w14:val="tx1"/>
                        </w14:solidFill>
                      </w14:textFill>
                    </w:rPr>
                    <w:t>禁止新建、扩建燃用高污染燃料的设施</w:t>
                  </w:r>
                  <w:r>
                    <w:rPr>
                      <w:rFonts w:hint="eastAsia"/>
                      <w:color w:val="000000" w:themeColor="text1"/>
                      <w:sz w:val="21"/>
                      <w:szCs w:val="21"/>
                      <w:vertAlign w:val="baseline"/>
                      <w:lang w:eastAsia="zh-CN"/>
                      <w14:textFill>
                        <w14:solidFill>
                          <w14:schemeClr w14:val="tx1"/>
                        </w14:solidFill>
                      </w14:textFill>
                    </w:rPr>
                    <w:t>；</w:t>
                  </w:r>
                  <w:r>
                    <w:rPr>
                      <w:rFonts w:hint="eastAsia"/>
                      <w:color w:val="000000" w:themeColor="text1"/>
                      <w:sz w:val="21"/>
                      <w:szCs w:val="21"/>
                      <w14:textFill>
                        <w14:solidFill>
                          <w14:schemeClr w14:val="tx1"/>
                        </w14:solidFill>
                      </w14:textFill>
                    </w:rPr>
                    <w:t>禁止建设生产和使用高VOCs含量的溶剂型涂料、油墨、胶粘剂等项目。</w:t>
                  </w:r>
                </w:p>
                <w:p w14:paraId="69ED5A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禁止新建、扩建专业电镀、鞣革、印染、化学制浆等水污染物排放量大或排放一类污染物、持久性有机污染物的项目。</w:t>
                  </w:r>
                </w:p>
                <w:p w14:paraId="2E4492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189542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与饮用水源准保护区重叠区域划定为优先保护单元，不进行工业开发利用，禁止新建、扩建对水体污染严重的建设项目，改建项目不得增加排污量。</w:t>
                  </w:r>
                </w:p>
                <w:p w14:paraId="388267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2058" w:type="dxa"/>
                  <w:vAlign w:val="center"/>
                </w:tcPr>
                <w:p w14:paraId="72148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属于</w:t>
                  </w:r>
                  <w:r>
                    <w:rPr>
                      <w:rFonts w:hint="eastAsia" w:cs="Times New Roman"/>
                      <w:color w:val="000000" w:themeColor="text1"/>
                      <w:sz w:val="21"/>
                      <w:szCs w:val="21"/>
                      <w:highlight w:val="none"/>
                      <w:lang w:eastAsia="zh-CN"/>
                      <w14:textFill>
                        <w14:solidFill>
                          <w14:schemeClr w14:val="tx1"/>
                        </w14:solidFill>
                      </w14:textFill>
                    </w:rPr>
                    <w:t>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，不属于造纸、焦化、有色金属、印染、农副食品加工、原料药制造、制革、农药、电镀等行业，不属于“两高”项目。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本项目满足国家和地方相关产业政策，</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项目所使用</w:t>
                  </w:r>
                  <w:r>
                    <w:rPr>
                      <w:rFonts w:hint="eastAsia" w:cs="Times New Roman"/>
                      <w:color w:val="000000" w:themeColor="text1"/>
                      <w:spacing w:val="-1"/>
                      <w:sz w:val="21"/>
                      <w:szCs w:val="21"/>
                      <w:highlight w:val="none"/>
                      <w:lang w:val="en-US" w:eastAsia="zh-CN"/>
                      <w14:textFill>
                        <w14:solidFill>
                          <w14:schemeClr w14:val="tx1"/>
                        </w14:solidFill>
                      </w14:textFill>
                    </w:rPr>
                    <w:t>原</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料均为低</w:t>
                  </w:r>
                  <w:r>
                    <w:rPr>
                      <w:rFonts w:hint="eastAsia" w:cs="Times New Roman"/>
                      <w:color w:val="000000" w:themeColor="text1"/>
                      <w:spacing w:val="-1"/>
                      <w:sz w:val="21"/>
                      <w:szCs w:val="21"/>
                      <w:highlight w:val="none"/>
                      <w:lang w:val="en-US" w:eastAsia="zh-CN"/>
                      <w14:textFill>
                        <w14:solidFill>
                          <w14:schemeClr w14:val="tx1"/>
                        </w14:solidFill>
                      </w14:textFill>
                    </w:rPr>
                    <w:t>VOCs含量</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产品，项目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项目最近敏感点为南侧490m处乐园小学。</w:t>
                  </w:r>
                </w:p>
              </w:tc>
              <w:tc>
                <w:tcPr>
                  <w:tcW w:w="555" w:type="dxa"/>
                  <w:vAlign w:val="center"/>
                </w:tcPr>
                <w:p w14:paraId="099974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4392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35" w:type="dxa"/>
                  <w:vAlign w:val="center"/>
                </w:tcPr>
                <w:p w14:paraId="357B90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污染物排放管控</w:t>
                  </w:r>
                </w:p>
              </w:tc>
              <w:tc>
                <w:tcPr>
                  <w:tcW w:w="3012" w:type="dxa"/>
                  <w:vAlign w:val="center"/>
                </w:tcPr>
                <w:p w14:paraId="17608DD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在可核查、可监管的基础上，新建项目原则上实施氮氧化物(NOx)和挥发性有机物(VOCs)等量替代。</w:t>
                  </w:r>
                </w:p>
                <w:p w14:paraId="1217B4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根据《广东省生态环境厅关于在重点区域执行污染物特别排放限值的公告》(粤环发(2023)1号)要求，执行相应特别排放限值要求。</w:t>
                  </w:r>
                </w:p>
                <w:p w14:paraId="11EDA0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557F8C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474FB9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产生固体废物(含危险废物)的企业须配套建设符合规范且满足需求的贮存场所，固体废物(含危险废物)贮存、转移过程中应配套防扬散、防流失、防渗漏及其它防止污染环境的措施。</w:t>
                  </w:r>
                </w:p>
                <w:p w14:paraId="64BD7C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重点重金属按照韶关市生态环境分区管控要求执行。</w:t>
                  </w:r>
                </w:p>
              </w:tc>
              <w:tc>
                <w:tcPr>
                  <w:tcW w:w="2058" w:type="dxa"/>
                  <w:vAlign w:val="center"/>
                </w:tcPr>
                <w:p w14:paraId="0222A7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VOCs实行总量控制。项目所在地不涉及饮用水水源保护区；生活污水经</w:t>
                  </w:r>
                  <w:r>
                    <w:rPr>
                      <w:rFonts w:hint="eastAsia" w:cs="Times New Roman"/>
                      <w:color w:val="000000" w:themeColor="text1"/>
                      <w:sz w:val="21"/>
                      <w:szCs w:val="21"/>
                      <w:highlight w:val="none"/>
                      <w:lang w:eastAsia="zh-CN"/>
                      <w14:textFill>
                        <w14:solidFill>
                          <w14:schemeClr w14:val="tx1"/>
                        </w14:solidFill>
                      </w14:textFill>
                    </w:rPr>
                    <w:t>三级化粪池</w:t>
                  </w:r>
                  <w:r>
                    <w:rPr>
                      <w:rFonts w:hint="default" w:ascii="Times New Roman" w:hAnsi="Times New Roman" w:cs="Times New Roman"/>
                      <w:color w:val="000000" w:themeColor="text1"/>
                      <w:sz w:val="21"/>
                      <w:szCs w:val="21"/>
                      <w:highlight w:val="none"/>
                      <w14:textFill>
                        <w14:solidFill>
                          <w14:schemeClr w14:val="tx1"/>
                        </w14:solidFill>
                      </w14:textFill>
                    </w:rPr>
                    <w:t>处理后排入园区污水处理厂，园区污水处理厂执行《城镇污水处理厂污染物排放标准》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GB18918-2002</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中</w:t>
                  </w:r>
                  <w:r>
                    <w:rPr>
                      <w:rFonts w:hint="eastAsia" w:cs="Times New Roman"/>
                      <w:color w:val="000000" w:themeColor="text1"/>
                      <w:sz w:val="21"/>
                      <w:szCs w:val="21"/>
                      <w:highlight w:val="none"/>
                      <w:lang w:eastAsia="zh-CN"/>
                      <w14:textFill>
                        <w14:solidFill>
                          <w14:schemeClr w14:val="tx1"/>
                        </w14:solidFill>
                      </w14:textFill>
                    </w:rPr>
                    <w:t>及其修改单一级A标准</w:t>
                  </w:r>
                  <w:r>
                    <w:rPr>
                      <w:rFonts w:hint="default" w:ascii="Times New Roman" w:hAnsi="Times New Roman" w:cs="Times New Roman"/>
                      <w:color w:val="000000" w:themeColor="text1"/>
                      <w:sz w:val="21"/>
                      <w:szCs w:val="21"/>
                      <w:highlight w:val="none"/>
                      <w14:textFill>
                        <w14:solidFill>
                          <w14:schemeClr w14:val="tx1"/>
                        </w14:solidFill>
                      </w14:textFill>
                    </w:rPr>
                    <w:t>和广东省《水污染物排放限值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（DB44/26-2001）中的第二时段一级排放标准中严者。</w:t>
                  </w:r>
                </w:p>
              </w:tc>
              <w:tc>
                <w:tcPr>
                  <w:tcW w:w="555" w:type="dxa"/>
                  <w:vAlign w:val="center"/>
                </w:tcPr>
                <w:p w14:paraId="49114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jc w:val="center"/>
              </w:trPr>
              <w:tc>
                <w:tcPr>
                  <w:tcW w:w="735" w:type="dxa"/>
                  <w:vAlign w:val="center"/>
                </w:tcPr>
                <w:p w14:paraId="455C11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环境风险管控</w:t>
                  </w:r>
                </w:p>
              </w:tc>
              <w:tc>
                <w:tcPr>
                  <w:tcW w:w="3012" w:type="dxa"/>
                  <w:vAlign w:val="center"/>
                </w:tcPr>
                <w:p w14:paraId="25F061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0F7263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涉及生产废水排放企业需配套有效措施，防止事故废水直排污染地表水体，防止因渗漏污染地下水。</w:t>
                  </w:r>
                </w:p>
                <w:p w14:paraId="3E690A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应符合《韶关市人民政府关于印发韶关市“三线一单"生态环境分区管控方案的通知》(韶府(2021)10号)、《韶关市生态环境分区管控动态更新成果》及后续生态环境分区管控动态更新要求</w:t>
                  </w:r>
                </w:p>
              </w:tc>
              <w:tc>
                <w:tcPr>
                  <w:tcW w:w="2058" w:type="dxa"/>
                  <w:vAlign w:val="center"/>
                </w:tcPr>
                <w:p w14:paraId="43DB27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555" w:type="dxa"/>
                  <w:vAlign w:val="center"/>
                </w:tcPr>
                <w:p w14:paraId="270D4C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735" w:type="dxa"/>
                  <w:vAlign w:val="center"/>
                </w:tcPr>
                <w:p w14:paraId="03DC78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资源开发利用管理</w:t>
                  </w:r>
                </w:p>
              </w:tc>
              <w:tc>
                <w:tcPr>
                  <w:tcW w:w="3012" w:type="dxa"/>
                  <w:vAlign w:val="center"/>
                </w:tcPr>
                <w:p w14:paraId="621A37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14:textFill>
                        <w14:solidFill>
                          <w14:schemeClr w14:val="tx1"/>
                        </w14:solidFill>
                      </w14:textFill>
                    </w:rPr>
                    <w:t>禁止使用高污染燃料，建议使用电能、天然气等清洁能源。</w:t>
                  </w:r>
                </w:p>
                <w:p w14:paraId="61D3E9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贯彻落实“节水优先”方针，实行最严格水资源管理制度</w:t>
                  </w:r>
                  <w:r>
                    <w:rPr>
                      <w:rFonts w:hint="eastAsia"/>
                      <w:color w:val="000000" w:themeColor="text1"/>
                      <w:sz w:val="21"/>
                      <w:szCs w:val="21"/>
                      <w:vertAlign w:val="baseline"/>
                      <w:lang w:eastAsia="zh-CN"/>
                      <w14:textFill>
                        <w14:solidFill>
                          <w14:schemeClr w14:val="tx1"/>
                        </w14:solidFill>
                      </w14:textFill>
                    </w:rPr>
                    <w:t>。</w:t>
                  </w:r>
                </w:p>
                <w:p w14:paraId="4672DF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vertAlign w:val="baseline"/>
                      <w:lang w:eastAsia="zh-CN"/>
                      <w14:textFill>
                        <w14:solidFill>
                          <w14:schemeClr w14:val="tx1"/>
                        </w14:solidFill>
                      </w14:textFill>
                    </w:rPr>
                  </w:pPr>
                  <w:r>
                    <w:rPr>
                      <w:rFonts w:hint="eastAsia"/>
                      <w:color w:val="000000" w:themeColor="text1"/>
                      <w:sz w:val="21"/>
                      <w:szCs w:val="21"/>
                      <w:vertAlign w:val="baseline"/>
                      <w14:textFill>
                        <w14:solidFill>
                          <w14:schemeClr w14:val="tx1"/>
                        </w14:solidFill>
                      </w14:textFill>
                    </w:rPr>
                    <w:t>符合《韶关市人民政府关于印发韶关市“三线一单”生态环境分区管控方案的通知》(韶府(2021)10号)《韶关市生态环境分区管控动态更新成果》及后续生态环境分区管控动态更新要求</w:t>
                  </w:r>
                  <w:r>
                    <w:rPr>
                      <w:rFonts w:hint="eastAsia"/>
                      <w:color w:val="000000" w:themeColor="text1"/>
                      <w:sz w:val="21"/>
                      <w:szCs w:val="21"/>
                      <w:vertAlign w:val="baseline"/>
                      <w:lang w:eastAsia="zh-CN"/>
                      <w14:textFill>
                        <w14:solidFill>
                          <w14:schemeClr w14:val="tx1"/>
                        </w14:solidFill>
                      </w14:textFill>
                    </w:rPr>
                    <w:t>。</w:t>
                  </w:r>
                </w:p>
              </w:tc>
              <w:tc>
                <w:tcPr>
                  <w:tcW w:w="2058" w:type="dxa"/>
                  <w:vAlign w:val="center"/>
                </w:tcPr>
                <w:p w14:paraId="7765BF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属于</w:t>
                  </w:r>
                  <w:r>
                    <w:rPr>
                      <w:rFonts w:hint="eastAsia"/>
                      <w:color w:val="000000" w:themeColor="text1"/>
                      <w:sz w:val="21"/>
                      <w:szCs w:val="21"/>
                      <w:lang w:eastAsia="zh-CN"/>
                      <w14:textFill>
                        <w14:solidFill>
                          <w14:schemeClr w14:val="tx1"/>
                        </w14:solidFill>
                      </w14:textFill>
                    </w:rPr>
                    <w:t>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，不属于电力、建材、冶炼等重点耗能行业，不涉及水电、风电、矿产资源开发。项目</w:t>
                  </w:r>
                  <w:r>
                    <w:rPr>
                      <w:rFonts w:hint="eastAsia" w:cs="Times New Roman"/>
                      <w:color w:val="000000" w:themeColor="text1"/>
                      <w:sz w:val="21"/>
                      <w:szCs w:val="21"/>
                      <w:highlight w:val="none"/>
                      <w:lang w:val="en-US" w:eastAsia="zh-CN"/>
                      <w14:textFill>
                        <w14:solidFill>
                          <w14:schemeClr w14:val="tx1"/>
                        </w14:solidFill>
                      </w14:textFill>
                    </w:rPr>
                    <w:t>生产过程主要使用电能，</w:t>
                  </w:r>
                  <w:r>
                    <w:rPr>
                      <w:rFonts w:hint="default" w:ascii="Times New Roman" w:hAnsi="Times New Roman" w:cs="Times New Roman"/>
                      <w:color w:val="000000" w:themeColor="text1"/>
                      <w:sz w:val="21"/>
                      <w:szCs w:val="21"/>
                      <w:highlight w:val="none"/>
                      <w14:textFill>
                        <w14:solidFill>
                          <w14:schemeClr w14:val="tx1"/>
                        </w14:solidFill>
                      </w14:textFill>
                    </w:rPr>
                    <w:t>属于清洁能源。</w:t>
                  </w:r>
                </w:p>
              </w:tc>
              <w:tc>
                <w:tcPr>
                  <w:tcW w:w="555" w:type="dxa"/>
                  <w:vAlign w:val="center"/>
                </w:tcPr>
                <w:p w14:paraId="74C71E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vertAlign w:val="baseline"/>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相符</w:t>
                  </w:r>
                </w:p>
              </w:tc>
            </w:tr>
          </w:tbl>
          <w:p w14:paraId="4DFF8375">
            <w:pPr>
              <w:pStyle w:val="58"/>
              <w:keepNext w:val="0"/>
              <w:keepLines w:val="0"/>
              <w:pageBreakBefore w:val="0"/>
              <w:kinsoku/>
              <w:wordWrap w:val="0"/>
              <w:overflowPunct/>
              <w:topLinePunct w:val="0"/>
              <w:bidi w:val="0"/>
              <w:adjustRightInd/>
              <w:snapToGrid/>
              <w:spacing w:line="360" w:lineRule="auto"/>
              <w:ind w:firstLine="476" w:firstLineChars="200"/>
              <w:jc w:val="left"/>
              <w:outlineLvl w:val="9"/>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pPr>
          </w:p>
        </w:tc>
      </w:tr>
      <w:tr w14:paraId="6F47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267" w:type="pct"/>
            <w:vAlign w:val="center"/>
          </w:tcPr>
          <w:p w14:paraId="4492D1FA">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bookmarkStart w:id="2" w:name="_Toc22642"/>
            <w:bookmarkStart w:id="3" w:name="_Toc2999"/>
            <w:bookmarkStart w:id="4" w:name="_Toc28749"/>
            <w:bookmarkStart w:id="5" w:name="_Toc27052"/>
            <w:bookmarkStart w:id="6" w:name="_Toc11884"/>
            <w:r>
              <w:rPr>
                <w:rFonts w:hint="default" w:ascii="Times New Roman" w:hAnsi="Times New Roman" w:eastAsia="宋体" w:cs="Times New Roman"/>
                <w:color w:val="000000" w:themeColor="text1"/>
                <w:highlight w:val="none"/>
                <w14:textFill>
                  <w14:solidFill>
                    <w14:schemeClr w14:val="tx1"/>
                  </w14:solidFill>
                </w14:textFill>
              </w:rPr>
              <w:t>其他符合性分析</w:t>
            </w:r>
            <w:bookmarkEnd w:id="2"/>
            <w:bookmarkEnd w:id="3"/>
            <w:bookmarkEnd w:id="4"/>
            <w:bookmarkEnd w:id="5"/>
            <w:bookmarkEnd w:id="6"/>
          </w:p>
        </w:tc>
        <w:tc>
          <w:tcPr>
            <w:tcW w:w="4732" w:type="pct"/>
            <w:gridSpan w:val="6"/>
            <w:vAlign w:val="center"/>
          </w:tcPr>
          <w:p w14:paraId="40B129B1">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一、产业政策相符性分析</w:t>
            </w:r>
          </w:p>
          <w:p w14:paraId="3E115EF6">
            <w:pPr>
              <w:keepNext/>
              <w:keepLines/>
              <w:tabs>
                <w:tab w:val="left" w:pos="0"/>
              </w:tabs>
              <w:ind w:firstLine="480" w:firstLineChars="200"/>
              <w:outlineLvl w:val="2"/>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本项目所属行业类别为</w:t>
            </w:r>
            <w:r>
              <w:rPr>
                <w:rFonts w:hint="eastAsia" w:cs="Times New Roman"/>
                <w:color w:val="000000" w:themeColor="text1"/>
                <w:highlight w:val="none"/>
                <w:lang w:eastAsia="zh-CN"/>
                <w14:textFill>
                  <w14:solidFill>
                    <w14:schemeClr w14:val="tx1"/>
                  </w14:solidFill>
                </w14:textFill>
              </w:rPr>
              <w:t>C2919其他橡胶制品制造</w:t>
            </w:r>
            <w:r>
              <w:rPr>
                <w:rFonts w:hint="eastAsia" w:ascii="Times New Roman" w:hAnsi="Times New Roman" w:eastAsia="宋体" w:cs="Times New Roman"/>
                <w:color w:val="000000" w:themeColor="text1"/>
                <w:highlight w:val="none"/>
                <w14:textFill>
                  <w14:solidFill>
                    <w14:schemeClr w14:val="tx1"/>
                  </w14:solidFill>
                </w14:textFill>
              </w:rPr>
              <w:t>，根据《产业结构调整指导目录（2024年本）》（国家发展和改革委员会令 第7号），本项目不属于指导目录中的鼓励类、限制类和淘汰类产业，符合国家有关法律、法规和政策规定，属于允许类。</w:t>
            </w:r>
          </w:p>
          <w:p w14:paraId="6694F1AF">
            <w:pPr>
              <w:widowControl w:val="0"/>
              <w:spacing w:line="360" w:lineRule="auto"/>
              <w:ind w:firstLine="480" w:firstLineChars="200"/>
              <w:jc w:val="left"/>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根据《市场准入负面清单（2025年版）》（发改体改规〔2025〕466号）、《广东省国家重点生态功能区产业准入负面清单（试行）》（粤发改规划（2017）331号），项目不属于</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负面清单所列行业，也不属于许可准入事项</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。因此，本项目可依法进行建设和投产。</w:t>
            </w:r>
          </w:p>
          <w:p w14:paraId="3D78C67F">
            <w:pPr>
              <w:adjustRightInd w:val="0"/>
              <w:snapToGrid w:val="0"/>
              <w:ind w:firstLine="480" w:firstLineChars="200"/>
              <w:jc w:val="left"/>
              <w:rPr>
                <w:rFonts w:ascii="Times New Roman" w:hAnsi="Times New Roman" w:eastAsia="宋体" w:cs="Times New Roman"/>
                <w:b/>
                <w:bCs/>
                <w:color w:val="000000" w:themeColor="text1"/>
                <w:kern w:val="0"/>
                <w:highlight w:val="none"/>
                <w14:textFill>
                  <w14:solidFill>
                    <w14:schemeClr w14:val="tx1"/>
                  </w14:solidFill>
                </w14:textFill>
              </w:rPr>
            </w:pPr>
            <w:r>
              <w:rPr>
                <w:rFonts w:hint="eastAsia" w:ascii="Times New Roman" w:hAnsi="Times New Roman" w:eastAsia="宋体" w:cs="Times New Roman"/>
                <w:b/>
                <w:bCs/>
                <w:color w:val="000000" w:themeColor="text1"/>
                <w:kern w:val="0"/>
                <w:highlight w:val="none"/>
                <w14:textFill>
                  <w14:solidFill>
                    <w14:schemeClr w14:val="tx1"/>
                  </w14:solidFill>
                </w14:textFill>
              </w:rPr>
              <w:t>二</w:t>
            </w:r>
            <w:r>
              <w:rPr>
                <w:rFonts w:ascii="Times New Roman" w:hAnsi="Times New Roman" w:eastAsia="宋体" w:cs="Times New Roman"/>
                <w:b/>
                <w:bCs/>
                <w:color w:val="000000" w:themeColor="text1"/>
                <w:kern w:val="0"/>
                <w:highlight w:val="none"/>
                <w14:textFill>
                  <w14:solidFill>
                    <w14:schemeClr w14:val="tx1"/>
                  </w14:solidFill>
                </w14:textFill>
              </w:rPr>
              <w:t>、与环境功能区划相符性分析</w:t>
            </w:r>
          </w:p>
          <w:p w14:paraId="076C88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（1）根据《广东省人民政府关于印发</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&lt;</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部分市乡镇集中式饮用水源保护区划分方案</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&gt;</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的通知》（粤府函〔2015〕17号）及《广东省人民政府关于调整韶关市部分饮用水水源保护区的批复》（粤府函〔2018〕427号），项目所在地不属于韶关市一、二级水源保护区，符合</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水污染防治条例</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的有关要求。</w:t>
            </w:r>
          </w:p>
          <w:p w14:paraId="422D23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同时根据《广东省水利厅关于印发&lt;韶关市部分饮用水水源保护区调整方案&gt;的通知》（粤环函〔2024〕146号）可知，本项目选址未处于各级饮用水水源保护区范围内，本项目与最近饮用水水源保护区：韶关市区武江饮用水水源地准保护区距离约为</w:t>
            </w:r>
            <w:r>
              <w:rPr>
                <w:rFonts w:hint="eastAsia" w:cs="Times New Roman"/>
                <w:color w:val="000000" w:themeColor="text1"/>
                <w:kern w:val="0"/>
                <w:sz w:val="24"/>
                <w:szCs w:val="20"/>
                <w:highlight w:val="none"/>
                <w:lang w:val="en-US" w:eastAsia="zh-CN" w:bidi="ar-SA"/>
                <w14:textFill>
                  <w14:solidFill>
                    <w14:schemeClr w14:val="tx1"/>
                  </w14:solidFill>
                </w14:textFill>
              </w:rPr>
              <w:t>4820</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m（本项目西南边界至水域岸线距离为5</w:t>
            </w:r>
            <w:r>
              <w:rPr>
                <w:rFonts w:hint="eastAsia" w:cs="Times New Roman"/>
                <w:color w:val="000000" w:themeColor="text1"/>
                <w:kern w:val="0"/>
                <w:sz w:val="24"/>
                <w:szCs w:val="20"/>
                <w:highlight w:val="none"/>
                <w:lang w:val="en-US" w:eastAsia="zh-CN" w:bidi="ar-SA"/>
                <w14:textFill>
                  <w14:solidFill>
                    <w14:schemeClr w14:val="tx1"/>
                  </w14:solidFill>
                </w14:textFill>
              </w:rPr>
              <w:t>32</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0m，韶关市区武江饮用水水源地准保护区陆地保护范围为：水域的两岸正常岸线向陆纵深500米不超过第一重山山脊线的陆域集雨范围，包括江心岛，两者关系距离取5</w:t>
            </w:r>
            <w:r>
              <w:rPr>
                <w:rFonts w:hint="eastAsia" w:cs="Times New Roman"/>
                <w:color w:val="000000" w:themeColor="text1"/>
                <w:kern w:val="0"/>
                <w:sz w:val="24"/>
                <w:szCs w:val="20"/>
                <w:highlight w:val="none"/>
                <w:lang w:val="en-US" w:eastAsia="zh-CN" w:bidi="ar-SA"/>
                <w14:textFill>
                  <w14:solidFill>
                    <w14:schemeClr w14:val="tx1"/>
                  </w14:solidFill>
                </w14:textFill>
              </w:rPr>
              <w:t>32</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0m-500m=</w:t>
            </w:r>
            <w:r>
              <w:rPr>
                <w:rFonts w:hint="eastAsia" w:cs="Times New Roman"/>
                <w:color w:val="000000" w:themeColor="text1"/>
                <w:kern w:val="0"/>
                <w:sz w:val="24"/>
                <w:szCs w:val="20"/>
                <w:highlight w:val="none"/>
                <w:lang w:val="en-US" w:eastAsia="zh-CN" w:bidi="ar-SA"/>
                <w14:textFill>
                  <w14:solidFill>
                    <w14:schemeClr w14:val="tx1"/>
                  </w14:solidFill>
                </w14:textFill>
              </w:rPr>
              <w:t>4820</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m），详见附图17。</w:t>
            </w:r>
          </w:p>
          <w:p w14:paraId="344287CF">
            <w:pPr>
              <w:widowControl/>
              <w:ind w:firstLine="480" w:firstLineChars="200"/>
              <w:jc w:val="left"/>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（2）根据《乐昌市人民政府办公室关于印发</w:t>
            </w:r>
            <w:r>
              <w:rPr>
                <w:rFonts w:hint="eastAsia" w:ascii="Times New Roman" w:hAnsi="Times New Roman" w:eastAsia="宋体" w:cs="Times New Roman"/>
                <w:color w:val="000000" w:themeColor="text1"/>
                <w:kern w:val="0"/>
                <w:highlight w:val="none"/>
                <w:lang w:val="en-US" w:eastAsia="zh-CN"/>
                <w14:textFill>
                  <w14:solidFill>
                    <w14:schemeClr w14:val="tx1"/>
                  </w14:solidFill>
                </w14:textFill>
              </w:rPr>
              <w:t>&lt;</w:t>
            </w:r>
            <w:r>
              <w:rPr>
                <w:rFonts w:ascii="Times New Roman" w:hAnsi="Times New Roman" w:eastAsia="宋体" w:cs="Times New Roman"/>
                <w:color w:val="000000" w:themeColor="text1"/>
                <w:kern w:val="0"/>
                <w:highlight w:val="none"/>
                <w14:textFill>
                  <w14:solidFill>
                    <w14:schemeClr w14:val="tx1"/>
                  </w14:solidFill>
                </w14:textFill>
              </w:rPr>
              <w:t>乐昌市生态环境保护“十四五”规划</w:t>
            </w:r>
            <w:r>
              <w:rPr>
                <w:rFonts w:hint="eastAsia" w:ascii="Times New Roman" w:hAnsi="Times New Roman" w:eastAsia="宋体" w:cs="Times New Roman"/>
                <w:color w:val="000000" w:themeColor="text1"/>
                <w:kern w:val="0"/>
                <w:highlight w:val="none"/>
                <w:lang w:val="en-US" w:eastAsia="zh-CN"/>
                <w14:textFill>
                  <w14:solidFill>
                    <w14:schemeClr w14:val="tx1"/>
                  </w14:solidFill>
                </w14:textFill>
              </w:rPr>
              <w:t>&gt;</w:t>
            </w:r>
            <w:r>
              <w:rPr>
                <w:rFonts w:ascii="Times New Roman" w:hAnsi="Times New Roman" w:eastAsia="宋体" w:cs="Times New Roman"/>
                <w:color w:val="000000" w:themeColor="text1"/>
                <w:kern w:val="0"/>
                <w:highlight w:val="none"/>
                <w14:textFill>
                  <w14:solidFill>
                    <w14:schemeClr w14:val="tx1"/>
                  </w14:solidFill>
                </w14:textFill>
              </w:rPr>
              <w:t>的通知》（乐府办〔2022〕16号）中《乐昌市“十四五”生态环境保护规划大气环境功能区划图》，项目所在区域为环境空气质量二类功能区</w:t>
            </w:r>
            <w:r>
              <w:rPr>
                <w:rFonts w:hint="eastAsia" w:ascii="Times New Roman" w:hAnsi="Times New Roman" w:eastAsia="宋体" w:cs="Times New Roman"/>
                <w:color w:val="000000" w:themeColor="text1"/>
                <w:kern w:val="0"/>
                <w:highlight w:val="none"/>
                <w14:textFill>
                  <w14:solidFill>
                    <w14:schemeClr w14:val="tx1"/>
                  </w14:solidFill>
                </w14:textFill>
              </w:rPr>
              <w:t>（详见附图</w:t>
            </w:r>
            <w:r>
              <w:rPr>
                <w:rFonts w:hint="eastAsia" w:cs="Times New Roman"/>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kern w:val="0"/>
                <w:highlight w:val="none"/>
                <w14:textFill>
                  <w14:solidFill>
                    <w14:schemeClr w14:val="tx1"/>
                  </w14:solidFill>
                </w14:textFill>
              </w:rPr>
              <w:t>）</w:t>
            </w:r>
            <w:r>
              <w:rPr>
                <w:rFonts w:ascii="Times New Roman" w:hAnsi="Times New Roman" w:eastAsia="宋体" w:cs="Times New Roman"/>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不属于环境空气质量一类功能区中的自然保护区风景名胜区和</w:t>
            </w:r>
            <w:r>
              <w:rPr>
                <w:rFonts w:hint="eastAsia" w:ascii="宋体" w:hAnsi="宋体" w:eastAsia="宋体" w:cs="宋体"/>
                <w:color w:val="000000" w:themeColor="text1"/>
                <w:kern w:val="0"/>
                <w:highlight w:val="none"/>
                <w:lang w:eastAsia="zh-CN"/>
                <w14:textFill>
                  <w14:solidFill>
                    <w14:schemeClr w14:val="tx1"/>
                  </w14:solidFill>
                </w14:textFill>
              </w:rPr>
              <w:t>其他需要</w:t>
            </w:r>
            <w:r>
              <w:rPr>
                <w:rFonts w:hint="eastAsia" w:ascii="宋体" w:hAnsi="宋体" w:eastAsia="宋体" w:cs="宋体"/>
                <w:color w:val="000000" w:themeColor="text1"/>
                <w:kern w:val="0"/>
                <w:highlight w:val="none"/>
                <w14:textFill>
                  <w14:solidFill>
                    <w14:schemeClr w14:val="tx1"/>
                  </w14:solidFill>
                </w14:textFill>
              </w:rPr>
              <w:t>特殊保护的区域</w:t>
            </w:r>
            <w:r>
              <w:rPr>
                <w:rFonts w:ascii="Times New Roman" w:hAnsi="Times New Roman" w:eastAsia="宋体" w:cs="Times New Roman"/>
                <w:color w:val="000000" w:themeColor="text1"/>
                <w:kern w:val="0"/>
                <w:highlight w:val="none"/>
                <w14:textFill>
                  <w14:solidFill>
                    <w14:schemeClr w14:val="tx1"/>
                  </w14:solidFill>
                </w14:textFill>
              </w:rPr>
              <w:t>。</w:t>
            </w:r>
          </w:p>
          <w:p w14:paraId="733081D1">
            <w:pPr>
              <w:adjustRightInd w:val="0"/>
              <w:snapToGrid w:val="0"/>
              <w:ind w:firstLine="480" w:firstLineChars="200"/>
              <w:jc w:val="left"/>
              <w:rPr>
                <w:rFonts w:ascii="Times New Roman" w:hAnsi="Times New Roman" w:eastAsia="宋体"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（3）根据《乐昌产业转移工业园控制性详细规划-城东地块论证报告调整后》，项目所在地位</w:t>
            </w:r>
            <w:r>
              <w:rPr>
                <w:rFonts w:hint="eastAsia" w:ascii="Times New Roman" w:hAnsi="Times New Roman" w:eastAsia="宋体" w:cs="Times New Roman"/>
                <w:color w:val="000000" w:themeColor="text1"/>
                <w:kern w:val="0"/>
                <w:highlight w:val="none"/>
                <w14:textFill>
                  <w14:solidFill>
                    <w14:schemeClr w14:val="tx1"/>
                  </w14:solidFill>
                </w14:textFill>
              </w:rPr>
              <w:t>为</w:t>
            </w:r>
            <w:r>
              <w:rPr>
                <w:rFonts w:ascii="Times New Roman" w:hAnsi="Times New Roman" w:eastAsia="宋体" w:cs="Times New Roman"/>
                <w:color w:val="000000" w:themeColor="text1"/>
                <w:kern w:val="0"/>
                <w:highlight w:val="none"/>
                <w14:textFill>
                  <w14:solidFill>
                    <w14:schemeClr w14:val="tx1"/>
                  </w14:solidFill>
                </w14:textFill>
              </w:rPr>
              <w:t>工业用地，项目所在区域为声环境3类区，不属于声环境1类区。</w:t>
            </w:r>
          </w:p>
          <w:p w14:paraId="342D1B10">
            <w:pPr>
              <w:adjustRightInd w:val="0"/>
              <w:snapToGrid w:val="0"/>
              <w:ind w:firstLine="480" w:firstLineChars="200"/>
              <w:jc w:val="left"/>
              <w:rPr>
                <w:rFonts w:ascii="Times New Roman" w:hAnsi="Times New Roman" w:eastAsia="宋体" w:cs="Times New Roman"/>
                <w:b/>
                <w:bCs/>
                <w:color w:val="000000" w:themeColor="text1"/>
                <w:kern w:val="0"/>
                <w:highlight w:val="none"/>
                <w14:textFill>
                  <w14:solidFill>
                    <w14:schemeClr w14:val="tx1"/>
                  </w14:solidFill>
                </w14:textFill>
              </w:rPr>
            </w:pPr>
            <w:r>
              <w:rPr>
                <w:rFonts w:hint="eastAsia" w:ascii="Times New Roman" w:hAnsi="Times New Roman" w:eastAsia="宋体" w:cs="Times New Roman"/>
                <w:b/>
                <w:bCs/>
                <w:color w:val="000000" w:themeColor="text1"/>
                <w:kern w:val="0"/>
                <w:highlight w:val="none"/>
                <w14:textFill>
                  <w14:solidFill>
                    <w14:schemeClr w14:val="tx1"/>
                  </w14:solidFill>
                </w14:textFill>
              </w:rPr>
              <w:t>三</w:t>
            </w:r>
            <w:r>
              <w:rPr>
                <w:rFonts w:ascii="Times New Roman" w:hAnsi="Times New Roman" w:eastAsia="宋体" w:cs="Times New Roman"/>
                <w:b/>
                <w:bCs/>
                <w:color w:val="000000" w:themeColor="text1"/>
                <w:kern w:val="0"/>
                <w:highlight w:val="none"/>
                <w14:textFill>
                  <w14:solidFill>
                    <w14:schemeClr w14:val="tx1"/>
                  </w14:solidFill>
                </w14:textFill>
              </w:rPr>
              <w:t>、与城市规划相符性分析</w:t>
            </w:r>
          </w:p>
          <w:p w14:paraId="169FB6DF">
            <w:pPr>
              <w:adjustRightInd w:val="0"/>
              <w:snapToGrid w:val="0"/>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t>项目位于</w:t>
            </w:r>
            <w:r>
              <w:rPr>
                <w:rFonts w:hint="eastAsia" w:ascii="Times New Roman" w:hAnsi="Times New Roman" w:eastAsia="宋体" w:cs="Times New Roman"/>
                <w:color w:val="000000" w:themeColor="text1"/>
                <w:kern w:val="0"/>
                <w:highlight w:val="none"/>
                <w14:textFill>
                  <w14:solidFill>
                    <w14:schemeClr w14:val="tx1"/>
                  </w14:solidFill>
                </w14:textFill>
              </w:rPr>
              <w:t>广东省</w:t>
            </w:r>
            <w:r>
              <w:rPr>
                <w:rFonts w:hint="eastAsia" w:cs="Times New Roman"/>
                <w:color w:val="000000" w:themeColor="text1"/>
                <w:kern w:val="0"/>
                <w:highlight w:val="none"/>
                <w:lang w:eastAsia="zh-CN"/>
                <w14:textFill>
                  <w14:solidFill>
                    <w14:schemeClr w14:val="tx1"/>
                  </w14:solidFill>
                </w14:textFill>
              </w:rPr>
              <w:t>韶关市乐昌市乐昌市产业转移工业园乐园大道23号7栋1-4层</w:t>
            </w:r>
            <w:r>
              <w:rPr>
                <w:rFonts w:ascii="Times New Roman" w:hAnsi="Times New Roman" w:eastAsia="宋体" w:cs="Times New Roman"/>
                <w:color w:val="000000" w:themeColor="text1"/>
                <w:kern w:val="0"/>
                <w:highlight w:val="none"/>
                <w14:textFill>
                  <w14:solidFill>
                    <w14:schemeClr w14:val="tx1"/>
                  </w14:solidFill>
                </w14:textFill>
              </w:rPr>
              <w:t>，根据《乐昌产业转移工业园控制性详细规划-城东地块论证报告调整后》，项目所在地为工业用地，项目所在地没有占用基本农业用地和林地，符合韶关市城市建设和环境功能区规划的要求，且具有水、电等供应保障，交通便利等条件。项目周围没有风景名胜区、生态脆弱带等。故项目选址是合理的。</w:t>
            </w:r>
            <w:bookmarkStart w:id="7" w:name="_Toc459880767"/>
          </w:p>
          <w:bookmarkEnd w:id="7"/>
          <w:p w14:paraId="24D7C082">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四</w:t>
            </w:r>
            <w:r>
              <w:rPr>
                <w:rFonts w:ascii="Times New Roman" w:hAnsi="Times New Roman" w:eastAsia="宋体" w:cs="Times New Roman"/>
                <w:b/>
                <w:bCs/>
                <w:color w:val="000000" w:themeColor="text1"/>
                <w:highlight w:val="none"/>
                <w14:textFill>
                  <w14:solidFill>
                    <w14:schemeClr w14:val="tx1"/>
                  </w14:solidFill>
                </w14:textFill>
              </w:rPr>
              <w:t>、与</w:t>
            </w:r>
            <w:r>
              <w:rPr>
                <w:rFonts w:hint="eastAsia" w:ascii="Times New Roman" w:hAnsi="Times New Roman" w:eastAsia="宋体" w:cs="Times New Roman"/>
                <w:b/>
                <w:bCs/>
                <w:color w:val="000000" w:themeColor="text1"/>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工业和信息化部发布</w:t>
            </w:r>
            <w:r>
              <w:rPr>
                <w:rFonts w:hint="eastAsia" w:ascii="Times New Roman" w:hAnsi="Times New Roman" w:eastAsia="宋体" w:cs="Times New Roman"/>
                <w:b/>
                <w:bCs/>
                <w:color w:val="000000" w:themeColor="text1"/>
                <w:szCs w:val="28"/>
                <w:highlight w:val="none"/>
                <w14:textFill>
                  <w14:solidFill>
                    <w14:schemeClr w14:val="tx1"/>
                  </w14:solidFill>
                </w14:textFill>
              </w:rPr>
              <w:t>&lt;</w:t>
            </w:r>
            <w:r>
              <w:rPr>
                <w:rFonts w:ascii="Times New Roman" w:hAnsi="Times New Roman" w:eastAsia="宋体" w:cs="Times New Roman"/>
                <w:b/>
                <w:bCs/>
                <w:color w:val="000000" w:themeColor="text1"/>
                <w:szCs w:val="28"/>
                <w:highlight w:val="none"/>
                <w14:textFill>
                  <w14:solidFill>
                    <w14:schemeClr w14:val="tx1"/>
                  </w14:solidFill>
                </w14:textFill>
              </w:rPr>
              <w:t>限期淘汰产生严重污染环境的工业固体废物的落后生产工艺设备名录</w:t>
            </w:r>
            <w:r>
              <w:rPr>
                <w:rFonts w:hint="eastAsia" w:ascii="Times New Roman" w:hAnsi="Times New Roman" w:eastAsia="宋体" w:cs="Times New Roman"/>
                <w:b/>
                <w:bCs/>
                <w:color w:val="000000" w:themeColor="text1"/>
                <w:szCs w:val="28"/>
                <w:highlight w:val="none"/>
                <w14:textFill>
                  <w14:solidFill>
                    <w14:schemeClr w14:val="tx1"/>
                  </w14:solidFill>
                </w14:textFill>
              </w:rPr>
              <w:t>&gt;</w:t>
            </w:r>
            <w:r>
              <w:rPr>
                <w:rFonts w:ascii="Times New Roman" w:hAnsi="Times New Roman" w:eastAsia="宋体" w:cs="Times New Roman"/>
                <w:b/>
                <w:bCs/>
                <w:color w:val="000000" w:themeColor="text1"/>
                <w:szCs w:val="28"/>
                <w:highlight w:val="none"/>
                <w14:textFill>
                  <w14:solidFill>
                    <w14:schemeClr w14:val="tx1"/>
                  </w14:solidFill>
                </w14:textFill>
              </w:rPr>
              <w:t>公告</w:t>
            </w:r>
            <w:r>
              <w:rPr>
                <w:rFonts w:hint="eastAsia" w:ascii="Times New Roman" w:hAnsi="Times New Roman" w:eastAsia="宋体" w:cs="Times New Roman"/>
                <w:b/>
                <w:bCs/>
                <w:color w:val="000000" w:themeColor="text1"/>
                <w:szCs w:val="28"/>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中华人民共和国工业和信息化部公告 2021年第25号</w:t>
            </w:r>
            <w:r>
              <w:rPr>
                <w:rFonts w:hint="eastAsia" w:ascii="Times New Roman" w:hAnsi="Times New Roman" w:eastAsia="宋体" w:cs="Times New Roman"/>
                <w:b/>
                <w:bCs/>
                <w:color w:val="000000" w:themeColor="text1"/>
                <w:szCs w:val="28"/>
                <w:highlight w:val="none"/>
                <w14:textFill>
                  <w14:solidFill>
                    <w14:schemeClr w14:val="tx1"/>
                  </w14:solidFill>
                </w14:textFill>
              </w:rPr>
              <w:t>）</w:t>
            </w:r>
            <w:r>
              <w:rPr>
                <w:rFonts w:ascii="Times New Roman" w:hAnsi="Times New Roman" w:eastAsia="宋体" w:cs="Times New Roman"/>
                <w:b/>
                <w:bCs/>
                <w:color w:val="000000" w:themeColor="text1"/>
                <w:szCs w:val="28"/>
                <w:highlight w:val="none"/>
                <w14:textFill>
                  <w14:solidFill>
                    <w14:schemeClr w14:val="tx1"/>
                  </w14:solidFill>
                </w14:textFill>
              </w:rPr>
              <w:t>相符性分析</w:t>
            </w:r>
          </w:p>
          <w:p w14:paraId="03A7B613">
            <w:pPr>
              <w:widowControl w:val="0"/>
              <w:autoSpaceDE w:val="0"/>
              <w:autoSpaceDN w:val="0"/>
              <w:adjustRightInd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本项目所用生产工艺及设备不属于《限期淘汰产生严重污染环境的工业固体废物的落后生产工艺设备名录》中限期淘汰的落后生产工艺设备，故与</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工业和信息化部发布</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&lt;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限期淘汰产生严重污染环境的工业固体废物的落后生产工艺设备名录</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&gt;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公告</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中华人民共和国工业和信息化部公告 2021年第25号</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相符。</w:t>
            </w:r>
          </w:p>
          <w:p w14:paraId="3404C2A0">
            <w:pPr>
              <w:keepNext/>
              <w:keepLines/>
              <w:tabs>
                <w:tab w:val="left" w:pos="0"/>
              </w:tabs>
              <w:ind w:left="-2"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五</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生态环境分区管控方案</w:t>
            </w:r>
            <w:r>
              <w:rPr>
                <w:rFonts w:ascii="Times New Roman" w:hAnsi="Times New Roman" w:eastAsia="宋体" w:cs="Times New Roman"/>
                <w:b/>
                <w:bCs/>
                <w:color w:val="000000" w:themeColor="text1"/>
                <w:highlight w:val="none"/>
                <w14:textFill>
                  <w14:solidFill>
                    <w14:schemeClr w14:val="tx1"/>
                  </w14:solidFill>
                </w14:textFill>
              </w:rPr>
              <w:t>相符性分析</w:t>
            </w:r>
          </w:p>
          <w:p w14:paraId="552234B1">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1、项目与《广东省“三线一单”生态环境分区管控方案》（粤府〔2020〕71号）、《广东省2023年度生态环境分区管控动态更新成果公告》的相符性分析</w:t>
            </w:r>
          </w:p>
          <w:p w14:paraId="1F57885D">
            <w:pPr>
              <w:pStyle w:val="129"/>
              <w:bidi w:val="0"/>
              <w:ind w:left="0" w:leftChars="0" w:firstLine="0" w:firstLineChars="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与（粤府〔2020〕71号）及动态更新成果</w:t>
            </w:r>
            <w:r>
              <w:rPr>
                <w:color w:val="000000" w:themeColor="text1"/>
                <w:lang w:val="en-US" w:eastAsia="zh-CN"/>
                <w14:textFill>
                  <w14:solidFill>
                    <w14:schemeClr w14:val="tx1"/>
                  </w14:solidFill>
                </w14:textFill>
              </w:rPr>
              <w:t>相符性分析一览表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4"/>
              <w:gridCol w:w="3358"/>
              <w:gridCol w:w="3358"/>
              <w:gridCol w:w="453"/>
            </w:tblGrid>
            <w:tr w14:paraId="7E0D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430" w:type="pct"/>
                  <w:vAlign w:val="center"/>
                </w:tcPr>
                <w:p w14:paraId="5F549034">
                  <w:pPr>
                    <w:widowControl w:val="0"/>
                    <w:wordWrap w:val="0"/>
                    <w:autoSpaceDE w:val="0"/>
                    <w:autoSpaceDN w:val="0"/>
                    <w:spacing w:line="360" w:lineRule="auto"/>
                    <w:jc w:val="center"/>
                    <w:textAlignment w:val="center"/>
                    <w:rPr>
                      <w:rFonts w:hint="default"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管控要求</w:t>
                  </w:r>
                </w:p>
              </w:tc>
              <w:tc>
                <w:tcPr>
                  <w:tcW w:w="2140" w:type="pct"/>
                  <w:vAlign w:val="center"/>
                </w:tcPr>
                <w:p w14:paraId="7F5F6859">
                  <w:pPr>
                    <w:widowControl w:val="0"/>
                    <w:wordWrap w:val="0"/>
                    <w:autoSpaceDE w:val="0"/>
                    <w:autoSpaceDN w:val="0"/>
                    <w:spacing w:line="360" w:lineRule="auto"/>
                    <w:jc w:val="center"/>
                    <w:textAlignment w:val="center"/>
                    <w:rPr>
                      <w:rFonts w:hint="default"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具体内容</w:t>
                  </w:r>
                </w:p>
              </w:tc>
              <w:tc>
                <w:tcPr>
                  <w:tcW w:w="2140" w:type="pct"/>
                  <w:vAlign w:val="center"/>
                </w:tcPr>
                <w:p w14:paraId="3E3AFBFE">
                  <w:pPr>
                    <w:widowControl w:val="0"/>
                    <w:wordWrap w:val="0"/>
                    <w:autoSpaceDE w:val="0"/>
                    <w:autoSpaceDN w:val="0"/>
                    <w:spacing w:line="360" w:lineRule="auto"/>
                    <w:jc w:val="center"/>
                    <w:textAlignment w:val="center"/>
                    <w:rPr>
                      <w:rFonts w:hint="default"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b/>
                      <w:bCs/>
                      <w:color w:val="000000" w:themeColor="text1"/>
                      <w:kern w:val="2"/>
                      <w:position w:val="-10"/>
                      <w:sz w:val="21"/>
                      <w:szCs w:val="21"/>
                      <w:highlight w:val="none"/>
                      <w:lang w:val="en-US" w:eastAsia="zh-CN" w:bidi="ar-SA"/>
                      <w14:textFill>
                        <w14:solidFill>
                          <w14:schemeClr w14:val="tx1"/>
                        </w14:solidFill>
                      </w14:textFill>
                    </w:rPr>
                    <w:t>本项目情况</w:t>
                  </w:r>
                </w:p>
              </w:tc>
              <w:tc>
                <w:tcPr>
                  <w:tcW w:w="289" w:type="pct"/>
                  <w:vAlign w:val="center"/>
                </w:tcPr>
                <w:p w14:paraId="0325ADC0">
                  <w:pPr>
                    <w:widowControl w:val="0"/>
                    <w:wordWrap w:val="0"/>
                    <w:autoSpaceDE w:val="0"/>
                    <w:autoSpaceDN w:val="0"/>
                    <w:spacing w:line="360" w:lineRule="auto"/>
                    <w:jc w:val="center"/>
                    <w:textAlignment w:val="cente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t>相符性</w:t>
                  </w:r>
                </w:p>
              </w:tc>
            </w:tr>
            <w:tr w14:paraId="23A6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430" w:type="pct"/>
                  <w:vAlign w:val="center"/>
                </w:tcPr>
                <w:p w14:paraId="705DA721">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生态保护红线</w:t>
                  </w:r>
                </w:p>
              </w:tc>
              <w:tc>
                <w:tcPr>
                  <w:tcW w:w="3358" w:type="dxa"/>
                  <w:vAlign w:val="center"/>
                </w:tcPr>
                <w:p w14:paraId="3100C456">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态保护红线是生态空间范围内具有特殊重要生态功能必须实行强制性严格保护的区域。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2140" w:type="pct"/>
                  <w:vAlign w:val="center"/>
                </w:tcPr>
                <w:p w14:paraId="0EBB59A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项目用地用途为工业厂房，不在</w:t>
                  </w:r>
                  <w:r>
                    <w:rPr>
                      <w:rFonts w:ascii="Times New Roman" w:hAnsi="Times New Roman" w:eastAsia="宋体" w:cs="Times New Roman"/>
                      <w:color w:val="000000" w:themeColor="text1"/>
                      <w:kern w:val="2"/>
                      <w:position w:val="-10"/>
                      <w:sz w:val="21"/>
                      <w:szCs w:val="21"/>
                      <w:highlight w:val="none"/>
                      <w:lang w:val="zh-CN" w:eastAsia="zh-CN" w:bidi="ar-SA"/>
                      <w14:textFill>
                        <w14:solidFill>
                          <w14:schemeClr w14:val="tx1"/>
                        </w14:solidFill>
                      </w14:textFill>
                    </w:rPr>
                    <w:t>生态保护红线和生态环境空间管控区内，</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符合生态保护红线要求。</w:t>
                  </w:r>
                </w:p>
              </w:tc>
              <w:tc>
                <w:tcPr>
                  <w:tcW w:w="289" w:type="pct"/>
                  <w:vAlign w:val="center"/>
                </w:tcPr>
                <w:p w14:paraId="35273939">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2DD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0" w:hRule="atLeast"/>
              </w:trPr>
              <w:tc>
                <w:tcPr>
                  <w:tcW w:w="430" w:type="pct"/>
                  <w:vAlign w:val="center"/>
                </w:tcPr>
                <w:p w14:paraId="6813B6A6">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资源利用上线</w:t>
                  </w:r>
                </w:p>
              </w:tc>
              <w:tc>
                <w:tcPr>
                  <w:tcW w:w="3358" w:type="dxa"/>
                  <w:vAlign w:val="center"/>
                </w:tcPr>
                <w:p w14:paraId="7BCFD0C1">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全省水环境质量持续改善，国考、省考断面优良水质比例稳步提升，全面消除劣Ⅳ类水体。大气环境质量继续领跑先行，PM</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年均浓度率先达到世界卫生组织过渡期二阶段目标值（25微克/立方米），臭氧污染得到有效遏制。土壤环境质量稳中向好，土壤环境风险得到管控。近岸海域水体质量稳步提升。</w:t>
                  </w:r>
                </w:p>
              </w:tc>
              <w:tc>
                <w:tcPr>
                  <w:tcW w:w="2140" w:type="pct"/>
                  <w:vAlign w:val="center"/>
                </w:tcPr>
                <w:p w14:paraId="1EC8B501">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不占用基本农田等，土地资源消耗符合要求；生产所用资源主要为水、电，由市政自来水管网供水，由市政电网供电，不会突破当地的资源利用上线。生产及辅助设备均使用电能源，资源消耗量相对较少，不属于“三高”行业建设项目。</w:t>
                  </w:r>
                </w:p>
              </w:tc>
              <w:tc>
                <w:tcPr>
                  <w:tcW w:w="289" w:type="pct"/>
                  <w:vAlign w:val="center"/>
                </w:tcPr>
                <w:p w14:paraId="2F50E7A6">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301B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0" w:hRule="atLeast"/>
              </w:trPr>
              <w:tc>
                <w:tcPr>
                  <w:tcW w:w="430" w:type="pct"/>
                  <w:vAlign w:val="center"/>
                </w:tcPr>
                <w:p w14:paraId="04A37223">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环境质量底线</w:t>
                  </w:r>
                </w:p>
              </w:tc>
              <w:tc>
                <w:tcPr>
                  <w:tcW w:w="3358" w:type="dxa"/>
                  <w:vAlign w:val="center"/>
                </w:tcPr>
                <w:p w14:paraId="7BFD89CD">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强化节约集约利用，持续提升资源能源利用效率</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水资源、土地资源、岸线资源、能源消耗等达到或优于国家下达的总量和强度控制目标。</w:t>
                  </w:r>
                </w:p>
              </w:tc>
              <w:tc>
                <w:tcPr>
                  <w:tcW w:w="2140" w:type="pct"/>
                  <w:vAlign w:val="center"/>
                </w:tcPr>
                <w:p w14:paraId="3A7D48B4">
                  <w:pPr>
                    <w:autoSpaceDE w:val="0"/>
                    <w:autoSpaceDN w:val="0"/>
                    <w:adjustRightInd w:val="0"/>
                    <w:spacing w:line="240"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根据《202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ascii="Times New Roman" w:hAnsi="Times New Roman" w:eastAsia="宋体" w:cs="Times New Roman"/>
                      <w:color w:val="000000" w:themeColor="text1"/>
                      <w:sz w:val="21"/>
                      <w:szCs w:val="21"/>
                      <w:highlight w:val="none"/>
                      <w14:textFill>
                        <w14:solidFill>
                          <w14:schemeClr w14:val="tx1"/>
                        </w14:solidFill>
                      </w14:textFill>
                    </w:rPr>
                    <w:t>年韶关市生态环境状况公报》，</w:t>
                  </w:r>
                  <w:r>
                    <w:rPr>
                      <w:rFonts w:hint="eastAsia" w:ascii="Times New Roman" w:hAnsi="Times New Roman" w:eastAsia="宋体" w:cs="Times New Roman"/>
                      <w:color w:val="000000" w:themeColor="text1"/>
                      <w:sz w:val="21"/>
                      <w:szCs w:val="21"/>
                      <w:highlight w:val="none"/>
                      <w14:textFill>
                        <w14:solidFill>
                          <w14:schemeClr w14:val="tx1"/>
                        </w14:solidFill>
                      </w14:textFill>
                    </w:rPr>
                    <w:t>可知</w:t>
                  </w:r>
                  <w:r>
                    <w:rPr>
                      <w:rFonts w:ascii="Times New Roman" w:hAnsi="Times New Roman" w:eastAsia="宋体" w:cs="Times New Roman"/>
                      <w:color w:val="000000" w:themeColor="text1"/>
                      <w:sz w:val="21"/>
                      <w:szCs w:val="21"/>
                      <w:highlight w:val="none"/>
                      <w14:textFill>
                        <w14:solidFill>
                          <w14:schemeClr w14:val="tx1"/>
                        </w14:solidFill>
                      </w14:textFill>
                    </w:rPr>
                    <w:t>项目所在地地表水环境质量现状良好。</w:t>
                  </w: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生活污水经预处理后引入园区污水处理厂处理，不直接排入水体。</w:t>
                  </w:r>
                  <w:r>
                    <w:rPr>
                      <w:rFonts w:ascii="Times New Roman" w:hAnsi="Times New Roman" w:eastAsia="宋体" w:cs="Times New Roman"/>
                      <w:color w:val="000000" w:themeColor="text1"/>
                      <w:sz w:val="21"/>
                      <w:szCs w:val="21"/>
                      <w:highlight w:val="none"/>
                      <w14:textFill>
                        <w14:solidFill>
                          <w14:schemeClr w14:val="tx1"/>
                        </w14:solidFill>
                      </w14:textFill>
                    </w:rPr>
                    <w:t>在严格落实各项污染防治措施的前提下，本项目的建设对周边环境影响较小，建成后不会突破当地环境质量底线，符合环境质量底线要求。</w:t>
                  </w:r>
                </w:p>
              </w:tc>
              <w:tc>
                <w:tcPr>
                  <w:tcW w:w="289" w:type="pct"/>
                  <w:vAlign w:val="center"/>
                </w:tcPr>
                <w:p w14:paraId="6756C71E">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6B3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1" w:hRule="atLeast"/>
              </w:trPr>
              <w:tc>
                <w:tcPr>
                  <w:tcW w:w="430" w:type="pct"/>
                  <w:vAlign w:val="center"/>
                </w:tcPr>
                <w:p w14:paraId="72CF0182">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生态环境准入清单</w:t>
                  </w:r>
                </w:p>
              </w:tc>
              <w:tc>
                <w:tcPr>
                  <w:tcW w:w="3358" w:type="dxa"/>
                  <w:vAlign w:val="center"/>
                </w:tcPr>
                <w:p w14:paraId="18B9C3BC">
                  <w:pPr>
                    <w:pStyle w:val="6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从区域布局管控、能源资源利用、污染物排放管控和环境风险防控等方面明确准入要求，建立“1+3+N”三级生态环境准入清单体系。“1”为全省总体管控要求，“3”为“一核一带一区”区域管控要求，“N”为1912个陆域环境管控单元和471个海域环境管控单元的管控要求。</w:t>
                  </w:r>
                </w:p>
              </w:tc>
              <w:tc>
                <w:tcPr>
                  <w:tcW w:w="2140" w:type="pct"/>
                  <w:vAlign w:val="center"/>
                </w:tcPr>
                <w:p w14:paraId="23C8F38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营运期主要污染物为废水、废气、噪声和固体废物，分别经处理后均能实现达标排放，固体废物经有效的分类收集、处置，对周围环境影响较小，故本项目可与周围环境相容，本项目不属于《市场准入负面清单（202</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5</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年版）》禁止准入类项目。</w:t>
                  </w:r>
                </w:p>
              </w:tc>
              <w:tc>
                <w:tcPr>
                  <w:tcW w:w="289" w:type="pct"/>
                  <w:vAlign w:val="center"/>
                </w:tcPr>
                <w:p w14:paraId="2721828C">
                  <w:pPr>
                    <w:widowControl w:val="0"/>
                    <w:wordWrap w:val="0"/>
                    <w:autoSpaceDE w:val="0"/>
                    <w:autoSpaceDN w:val="0"/>
                    <w:spacing w:line="36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bl>
          <w:p w14:paraId="023A0E5B">
            <w:pPr>
              <w:pStyle w:val="129"/>
              <w:bidi w:val="0"/>
              <w:ind w:left="0" w:leftChars="0" w:firstLine="0" w:firstLineChars="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环境管控单元要求一览表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78"/>
              <w:gridCol w:w="4329"/>
              <w:gridCol w:w="2078"/>
              <w:gridCol w:w="758"/>
            </w:tblGrid>
            <w:tr w14:paraId="676F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Align w:val="center"/>
                </w:tcPr>
                <w:p w14:paraId="166BB3B3">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单元</w:t>
                  </w:r>
                </w:p>
              </w:tc>
              <w:tc>
                <w:tcPr>
                  <w:tcW w:w="2759" w:type="pct"/>
                  <w:vAlign w:val="center"/>
                </w:tcPr>
                <w:p w14:paraId="3B66CBF5">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保护和管控分区或相关要求（节选）</w:t>
                  </w:r>
                </w:p>
              </w:tc>
              <w:tc>
                <w:tcPr>
                  <w:tcW w:w="1324" w:type="pct"/>
                  <w:vAlign w:val="center"/>
                </w:tcPr>
                <w:p w14:paraId="45676383">
                  <w:pPr>
                    <w:widowControl/>
                    <w:wordWrap w:val="0"/>
                    <w:spacing w:line="240" w:lineRule="auto"/>
                    <w:jc w:val="center"/>
                    <w:textAlignment w:val="center"/>
                    <w:rPr>
                      <w:rFonts w:ascii="Times New Roman" w:hAnsi="Times New Roman" w:eastAsia="宋体" w:cs="Times New Roman"/>
                      <w:b/>
                      <w:bCs/>
                      <w:color w:val="000000" w:themeColor="text1"/>
                      <w:position w:val="-10"/>
                      <w:sz w:val="21"/>
                      <w:szCs w:val="21"/>
                      <w:highlight w:val="none"/>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14:textFill>
                        <w14:solidFill>
                          <w14:schemeClr w14:val="tx1"/>
                        </w14:solidFill>
                      </w14:textFill>
                    </w:rPr>
                    <w:t>项目情况</w:t>
                  </w:r>
                </w:p>
              </w:tc>
              <w:tc>
                <w:tcPr>
                  <w:tcW w:w="483" w:type="pct"/>
                  <w:vAlign w:val="center"/>
                </w:tcPr>
                <w:p w14:paraId="3D3FAC7C">
                  <w:pPr>
                    <w:widowControl w:val="0"/>
                    <w:wordWrap w:val="0"/>
                    <w:autoSpaceDE w:val="0"/>
                    <w:autoSpaceDN w:val="0"/>
                    <w:spacing w:line="240" w:lineRule="auto"/>
                    <w:jc w:val="center"/>
                    <w:textAlignment w:val="center"/>
                    <w:rPr>
                      <w:rFonts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position w:val="-10"/>
                      <w:sz w:val="21"/>
                      <w:szCs w:val="21"/>
                      <w:highlight w:val="none"/>
                      <w:lang w:val="en-US" w:eastAsia="zh-CN" w:bidi="ar-SA"/>
                      <w14:textFill>
                        <w14:solidFill>
                          <w14:schemeClr w14:val="tx1"/>
                        </w14:solidFill>
                      </w14:textFill>
                    </w:rPr>
                    <w:t>相符性</w:t>
                  </w:r>
                </w:p>
              </w:tc>
            </w:tr>
            <w:tr w14:paraId="4ED9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restart"/>
                  <w:vAlign w:val="center"/>
                </w:tcPr>
                <w:p w14:paraId="0B348762">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优先保护单元</w:t>
                  </w:r>
                </w:p>
              </w:tc>
              <w:tc>
                <w:tcPr>
                  <w:tcW w:w="2759" w:type="pct"/>
                  <w:vAlign w:val="center"/>
                </w:tcPr>
                <w:p w14:paraId="79D0E21B">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生态优先保护区：生态保护红线、一般生态空间</w:t>
                  </w:r>
                </w:p>
              </w:tc>
              <w:tc>
                <w:tcPr>
                  <w:tcW w:w="1324" w:type="pct"/>
                  <w:vAlign w:val="center"/>
                </w:tcPr>
                <w:p w14:paraId="2B1CFF1F">
                  <w:pPr>
                    <w:widowControl w:val="0"/>
                    <w:wordWrap w:val="0"/>
                    <w:autoSpaceDE w:val="0"/>
                    <w:autoSpaceDN w:val="0"/>
                    <w:spacing w:line="240" w:lineRule="auto"/>
                    <w:jc w:val="both"/>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项目不在生态</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保护红线内，详见附图9</w:t>
                  </w:r>
                </w:p>
              </w:tc>
              <w:tc>
                <w:tcPr>
                  <w:tcW w:w="483" w:type="pct"/>
                  <w:vAlign w:val="center"/>
                </w:tcPr>
                <w:p w14:paraId="1232170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2AA5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441B2A87">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62147667">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水环境优先保护区：饮用水水源一级保护区、二级保护区、准保护区</w:t>
                  </w:r>
                </w:p>
              </w:tc>
              <w:tc>
                <w:tcPr>
                  <w:tcW w:w="1324" w:type="pct"/>
                  <w:vAlign w:val="center"/>
                </w:tcPr>
                <w:p w14:paraId="1A2164B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项目不在饮用水水源保护区内，不属于水环境优先保护区</w:t>
                  </w:r>
                </w:p>
              </w:tc>
              <w:tc>
                <w:tcPr>
                  <w:tcW w:w="483" w:type="pct"/>
                  <w:vAlign w:val="center"/>
                </w:tcPr>
                <w:p w14:paraId="1B17C80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7722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56D12234">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2A20E1F4">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大气环境优先保护区（环境空气质量一类功能区）</w:t>
                  </w:r>
                </w:p>
              </w:tc>
              <w:tc>
                <w:tcPr>
                  <w:tcW w:w="1324" w:type="pct"/>
                  <w:vAlign w:val="center"/>
                </w:tcPr>
                <w:p w14:paraId="059C746D">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项目属于空气质量二类功能区，不属于大气环境优先保护区</w:t>
                  </w:r>
                </w:p>
              </w:tc>
              <w:tc>
                <w:tcPr>
                  <w:tcW w:w="483" w:type="pct"/>
                  <w:vAlign w:val="center"/>
                </w:tcPr>
                <w:p w14:paraId="5F81A089">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3E78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restart"/>
                  <w:vAlign w:val="center"/>
                </w:tcPr>
                <w:p w14:paraId="65841CE0">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重点管控单元</w:t>
                  </w:r>
                </w:p>
              </w:tc>
              <w:tc>
                <w:tcPr>
                  <w:tcW w:w="2759" w:type="pct"/>
                  <w:vAlign w:val="center"/>
                </w:tcPr>
                <w:p w14:paraId="33D9C5AA">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w:t>
                  </w:r>
                </w:p>
              </w:tc>
              <w:tc>
                <w:tcPr>
                  <w:tcW w:w="1324" w:type="pct"/>
                  <w:vAlign w:val="center"/>
                </w:tcPr>
                <w:p w14:paraId="539CBAC1">
                  <w:pPr>
                    <w:spacing w:line="240" w:lineRule="auto"/>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项目位于乐昌经济开发区重点管控单元</w:t>
                  </w:r>
                  <w:r>
                    <w:rPr>
                      <w:rFonts w:hint="eastAsia" w:ascii="Times New Roman" w:hAnsi="Times New Roman" w:eastAsia="宋体" w:cs="Times New Roman"/>
                      <w:color w:val="000000" w:themeColor="text1"/>
                      <w:sz w:val="21"/>
                      <w:szCs w:val="21"/>
                      <w:highlight w:val="none"/>
                      <w14:textFill>
                        <w14:solidFill>
                          <w14:schemeClr w14:val="tx1"/>
                        </w14:solidFill>
                      </w14:textFill>
                    </w:rPr>
                    <w:t>（管控编码</w:t>
                  </w:r>
                  <w:r>
                    <w:rPr>
                      <w:rFonts w:ascii="Times New Roman" w:hAnsi="Times New Roman" w:eastAsia="宋体" w:cs="Times New Roman"/>
                      <w:color w:val="000000" w:themeColor="text1"/>
                      <w:sz w:val="21"/>
                      <w:szCs w:val="21"/>
                      <w:highlight w:val="none"/>
                      <w14:textFill>
                        <w14:solidFill>
                          <w14:schemeClr w14:val="tx1"/>
                        </w14:solidFill>
                      </w14:textFill>
                    </w:rPr>
                    <w:t>ZH44028120003</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，属于园区重点管控单元，项目主要</w:t>
                  </w:r>
                  <w:r>
                    <w:rPr>
                      <w:rFonts w:hint="eastAsia" w:cs="Times New Roman"/>
                      <w:color w:val="000000" w:themeColor="text1"/>
                      <w:sz w:val="21"/>
                      <w:szCs w:val="21"/>
                      <w:highlight w:val="none"/>
                      <w:lang w:val="en-US" w:eastAsia="zh-CN"/>
                      <w14:textFill>
                        <w14:solidFill>
                          <w14:schemeClr w14:val="tx1"/>
                        </w14:solidFill>
                      </w14:textFill>
                    </w:rPr>
                    <w:t>从事硅胶按键的生产</w:t>
                  </w:r>
                  <w:r>
                    <w:rPr>
                      <w:rFonts w:ascii="Times New Roman" w:hAnsi="Times New Roman" w:eastAsia="宋体" w:cs="Times New Roman"/>
                      <w:color w:val="000000" w:themeColor="text1"/>
                      <w:sz w:val="21"/>
                      <w:szCs w:val="21"/>
                      <w:highlight w:val="none"/>
                      <w14:textFill>
                        <w14:solidFill>
                          <w14:schemeClr w14:val="tx1"/>
                        </w14:solidFill>
                      </w14:textFill>
                    </w:rPr>
                    <w:t>，生产过程中</w:t>
                  </w:r>
                  <w:r>
                    <w:rPr>
                      <w:rFonts w:hint="eastAsia" w:ascii="Times New Roman" w:hAnsi="Times New Roman" w:eastAsia="宋体" w:cs="Times New Roman"/>
                      <w:color w:val="000000" w:themeColor="text1"/>
                      <w:sz w:val="21"/>
                      <w:szCs w:val="21"/>
                      <w:highlight w:val="none"/>
                      <w14:textFill>
                        <w14:solidFill>
                          <w14:schemeClr w14:val="tx1"/>
                        </w14:solidFill>
                      </w14:textFill>
                    </w:rPr>
                    <w:t>产生</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w:t>
                  </w:r>
                  <w:r>
                    <w:rPr>
                      <w:rFonts w:ascii="Times New Roman" w:hAnsi="Times New Roman" w:eastAsia="宋体" w:cs="Times New Roman"/>
                      <w:color w:val="000000" w:themeColor="text1"/>
                      <w:sz w:val="21"/>
                      <w:szCs w:val="21"/>
                      <w:highlight w:val="none"/>
                      <w14:textFill>
                        <w14:solidFill>
                          <w14:schemeClr w14:val="tx1"/>
                        </w14:solidFill>
                      </w14:textFill>
                    </w:rPr>
                    <w:t>需分配大气污染物总量；</w:t>
                  </w: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生活污水经三级化粪池处理后</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引入</w:t>
                  </w:r>
                  <w:r>
                    <w:rPr>
                      <w:rFonts w:hint="eastAsia" w:ascii="Times New Roman" w:hAnsi="Times New Roman" w:eastAsia="宋体" w:cs="Times New Roman"/>
                      <w:color w:val="000000" w:themeColor="text1"/>
                      <w:sz w:val="21"/>
                      <w:szCs w:val="21"/>
                      <w:highlight w:val="none"/>
                      <w14:textFill>
                        <w14:solidFill>
                          <w14:schemeClr w14:val="tx1"/>
                        </w14:solidFill>
                      </w14:textFill>
                    </w:rPr>
                    <w:t>园区污水处理厂处理</w:t>
                  </w:r>
                  <w:r>
                    <w:rPr>
                      <w:rFonts w:ascii="Times New Roman" w:hAnsi="Times New Roman" w:eastAsia="宋体" w:cs="Times New Roman"/>
                      <w:color w:val="000000" w:themeColor="text1"/>
                      <w:sz w:val="21"/>
                      <w:szCs w:val="21"/>
                      <w:highlight w:val="none"/>
                      <w14:textFill>
                        <w14:solidFill>
                          <w14:schemeClr w14:val="tx1"/>
                        </w14:solidFill>
                      </w14:textFill>
                    </w:rPr>
                    <w:t>，无需分配水污染物总量。</w:t>
                  </w:r>
                </w:p>
              </w:tc>
              <w:tc>
                <w:tcPr>
                  <w:tcW w:w="483" w:type="pct"/>
                  <w:vAlign w:val="center"/>
                </w:tcPr>
                <w:p w14:paraId="063ACB3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51C9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74512DBD">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09DAF182">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w:t>
                  </w:r>
                </w:p>
              </w:tc>
              <w:tc>
                <w:tcPr>
                  <w:tcW w:w="1324" w:type="pct"/>
                  <w:vAlign w:val="center"/>
                </w:tcPr>
                <w:p w14:paraId="335B8A9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项目不属于耗水量大和污染物排放强度高的行业，</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生活污水经三级化粪池预处理后排入园区污水处理厂，不直接排入水体，对水环境影响不大。</w:t>
                  </w:r>
                </w:p>
              </w:tc>
              <w:tc>
                <w:tcPr>
                  <w:tcW w:w="483" w:type="pct"/>
                  <w:vAlign w:val="center"/>
                </w:tcPr>
                <w:p w14:paraId="1C610B4F">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7858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Merge w:val="continue"/>
                  <w:vAlign w:val="center"/>
                </w:tcPr>
                <w:p w14:paraId="02CE746F">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2759" w:type="pct"/>
                  <w:vAlign w:val="center"/>
                </w:tcPr>
                <w:p w14:paraId="30068E4D">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受体敏感类重点管控单元。严格限制新建钢铁、燃煤燃油火电、石化、储油库等项目，产生和排放有毒有害大气污染物项目，以及使用溶剂型油墨、涂料、清洗剂、胶黏剂等高挥发性有机物原辅材料的项目；鼓励现有该类项目逐步搬迁退出</w:t>
                  </w:r>
                </w:p>
              </w:tc>
              <w:tc>
                <w:tcPr>
                  <w:tcW w:w="1324" w:type="pct"/>
                  <w:vAlign w:val="center"/>
                </w:tcPr>
                <w:p w14:paraId="3B52E2C3">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本项目不属于</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大气环境受体敏感类重点管控单元</w:t>
                  </w:r>
                  <w: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，且</w:t>
                  </w: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项目不属于产排有毒有害大气污染物的项目</w:t>
                  </w:r>
                </w:p>
              </w:tc>
              <w:tc>
                <w:tcPr>
                  <w:tcW w:w="483" w:type="pct"/>
                  <w:vAlign w:val="center"/>
                </w:tcPr>
                <w:p w14:paraId="4C7E2B6B">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r w14:paraId="1CA8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432" w:type="pct"/>
                  <w:vAlign w:val="center"/>
                </w:tcPr>
                <w:p w14:paraId="00B475BE">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一般管控单元</w:t>
                  </w:r>
                </w:p>
              </w:tc>
              <w:tc>
                <w:tcPr>
                  <w:tcW w:w="2759" w:type="pct"/>
                  <w:vAlign w:val="center"/>
                </w:tcPr>
                <w:p w14:paraId="5D449238">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执行区域生态环境保护的基本要求。根据资源环境承载能力，引导产业科学布局，合理控制开发强度，维护生态环境功能稳定</w:t>
                  </w:r>
                </w:p>
              </w:tc>
              <w:tc>
                <w:tcPr>
                  <w:tcW w:w="1324" w:type="pct"/>
                  <w:vAlign w:val="center"/>
                </w:tcPr>
                <w:p w14:paraId="5AFD0DE5">
                  <w:pPr>
                    <w:widowControl w:val="0"/>
                    <w:wordWrap w:val="0"/>
                    <w:autoSpaceDE w:val="0"/>
                    <w:autoSpaceDN w:val="0"/>
                    <w:spacing w:line="240" w:lineRule="auto"/>
                    <w:jc w:val="both"/>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项目执行区域生态环境保护的基本要求</w:t>
                  </w:r>
                </w:p>
              </w:tc>
              <w:tc>
                <w:tcPr>
                  <w:tcW w:w="483" w:type="pct"/>
                  <w:vAlign w:val="center"/>
                </w:tcPr>
                <w:p w14:paraId="55D84EBC">
                  <w:pPr>
                    <w:widowControl w:val="0"/>
                    <w:wordWrap w:val="0"/>
                    <w:autoSpaceDE w:val="0"/>
                    <w:autoSpaceDN w:val="0"/>
                    <w:spacing w:line="240" w:lineRule="auto"/>
                    <w:jc w:val="center"/>
                    <w:textAlignment w:val="cente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t>符合</w:t>
                  </w:r>
                </w:p>
              </w:tc>
            </w:tr>
          </w:tbl>
          <w:p w14:paraId="4EBF780D">
            <w:pPr>
              <w:spacing w:line="348" w:lineRule="auto"/>
              <w:ind w:right="86" w:rightChars="36"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综上所述，项目符合《广东省人民政府关于印发广东省“三线一单”生态环境分区管控方案的通知（粤府〔2020〕71号）》的相关要求。</w:t>
            </w:r>
          </w:p>
          <w:p w14:paraId="213FFB87">
            <w:pPr>
              <w:spacing w:line="348" w:lineRule="auto"/>
              <w:ind w:right="86" w:rightChars="36" w:firstLine="480" w:firstLineChars="200"/>
              <w:jc w:val="left"/>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ascii="Times New Roman" w:hAnsi="Times New Roman" w:eastAsia="宋体" w:cs="Times New Roman"/>
                <w:b/>
                <w:bCs/>
                <w:color w:val="000000" w:themeColor="text1"/>
                <w:highlight w:val="none"/>
                <w14:textFill>
                  <w14:solidFill>
                    <w14:schemeClr w14:val="tx1"/>
                  </w14:solidFill>
                </w14:textFill>
              </w:rPr>
              <w:t>项目与韶关市人民政府关于印发《韶关市“三线一单”生态环境分区管控方案的通知》的通知（韶府〔2021〕10号）</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及《韶关市生态环境分区管控动态更新成果》（2024年8月5日公布）的相符性分析</w:t>
            </w:r>
          </w:p>
          <w:p w14:paraId="3538979B">
            <w:pPr>
              <w:pStyle w:val="129"/>
              <w:bidi w:val="0"/>
              <w:ind w:left="0" w:leftChars="0" w:firstLine="0" w:firstLine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 与</w:t>
            </w:r>
            <w:r>
              <w:rPr>
                <w:color w:val="000000" w:themeColor="text1"/>
                <w14:textFill>
                  <w14:solidFill>
                    <w14:schemeClr w14:val="tx1"/>
                  </w14:solidFill>
                </w14:textFill>
              </w:rPr>
              <w:t>（韶府〔2021〕10号）</w:t>
            </w:r>
            <w:r>
              <w:rPr>
                <w:rFonts w:hint="eastAsia"/>
                <w:color w:val="000000" w:themeColor="text1"/>
                <w14:textFill>
                  <w14:solidFill>
                    <w14:schemeClr w14:val="tx1"/>
                  </w14:solidFill>
                </w14:textFill>
              </w:rPr>
              <w:t>及《韶关市</w:t>
            </w:r>
            <w:r>
              <w:rPr>
                <w:rFonts w:hint="eastAsia"/>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生态环境分区管控动态更新成果》</w:t>
            </w:r>
            <w:r>
              <w:rPr>
                <w:color w:val="000000" w:themeColor="text1"/>
                <w14:textFill>
                  <w14:solidFill>
                    <w14:schemeClr w14:val="tx1"/>
                  </w14:solidFill>
                </w14:textFill>
              </w:rPr>
              <w:t>的相符性分析</w:t>
            </w:r>
            <w:r>
              <w:rPr>
                <w:rFonts w:hint="eastAsia"/>
                <w:color w:val="000000" w:themeColor="text1"/>
                <w14:textFill>
                  <w14:solidFill>
                    <w14:schemeClr w14:val="tx1"/>
                  </w14:solidFill>
                </w14:textFill>
              </w:rPr>
              <w:t>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42"/>
              <w:gridCol w:w="571"/>
              <w:gridCol w:w="4451"/>
              <w:gridCol w:w="2004"/>
              <w:gridCol w:w="475"/>
            </w:tblGrid>
            <w:tr w14:paraId="1964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599" w:type="pct"/>
                  <w:gridSpan w:val="2"/>
                  <w:tcBorders>
                    <w:tl2br w:val="nil"/>
                    <w:tr2bl w:val="nil"/>
                  </w:tcBorders>
                  <w:vAlign w:val="center"/>
                </w:tcPr>
                <w:p w14:paraId="4199687F">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内容</w:t>
                  </w:r>
                </w:p>
              </w:tc>
              <w:tc>
                <w:tcPr>
                  <w:tcW w:w="2845" w:type="pct"/>
                  <w:tcBorders>
                    <w:tl2br w:val="nil"/>
                    <w:tr2bl w:val="nil"/>
                  </w:tcBorders>
                  <w:vAlign w:val="center"/>
                </w:tcPr>
                <w:p w14:paraId="374FE15B">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具体</w:t>
                  </w:r>
                  <w:r>
                    <w:rPr>
                      <w:rFonts w:ascii="Times New Roman" w:hAnsi="Times New Roman" w:eastAsia="宋体" w:cs="Times New Roman"/>
                      <w:b/>
                      <w:bCs/>
                      <w:color w:val="000000" w:themeColor="text1"/>
                      <w:sz w:val="21"/>
                      <w:szCs w:val="21"/>
                      <w:highlight w:val="none"/>
                      <w14:textFill>
                        <w14:solidFill>
                          <w14:schemeClr w14:val="tx1"/>
                        </w14:solidFill>
                      </w14:textFill>
                    </w:rPr>
                    <w:t>要求</w:t>
                  </w:r>
                </w:p>
              </w:tc>
              <w:tc>
                <w:tcPr>
                  <w:tcW w:w="1243" w:type="pct"/>
                  <w:tcBorders>
                    <w:tl2br w:val="nil"/>
                    <w:tr2bl w:val="nil"/>
                  </w:tcBorders>
                  <w:vAlign w:val="center"/>
                </w:tcPr>
                <w:p w14:paraId="62E7B899">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相符性分析</w:t>
                  </w:r>
                </w:p>
              </w:tc>
              <w:tc>
                <w:tcPr>
                  <w:tcW w:w="311" w:type="pct"/>
                  <w:tcBorders>
                    <w:tl2br w:val="nil"/>
                    <w:tr2bl w:val="nil"/>
                  </w:tcBorders>
                  <w:vAlign w:val="center"/>
                </w:tcPr>
                <w:p w14:paraId="3EAC6AC7">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结论</w:t>
                  </w:r>
                </w:p>
              </w:tc>
            </w:tr>
            <w:tr w14:paraId="56D3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restart"/>
                  <w:tcBorders>
                    <w:tl2br w:val="nil"/>
                    <w:tr2bl w:val="nil"/>
                  </w:tcBorders>
                  <w:vAlign w:val="center"/>
                </w:tcPr>
                <w:p w14:paraId="139A2D8B">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全市总体管控</w:t>
                  </w:r>
                </w:p>
              </w:tc>
              <w:tc>
                <w:tcPr>
                  <w:tcW w:w="372" w:type="pct"/>
                  <w:tcBorders>
                    <w:tl2br w:val="nil"/>
                    <w:tr2bl w:val="nil"/>
                  </w:tcBorders>
                  <w:vAlign w:val="center"/>
                </w:tcPr>
                <w:p w14:paraId="516B29F7">
                  <w:pPr>
                    <w:widowControl/>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区域布局管控</w:t>
                  </w:r>
                </w:p>
              </w:tc>
              <w:tc>
                <w:tcPr>
                  <w:tcW w:w="2845" w:type="pct"/>
                  <w:tcBorders>
                    <w:tl2br w:val="nil"/>
                    <w:tr2bl w:val="nil"/>
                  </w:tcBorders>
                  <w:vAlign w:val="center"/>
                </w:tcPr>
                <w:p w14:paraId="53AF56AB">
                  <w:pPr>
                    <w:widowControl w:val="0"/>
                    <w:spacing w:line="240" w:lineRule="auto"/>
                    <w:ind w:firstLine="420" w:firstLineChars="20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生态保护红线及一般生态空间。全市陆域生态保护红线面积5827.58平方千米，占全市陆域国土面积的31.65%；一般生态空间面积4951.43平方千米。</w:t>
                  </w:r>
                </w:p>
                <w:p w14:paraId="71D63C8F">
                  <w:pPr>
                    <w:widowControl w:val="0"/>
                    <w:spacing w:line="240" w:lineRule="auto"/>
                    <w:ind w:firstLine="420" w:firstLineChars="20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p w14:paraId="0AF912F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丰城街道、梅坑镇、黄礤镇、马头镇</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1243" w:type="pct"/>
                  <w:tcBorders>
                    <w:tl2br w:val="nil"/>
                    <w:tr2bl w:val="nil"/>
                  </w:tcBorders>
                  <w:vAlign w:val="center"/>
                </w:tcPr>
                <w:p w14:paraId="4681F30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主要</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，不涉重金属，不属于高污染高耗能行业，项目位于乐昌产业转移工业园，园区已开展规划环境评价，项目符合园区准入条件。项目所在地属于</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大气</w:t>
                  </w:r>
                  <w:r>
                    <w:rPr>
                      <w:rFonts w:ascii="Times New Roman" w:hAnsi="Times New Roman" w:eastAsia="宋体" w:cs="Times New Roman"/>
                      <w:color w:val="000000" w:themeColor="text1"/>
                      <w:sz w:val="21"/>
                      <w:szCs w:val="21"/>
                      <w:highlight w:val="none"/>
                      <w14:textFill>
                        <w14:solidFill>
                          <w14:schemeClr w14:val="tx1"/>
                        </w14:solidFill>
                      </w14:textFill>
                    </w:rPr>
                    <w:t>环境功能二类区、水环境质量达标区。</w:t>
                  </w:r>
                </w:p>
                <w:p w14:paraId="70293E3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项目位于乐昌产业转移工业园，</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不占用</w:t>
                  </w:r>
                  <w:r>
                    <w:rPr>
                      <w:rFonts w:hint="eastAsia" w:ascii="Times New Roman" w:hAnsi="Times New Roman" w:eastAsia="宋体" w:cs="Times New Roman"/>
                      <w:color w:val="000000" w:themeColor="text1"/>
                      <w:sz w:val="21"/>
                      <w:szCs w:val="21"/>
                      <w:highlight w:val="none"/>
                      <w14:textFill>
                        <w14:solidFill>
                          <w14:schemeClr w14:val="tx1"/>
                        </w14:solidFill>
                      </w14:textFill>
                    </w:rPr>
                    <w:t>生态保护红线</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与最近饮用水水源保护区：韶关市区武江饮用水水源地准保护区距离约为</w:t>
                  </w:r>
                  <w:r>
                    <w:rPr>
                      <w:rFonts w:hint="eastAsia" w:cs="Times New Roman"/>
                      <w:color w:val="000000" w:themeColor="text1"/>
                      <w:sz w:val="21"/>
                      <w:szCs w:val="21"/>
                      <w:highlight w:val="none"/>
                      <w:lang w:val="en-US" w:eastAsia="zh-CN"/>
                      <w14:textFill>
                        <w14:solidFill>
                          <w14:schemeClr w14:val="tx1"/>
                        </w14:solidFill>
                      </w14:textFill>
                    </w:rPr>
                    <w:t>5320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ascii="Times New Roman" w:hAnsi="Times New Roman" w:eastAsia="宋体" w:cs="Times New Roman"/>
                      <w:color w:val="000000" w:themeColor="text1"/>
                      <w:sz w:val="21"/>
                      <w:szCs w:val="21"/>
                      <w:highlight w:val="none"/>
                      <w14:textFill>
                        <w14:solidFill>
                          <w14:schemeClr w14:val="tx1"/>
                        </w14:solidFill>
                      </w14:textFill>
                    </w:rPr>
                    <w:t>园区已开展规划环境评价，项目符合园区准入条件。项目所在地属于环境功能二类区、水环境质量达标区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311" w:type="pct"/>
                  <w:tcBorders>
                    <w:tl2br w:val="nil"/>
                    <w:tr2bl w:val="nil"/>
                  </w:tcBorders>
                  <w:vAlign w:val="center"/>
                </w:tcPr>
                <w:p w14:paraId="26862D58">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43F3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7D40166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1E557E46">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845" w:type="pct"/>
                  <w:tcBorders>
                    <w:tl2br w:val="nil"/>
                    <w:tr2bl w:val="nil"/>
                  </w:tcBorders>
                  <w:vAlign w:val="center"/>
                </w:tcPr>
                <w:p w14:paraId="0DC39570">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1243" w:type="pct"/>
                  <w:tcBorders>
                    <w:tl2br w:val="nil"/>
                    <w:tr2bl w:val="nil"/>
                  </w:tcBorders>
                  <w:vAlign w:val="center"/>
                </w:tcPr>
                <w:p w14:paraId="750E1271">
                  <w:pPr>
                    <w:spacing w:line="240" w:lineRule="auto"/>
                    <w:jc w:val="both"/>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，不属于电力、建材、冶炼等重点耗能行业，不涉及水电、风电</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311" w:type="pct"/>
                  <w:tcBorders>
                    <w:tl2br w:val="nil"/>
                    <w:tr2bl w:val="nil"/>
                  </w:tcBorders>
                  <w:vAlign w:val="center"/>
                </w:tcPr>
                <w:p w14:paraId="39025E67">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5DE6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1DFB1032">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01F3936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污染物排放管控</w:t>
                  </w:r>
                </w:p>
              </w:tc>
              <w:tc>
                <w:tcPr>
                  <w:tcW w:w="2845" w:type="pct"/>
                  <w:tcBorders>
                    <w:tl2br w:val="nil"/>
                    <w:tr2bl w:val="nil"/>
                  </w:tcBorders>
                  <w:vAlign w:val="center"/>
                </w:tcPr>
                <w:p w14:paraId="14E3D52B">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27864E5D">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31773C9B">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0B736969">
                  <w:pPr>
                    <w:spacing w:line="240" w:lineRule="auto"/>
                    <w:jc w:val="both"/>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1243" w:type="pct"/>
                  <w:tcBorders>
                    <w:tl2br w:val="nil"/>
                    <w:tr2bl w:val="nil"/>
                  </w:tcBorders>
                  <w:vAlign w:val="center"/>
                </w:tcPr>
                <w:p w14:paraId="485D3A55">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，不属于造纸、焦化、有色金属、印染、农副食品加工、原料药制造、制革、农药、电镀等行业，不属于“两高”项目。项目所在地不涉及饮用水水源保护区，生活污水</w:t>
                  </w:r>
                  <w:r>
                    <w:rPr>
                      <w:rFonts w:hint="eastAsia" w:ascii="Times New Roman" w:hAnsi="Times New Roman" w:eastAsia="宋体" w:cs="Times New Roman"/>
                      <w:color w:val="000000" w:themeColor="text1"/>
                      <w:sz w:val="21"/>
                      <w:szCs w:val="21"/>
                      <w:highlight w:val="none"/>
                      <w14:textFill>
                        <w14:solidFill>
                          <w14:schemeClr w14:val="tx1"/>
                        </w14:solidFill>
                      </w14:textFill>
                    </w:rPr>
                    <w:t>经三级化粪</w:t>
                  </w:r>
                  <w:r>
                    <w:rPr>
                      <w:rFonts w:ascii="Times New Roman" w:hAnsi="Times New Roman" w:eastAsia="宋体" w:cs="Times New Roman"/>
                      <w:color w:val="000000" w:themeColor="text1"/>
                      <w:sz w:val="21"/>
                      <w:szCs w:val="21"/>
                      <w:highlight w:val="none"/>
                      <w14:textFill>
                        <w14:solidFill>
                          <w14:schemeClr w14:val="tx1"/>
                        </w14:solidFill>
                      </w14:textFill>
                    </w:rPr>
                    <w:t>池处理后排入园区污水处理厂，园区污水处理厂执行《城镇污水处理厂污染物排放标准》(GB18918-2002)中</w:t>
                  </w:r>
                  <w:r>
                    <w:rPr>
                      <w:rFonts w:hint="eastAsia" w:cs="Times New Roman"/>
                      <w:color w:val="000000" w:themeColor="text1"/>
                      <w:sz w:val="21"/>
                      <w:szCs w:val="21"/>
                      <w:highlight w:val="none"/>
                      <w:lang w:eastAsia="zh-CN"/>
                      <w14:textFill>
                        <w14:solidFill>
                          <w14:schemeClr w14:val="tx1"/>
                        </w14:solidFill>
                      </w14:textFill>
                    </w:rPr>
                    <w:t>及其修改单一级A标准</w:t>
                  </w:r>
                  <w:r>
                    <w:rPr>
                      <w:rFonts w:ascii="Times New Roman" w:hAnsi="Times New Roman" w:eastAsia="宋体" w:cs="Times New Roman"/>
                      <w:color w:val="000000" w:themeColor="text1"/>
                      <w:sz w:val="21"/>
                      <w:szCs w:val="21"/>
                      <w:highlight w:val="none"/>
                      <w14:textFill>
                        <w14:solidFill>
                          <w14:schemeClr w14:val="tx1"/>
                        </w14:solidFill>
                      </w14:textFill>
                    </w:rPr>
                    <w:t>和广东省《水污染物排放限值</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（DB44/26-2001）中的第二时段一级排放标准中严者。</w:t>
                  </w:r>
                </w:p>
                <w:p w14:paraId="1142E04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项目生产过程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有机废气：VOCs执行广东省《固定污染源挥发性有机物综合排放标准》（DB44/2367-2022）中表1挥发性有机物排放限值要求；厂区内VOCs无组织排放监控点浓度执行表3厂区内VOCs无组织排放限值</w:t>
                  </w:r>
                </w:p>
              </w:tc>
              <w:tc>
                <w:tcPr>
                  <w:tcW w:w="311" w:type="pct"/>
                  <w:tcBorders>
                    <w:tl2br w:val="nil"/>
                    <w:tr2bl w:val="nil"/>
                  </w:tcBorders>
                  <w:vAlign w:val="center"/>
                </w:tcPr>
                <w:p w14:paraId="14E239E4">
                  <w:pPr>
                    <w:spacing w:line="240" w:lineRule="auto"/>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69BB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6FD0F7A0">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59F2DC63">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环境风险管控</w:t>
                  </w:r>
                </w:p>
              </w:tc>
              <w:tc>
                <w:tcPr>
                  <w:tcW w:w="2845" w:type="pct"/>
                  <w:tcBorders>
                    <w:tl2br w:val="nil"/>
                    <w:tr2bl w:val="nil"/>
                  </w:tcBorders>
                  <w:vAlign w:val="center"/>
                </w:tcPr>
                <w:p w14:paraId="45E866FE">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事件</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引发的次生环境风险事故</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事件</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1243" w:type="pct"/>
                  <w:tcBorders>
                    <w:tl2br w:val="nil"/>
                    <w:tr2bl w:val="nil"/>
                  </w:tcBorders>
                  <w:vAlign w:val="center"/>
                </w:tcPr>
                <w:p w14:paraId="41D1E134">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11" w:type="pct"/>
                  <w:tcBorders>
                    <w:tl2br w:val="nil"/>
                    <w:tr2bl w:val="nil"/>
                  </w:tcBorders>
                  <w:vAlign w:val="center"/>
                </w:tcPr>
                <w:p w14:paraId="3BFEC170">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0B83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restart"/>
                  <w:tcBorders>
                    <w:tl2br w:val="nil"/>
                    <w:tr2bl w:val="nil"/>
                  </w:tcBorders>
                  <w:vAlign w:val="center"/>
                </w:tcPr>
                <w:p w14:paraId="71813D68">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生态环境准入清单</w:t>
                  </w:r>
                </w:p>
              </w:tc>
              <w:tc>
                <w:tcPr>
                  <w:tcW w:w="372" w:type="pct"/>
                  <w:tcBorders>
                    <w:tl2br w:val="nil"/>
                    <w:tr2bl w:val="nil"/>
                  </w:tcBorders>
                  <w:vAlign w:val="center"/>
                </w:tcPr>
                <w:p w14:paraId="5ABA592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区域布局管控</w:t>
                  </w:r>
                </w:p>
              </w:tc>
              <w:tc>
                <w:tcPr>
                  <w:tcW w:w="2845" w:type="pct"/>
                  <w:tcBorders>
                    <w:tl2br w:val="nil"/>
                    <w:tr2bl w:val="nil"/>
                  </w:tcBorders>
                  <w:vAlign w:val="center"/>
                </w:tcPr>
                <w:p w14:paraId="76E3D41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1-1.【产业/鼓励引导类】重点发展现代轻工产业（消费电子等）、先进装备制造业等产业，优先引进无污染物或轻污染项目。</w:t>
                  </w:r>
                </w:p>
                <w:p w14:paraId="6868B214">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1-2.【产业/禁止类】园区禁止引入专业电镀、化学制浆、鞣革等水污染物排放量大或排放一类污染物、持久性有机污染物的项目。</w:t>
                  </w:r>
                </w:p>
                <w:p w14:paraId="6AF8CD78">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1-3.【产业/限制类】严格限制不符合园区发展定位的项目入驻。</w:t>
                  </w:r>
                </w:p>
                <w:p w14:paraId="4A2E40E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1-4.【产业/综合类】居民区、学校等环境敏感点邻近地块优先布局废气排放量小、工业噪声影响小的产业。</w:t>
                  </w:r>
                </w:p>
              </w:tc>
              <w:tc>
                <w:tcPr>
                  <w:tcW w:w="1243" w:type="pct"/>
                  <w:tcBorders>
                    <w:tl2br w:val="nil"/>
                    <w:tr2bl w:val="nil"/>
                  </w:tcBorders>
                  <w:vAlign w:val="center"/>
                </w:tcPr>
                <w:p w14:paraId="47AF6AA9">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本项目主要</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从事</w:t>
                  </w:r>
                  <w:r>
                    <w:rPr>
                      <w:rFonts w:hint="eastAsia" w:cs="Times New Roman"/>
                      <w:color w:val="000000" w:themeColor="text1"/>
                      <w:sz w:val="21"/>
                      <w:szCs w:val="21"/>
                      <w:highlight w:val="none"/>
                      <w:lang w:val="en-US" w:eastAsia="zh-CN"/>
                      <w14:textFill>
                        <w14:solidFill>
                          <w14:schemeClr w14:val="tx1"/>
                        </w14:solidFill>
                      </w14:textFill>
                    </w:rPr>
                    <w:t>硅胶按键生产</w:t>
                  </w:r>
                  <w:r>
                    <w:rPr>
                      <w:rFonts w:ascii="Times New Roman" w:hAnsi="Times New Roman" w:eastAsia="宋体" w:cs="Times New Roman"/>
                      <w:color w:val="000000" w:themeColor="text1"/>
                      <w:sz w:val="21"/>
                      <w:szCs w:val="21"/>
                      <w:highlight w:val="none"/>
                      <w14:textFill>
                        <w14:solidFill>
                          <w14:schemeClr w14:val="tx1"/>
                        </w14:solidFill>
                      </w14:textFill>
                    </w:rPr>
                    <w:t>，不属于专业电镀、化学制浆、鞣革等水污染物排放量大或排放一类污染物、持久性有机污染物的项目</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项目符合园区发展定位</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r>
                    <w:rPr>
                      <w:rFonts w:ascii="Times New Roman" w:hAnsi="Times New Roman" w:eastAsia="宋体" w:cs="Times New Roman"/>
                      <w:color w:val="000000" w:themeColor="text1"/>
                      <w:sz w:val="21"/>
                      <w:szCs w:val="21"/>
                      <w:highlight w:val="none"/>
                      <w14:textFill>
                        <w14:solidFill>
                          <w14:schemeClr w14:val="tx1"/>
                        </w14:solidFill>
                      </w14:textFill>
                    </w:rPr>
                    <w:t>周边敏感点</w:t>
                  </w:r>
                  <w:r>
                    <w:rPr>
                      <w:rFonts w:hint="eastAsia" w:cs="Times New Roman"/>
                      <w:color w:val="000000" w:themeColor="text1"/>
                      <w:sz w:val="21"/>
                      <w:szCs w:val="21"/>
                      <w:highlight w:val="none"/>
                      <w:lang w:val="en-US" w:eastAsia="zh-CN"/>
                      <w14:textFill>
                        <w14:solidFill>
                          <w14:schemeClr w14:val="tx1"/>
                        </w14:solidFill>
                      </w14:textFill>
                    </w:rPr>
                    <w:t>为南侧490m处的</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11" w:type="pct"/>
                  <w:tcBorders>
                    <w:tl2br w:val="nil"/>
                    <w:tr2bl w:val="nil"/>
                  </w:tcBorders>
                  <w:vAlign w:val="center"/>
                </w:tcPr>
                <w:p w14:paraId="5F128BA4">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1475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3A1E45D4">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FE9BB3E">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845" w:type="pct"/>
                  <w:tcBorders>
                    <w:tl2br w:val="nil"/>
                    <w:tr2bl w:val="nil"/>
                  </w:tcBorders>
                  <w:vAlign w:val="center"/>
                </w:tcPr>
                <w:p w14:paraId="1EC0C3C2">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2-1.【能源/鼓励引导类】园区内能源结构应以电能、燃气等清洁能源为主。</w:t>
                  </w:r>
                </w:p>
                <w:p w14:paraId="10953007">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2-2.【水资源/综合类】提高园区水资源利用效率，加快中水回用系统建设</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4893678F">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2-3.【其他/综合类】有行业清洁生产标准的新引进项目清洁生产水平须达到本行业国内先进水平。</w:t>
                  </w:r>
                </w:p>
              </w:tc>
              <w:tc>
                <w:tcPr>
                  <w:tcW w:w="1243" w:type="pct"/>
                  <w:tcBorders>
                    <w:tl2br w:val="nil"/>
                    <w:tr2bl w:val="nil"/>
                  </w:tcBorders>
                  <w:vAlign w:val="center"/>
                </w:tcPr>
                <w:p w14:paraId="62695B9A">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项目以主要电能作为生产能源，属于清洁能源</w:t>
                  </w:r>
                  <w:r>
                    <w:rPr>
                      <w:rFonts w:hint="eastAsia" w:ascii="Times New Roman" w:hAnsi="Times New Roman" w:eastAsia="宋体" w:cs="Times New Roman"/>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w:t>
                  </w:r>
                  <w:r>
                    <w:rPr>
                      <w:rFonts w:hint="eastAsia" w:ascii="Times New Roman" w:hAnsi="Times New Roman" w:eastAsia="宋体" w:cs="Times New Roman"/>
                      <w:color w:val="000000" w:themeColor="text1"/>
                      <w:sz w:val="21"/>
                      <w:szCs w:val="21"/>
                      <w:highlight w:val="none"/>
                      <w14:textFill>
                        <w14:solidFill>
                          <w14:schemeClr w14:val="tx1"/>
                        </w14:solidFill>
                      </w14:textFill>
                    </w:rPr>
                    <w:t>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三级化粪池</w:t>
                  </w:r>
                  <w:r>
                    <w:rPr>
                      <w:rFonts w:hint="eastAsia" w:ascii="Times New Roman" w:hAnsi="Times New Roman" w:eastAsia="宋体" w:cs="Times New Roman"/>
                      <w:color w:val="000000" w:themeColor="text1"/>
                      <w:sz w:val="21"/>
                      <w:szCs w:val="21"/>
                      <w:highlight w:val="none"/>
                      <w14:textFill>
                        <w14:solidFill>
                          <w14:schemeClr w14:val="tx1"/>
                        </w14:solidFill>
                      </w14:textFill>
                    </w:rPr>
                    <w:t>处理后排入园区污水处理厂</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11" w:type="pct"/>
                  <w:tcBorders>
                    <w:tl2br w:val="nil"/>
                    <w:tr2bl w:val="nil"/>
                  </w:tcBorders>
                  <w:vAlign w:val="center"/>
                </w:tcPr>
                <w:p w14:paraId="4922F0E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6B62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1C7D473E">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7BCDAB1">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污染物排放管控</w:t>
                  </w:r>
                </w:p>
              </w:tc>
              <w:tc>
                <w:tcPr>
                  <w:tcW w:w="2845" w:type="pct"/>
                  <w:tcBorders>
                    <w:tl2br w:val="nil"/>
                    <w:tr2bl w:val="nil"/>
                  </w:tcBorders>
                  <w:vAlign w:val="center"/>
                </w:tcPr>
                <w:p w14:paraId="71133DED">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3-1.【水、大气/限制类】园区各项污染物排放总量不得突破园区规划环评核定的污染物排放总量管控要求</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27D172B9">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-2.【水/限制类】实行重点重金属污染物（铅、砷、汞、镉、铬）等量替代。严格控制涉重金属及有毒有害污染物排放的项目建设，新建、改建、扩建涉重金属重点行业的项目应明确重金属污染物总量来源。3-3.【大气/限制类】新建项目原则上实施氮氧化物、挥发性有机物排放量等量替代。</w:t>
                  </w:r>
                </w:p>
                <w:p w14:paraId="4D13819A">
                  <w:pPr>
                    <w:spacing w:line="240" w:lineRule="auto"/>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3-4.【其它/鼓励引导类】支持危险废物专业收集转运和利用处置单位建设区域性收集网点和贮存设施。</w:t>
                  </w:r>
                </w:p>
              </w:tc>
              <w:tc>
                <w:tcPr>
                  <w:tcW w:w="1243" w:type="pct"/>
                  <w:tcBorders>
                    <w:tl2br w:val="nil"/>
                    <w:tr2bl w:val="nil"/>
                  </w:tcBorders>
                  <w:vAlign w:val="center"/>
                </w:tcPr>
                <w:p w14:paraId="50720D9D">
                  <w:pPr>
                    <w:spacing w:line="240" w:lineRule="auto"/>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项目生产过程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废气中</w:t>
                  </w:r>
                </w:p>
                <w:p w14:paraId="64EB0DEA">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有机废气：VOCs执行广东省《固定污染源挥发性有机物综合排放标准》（DB44/2367-2022）中表1挥发性有机物排放限值要求；厂区内VOCs无组织排放监控点浓度执行表3厂区内VOCs无组织排放限值；以上生产废气</w:t>
                  </w:r>
                  <w:r>
                    <w:rPr>
                      <w:rFonts w:ascii="Times New Roman" w:hAnsi="Times New Roman" w:eastAsia="宋体" w:cs="Times New Roman"/>
                      <w:color w:val="000000" w:themeColor="text1"/>
                      <w:sz w:val="21"/>
                      <w:szCs w:val="21"/>
                      <w:highlight w:val="none"/>
                      <w14:textFill>
                        <w14:solidFill>
                          <w14:schemeClr w14:val="tx1"/>
                        </w14:solidFill>
                      </w14:textFill>
                    </w:rPr>
                    <w:t>没有突破园区规划环评核定的污染物排放总量，</w:t>
                  </w:r>
                  <w:r>
                    <w:rPr>
                      <w:rFonts w:hint="eastAsia" w:ascii="Times New Roman" w:hAnsi="Times New Roman" w:eastAsia="宋体" w:cs="Times New Roman"/>
                      <w:color w:val="000000" w:themeColor="text1"/>
                      <w:sz w:val="21"/>
                      <w:szCs w:val="21"/>
                      <w:highlight w:val="none"/>
                      <w14:textFill>
                        <w14:solidFill>
                          <w14:schemeClr w14:val="tx1"/>
                        </w14:solidFill>
                      </w14:textFill>
                    </w:rPr>
                    <w:t>本项目总量指标值0.09</w:t>
                  </w:r>
                  <w:r>
                    <w:rPr>
                      <w:rFonts w:hint="eastAsia"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highlight w:val="none"/>
                      <w14:textFill>
                        <w14:solidFill>
                          <w14:schemeClr w14:val="tx1"/>
                        </w14:solidFill>
                      </w14:textFill>
                    </w:rPr>
                    <w:t>t/a，小于0.1t/a，</w:t>
                  </w:r>
                  <w:r>
                    <w:rPr>
                      <w:rFonts w:hint="eastAsia" w:cs="Times New Roman"/>
                      <w:color w:val="000000" w:themeColor="text1"/>
                      <w:sz w:val="21"/>
                      <w:szCs w:val="21"/>
                      <w:highlight w:val="none"/>
                      <w:lang w:val="en-US" w:eastAsia="zh-CN"/>
                      <w14:textFill>
                        <w14:solidFill>
                          <w14:schemeClr w14:val="tx1"/>
                        </w14:solidFill>
                      </w14:textFill>
                    </w:rPr>
                    <w:t>根据（环综合〔2024〕62 号）文，排放量小于0.1t/a的VOCs免于提交总量指标来源说明，</w:t>
                  </w:r>
                  <w:r>
                    <w:rPr>
                      <w:rFonts w:hint="eastAsia" w:ascii="Times New Roman" w:hAnsi="Times New Roman" w:eastAsia="宋体" w:cs="Times New Roman"/>
                      <w:color w:val="000000" w:themeColor="text1"/>
                      <w:sz w:val="21"/>
                      <w:szCs w:val="21"/>
                      <w:highlight w:val="none"/>
                      <w14:textFill>
                        <w14:solidFill>
                          <w14:schemeClr w14:val="tx1"/>
                        </w14:solidFill>
                      </w14:textFill>
                    </w:rPr>
                    <w:t>由韶关市生态环境局乐昌分局统筹总量指标替代来源，并纳入台账管理。项目</w:t>
                  </w:r>
                  <w:r>
                    <w:rPr>
                      <w:rFonts w:ascii="Times New Roman" w:hAnsi="Times New Roman" w:eastAsia="宋体" w:cs="Times New Roman"/>
                      <w:color w:val="000000" w:themeColor="text1"/>
                      <w:sz w:val="21"/>
                      <w:szCs w:val="21"/>
                      <w:highlight w:val="none"/>
                      <w14:textFill>
                        <w14:solidFill>
                          <w14:schemeClr w14:val="tx1"/>
                        </w14:solidFill>
                      </w14:textFill>
                    </w:rPr>
                    <w:t>不涉及重金属污染物，危险废物贮存在厂区危险废物暂存间，统一收集后交有资质的单位处理。</w:t>
                  </w:r>
                </w:p>
              </w:tc>
              <w:tc>
                <w:tcPr>
                  <w:tcW w:w="311" w:type="pct"/>
                  <w:tcBorders>
                    <w:tl2br w:val="nil"/>
                    <w:tr2bl w:val="nil"/>
                  </w:tcBorders>
                  <w:vAlign w:val="center"/>
                </w:tcPr>
                <w:p w14:paraId="65C28E86">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r w14:paraId="2AC2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27" w:type="pct"/>
                  <w:vMerge w:val="continue"/>
                  <w:tcBorders>
                    <w:tl2br w:val="nil"/>
                    <w:tr2bl w:val="nil"/>
                  </w:tcBorders>
                  <w:vAlign w:val="center"/>
                </w:tcPr>
                <w:p w14:paraId="7A7C9B21">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72" w:type="pct"/>
                  <w:tcBorders>
                    <w:tl2br w:val="nil"/>
                    <w:tr2bl w:val="nil"/>
                  </w:tcBorders>
                  <w:vAlign w:val="center"/>
                </w:tcPr>
                <w:p w14:paraId="71F1FA89">
                  <w:pPr>
                    <w:spacing w:line="240" w:lineRule="auto"/>
                    <w:ind w:right="86" w:rightChars="36"/>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环境风险防控</w:t>
                  </w:r>
                </w:p>
              </w:tc>
              <w:tc>
                <w:tcPr>
                  <w:tcW w:w="2845" w:type="pct"/>
                  <w:tcBorders>
                    <w:tl2br w:val="nil"/>
                    <w:tr2bl w:val="nil"/>
                  </w:tcBorders>
                  <w:vAlign w:val="center"/>
                </w:tcPr>
                <w:p w14:paraId="21D1DADF">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水</w:t>
                  </w:r>
                  <w:r>
                    <w:rPr>
                      <w:rFonts w:ascii="Times New Roman" w:hAnsi="Times New Roman" w:eastAsia="宋体" w:cs="Times New Roman"/>
                      <w:color w:val="000000" w:themeColor="text1"/>
                      <w:sz w:val="21"/>
                      <w:szCs w:val="21"/>
                      <w:highlight w:val="none"/>
                      <w14:textFill>
                        <w14:solidFill>
                          <w14:schemeClr w14:val="tx1"/>
                        </w14:solidFill>
                      </w14:textFill>
                    </w:rPr>
                    <w:t>处理厂设置足够容积的事故应急池，纳污水体设置水质监控断面，发现问题，及时采取限制废水排放等措施。</w:t>
                  </w:r>
                </w:p>
              </w:tc>
              <w:tc>
                <w:tcPr>
                  <w:tcW w:w="1243" w:type="pct"/>
                  <w:tcBorders>
                    <w:tl2br w:val="nil"/>
                    <w:tr2bl w:val="nil"/>
                  </w:tcBorders>
                  <w:vAlign w:val="center"/>
                </w:tcPr>
                <w:p w14:paraId="5380DCD5">
                  <w:pPr>
                    <w:spacing w:line="240" w:lineRule="auto"/>
                    <w:jc w:val="both"/>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项目位于广东乐昌经济开发区内，广东乐昌经济开发区已完善相关环保手续，并制定了事故风险防范和应急措施，能够满足项目环境风险防控的要求。</w:t>
                  </w:r>
                </w:p>
              </w:tc>
              <w:tc>
                <w:tcPr>
                  <w:tcW w:w="311" w:type="pct"/>
                  <w:tcBorders>
                    <w:tl2br w:val="nil"/>
                    <w:tr2bl w:val="nil"/>
                  </w:tcBorders>
                  <w:vAlign w:val="center"/>
                </w:tcPr>
                <w:p w14:paraId="3F9F8D53">
                  <w:pPr>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符合</w:t>
                  </w:r>
                </w:p>
              </w:tc>
            </w:tr>
          </w:tbl>
          <w:p w14:paraId="2DE0FD01">
            <w:pPr>
              <w:widowControl w:val="0"/>
              <w:spacing w:line="360" w:lineRule="auto"/>
              <w:ind w:firstLine="480" w:firstLineChars="200"/>
              <w:jc w:val="left"/>
              <w:rPr>
                <w:rFonts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综上，项目符合韶关市人民政府关于印发《韶关市“三线一单”生态环境分区管控方案的通知》的通知（韶府〔2021〕10号）</w:t>
            </w:r>
            <w:r>
              <w:rPr>
                <w:rFonts w:hint="eastAsia"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及《韶关市生态环境分区管控动态更新成果》</w:t>
            </w:r>
            <w:r>
              <w:rPr>
                <w:rFonts w:ascii="Times New Roman" w:hAnsi="Times New Roman" w:eastAsia="宋体" w:cs="Times New Roman"/>
                <w:b w:val="0"/>
                <w:bCs w:val="0"/>
                <w:color w:val="000000" w:themeColor="text1"/>
                <w:kern w:val="2"/>
                <w:sz w:val="24"/>
                <w:szCs w:val="21"/>
                <w:highlight w:val="none"/>
                <w:lang w:val="en-US" w:eastAsia="zh-CN" w:bidi="ar-SA"/>
                <w14:textFill>
                  <w14:solidFill>
                    <w14:schemeClr w14:val="tx1"/>
                  </w14:solidFill>
                </w14:textFill>
              </w:rPr>
              <w:t>的相关要求。</w:t>
            </w:r>
          </w:p>
          <w:p w14:paraId="18337E76">
            <w:pPr>
              <w:keepNext/>
              <w:keepLines/>
              <w:tabs>
                <w:tab w:val="left" w:pos="0"/>
              </w:tabs>
              <w:ind w:left="-2" w:firstLine="480" w:firstLineChars="200"/>
              <w:outlineLvl w:val="2"/>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六</w:t>
            </w:r>
            <w:r>
              <w:rPr>
                <w:rFonts w:ascii="Times New Roman" w:hAnsi="Times New Roman" w:eastAsia="宋体" w:cs="Times New Roman"/>
                <w:b/>
                <w:bCs/>
                <w:color w:val="000000" w:themeColor="text1"/>
                <w:highlight w:val="none"/>
                <w14:textFill>
                  <w14:solidFill>
                    <w14:schemeClr w14:val="tx1"/>
                  </w14:solidFill>
                </w14:textFill>
              </w:rPr>
              <w:t>、相关规划相符性分析</w:t>
            </w:r>
          </w:p>
          <w:p w14:paraId="4C7C0E87">
            <w:pPr>
              <w:keepNext/>
              <w:keepLines/>
              <w:tabs>
                <w:tab w:val="left" w:pos="0"/>
              </w:tabs>
              <w:ind w:firstLine="480" w:firstLineChars="200"/>
              <w:outlineLvl w:val="3"/>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与</w:t>
            </w:r>
            <w:r>
              <w:rPr>
                <w:rFonts w:ascii="Times New Roman" w:hAnsi="Times New Roman" w:eastAsia="宋体" w:cs="Times New Roman"/>
                <w:b/>
                <w:bCs/>
                <w:color w:val="000000" w:themeColor="text1"/>
                <w:highlight w:val="none"/>
                <w14:textFill>
                  <w14:solidFill>
                    <w14:schemeClr w14:val="tx1"/>
                  </w14:solidFill>
                </w14:textFill>
              </w:rPr>
              <w:t>《关于印发&lt;广东省生态环境保护“十四五”规划&gt;的通知》（粤环〔2021〕10号）</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的相符性分析</w:t>
            </w:r>
          </w:p>
          <w:p w14:paraId="2C7F46EB">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《广东省生态环境保护“十四五”规划》要求：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新建高能耗项目单位产品（产值）能耗达到国际国内先进水平。</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bookmarkStart w:id="8" w:name="_Toc13033"/>
            <w:bookmarkStart w:id="9" w:name="_Toc16815"/>
          </w:p>
          <w:p w14:paraId="74CEABA0">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项目使用的溶剂型油墨VOCs含量为66.7%，满足《油墨中可挥发性有机化合物（VOCs）含量的限值》（GB38507-2020）：</w:t>
            </w:r>
            <w:r>
              <w:rPr>
                <w:rFonts w:hint="eastAsia" w:cs="Times New Roman"/>
                <w:color w:val="000000" w:themeColor="text1"/>
                <w:kern w:val="2"/>
                <w:sz w:val="24"/>
                <w:szCs w:val="24"/>
                <w:highlight w:val="none"/>
                <w:lang w:val="en-US" w:eastAsia="zh-CN" w:bidi="ar-SA"/>
                <w14:textFill>
                  <w14:solidFill>
                    <w14:schemeClr w14:val="tx1"/>
                  </w14:solidFill>
                </w14:textFill>
              </w:rPr>
              <w:t>凹</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印油墨 VOCs 限值≤75%。</w:t>
            </w:r>
            <w:r>
              <w:rPr>
                <w:rFonts w:hint="eastAsia" w:cs="Times New Roman"/>
                <w:color w:val="000000" w:themeColor="text1"/>
                <w:kern w:val="2"/>
                <w:sz w:val="24"/>
                <w:szCs w:val="24"/>
                <w:highlight w:val="none"/>
                <w:lang w:val="en-US" w:eastAsia="zh-CN" w:bidi="ar-SA"/>
                <w14:textFill>
                  <w14:solidFill>
                    <w14:schemeClr w14:val="tx1"/>
                  </w14:solidFill>
                </w14:textFill>
              </w:rPr>
              <w:t>项目使用</w:t>
            </w:r>
            <w:r>
              <w:rPr>
                <w:rFonts w:hint="eastAsia" w:cs="Times New Roman"/>
                <w:color w:val="000000" w:themeColor="text1"/>
                <w:sz w:val="24"/>
                <w:highlight w:val="none"/>
                <w:lang w:val="en-US" w:eastAsia="zh-CN"/>
                <w14:textFill>
                  <w14:solidFill>
                    <w14:schemeClr w14:val="tx1"/>
                  </w14:solidFill>
                </w14:textFill>
              </w:rPr>
              <w:t>半水基清洗剂作为钢板、胶头清洗剂，相对密度1.01±0.1，主要成分为三丙二醇单甲醚、表面活性剂、三乙醇胺、去离子水，不含二氯甲烷、三氯甲烷、三氯乙烯、四氯乙烯、甲醛、苯、甲苯、乙苯和二甲苯等有毒有害物质。根据半水基清洗剂挥发性含量检测报告结果为85g/L，清洗剂中VOC含量及特定挥发性有机物含量</w:t>
            </w:r>
            <w:r>
              <w:rPr>
                <w:rFonts w:hint="default" w:ascii="Times New Roman" w:hAnsi="Times New Roman" w:cs="Times New Roman"/>
                <w:color w:val="000000" w:themeColor="text1"/>
                <w:sz w:val="24"/>
                <w:highlight w:val="none"/>
                <w:lang w:val="en-US" w:eastAsia="zh-CN"/>
                <w14:textFill>
                  <w14:solidFill>
                    <w14:schemeClr w14:val="tx1"/>
                  </w14:solidFill>
                </w14:textFill>
              </w:rPr>
              <w:t>可以满足《清洗剂挥发性有机化合物含量限值》（GB38508-2020）中</w:t>
            </w:r>
            <w:r>
              <w:rPr>
                <w:rFonts w:hint="eastAsia" w:cs="Times New Roman"/>
                <w:color w:val="000000" w:themeColor="text1"/>
                <w:sz w:val="24"/>
                <w:highlight w:val="none"/>
                <w:lang w:val="en-US" w:eastAsia="zh-CN"/>
                <w14:textFill>
                  <w14:solidFill>
                    <w14:schemeClr w14:val="tx1"/>
                  </w14:solidFill>
                </w14:textFill>
              </w:rPr>
              <w:t>表2</w:t>
            </w:r>
            <w:r>
              <w:rPr>
                <w:rFonts w:hint="default" w:ascii="Times New Roman" w:hAnsi="Times New Roman" w:cs="Times New Roman"/>
                <w:color w:val="000000" w:themeColor="text1"/>
                <w:sz w:val="24"/>
                <w:highlight w:val="none"/>
                <w:lang w:val="en-US" w:eastAsia="zh-CN"/>
                <w14:textFill>
                  <w14:solidFill>
                    <w14:schemeClr w14:val="tx1"/>
                  </w14:solidFill>
                </w14:textFill>
              </w:rPr>
              <w:t xml:space="preserve">低VOC含量半水基清洗剂限值要求（ VOC 含量限值≤ </w:t>
            </w:r>
            <w:r>
              <w:rPr>
                <w:rFonts w:hint="eastAsia"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lang w:val="en-US" w:eastAsia="zh-CN"/>
                <w14:textFill>
                  <w14:solidFill>
                    <w14:schemeClr w14:val="tx1"/>
                  </w14:solidFill>
                </w14:textFill>
              </w:rPr>
              <w:t>00g/L）</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。生产过程</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产生的污染物主要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有机废气（以VOCs表征）、臭气浓度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炼胶、成型、移印和烘烤</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废气一同经“二级活性炭”处理后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bookmarkEnd w:id="8"/>
            <w:bookmarkEnd w:id="9"/>
          </w:p>
          <w:p w14:paraId="05ACCA98">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综上所述，本项目与《关于印发&lt;广东省生态环境保护“十四五”规划&gt;的通知》（粤环〔2021〕10号）相符。</w:t>
            </w:r>
          </w:p>
          <w:p w14:paraId="46100B00">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与《韶关市人民政府办公室关于印发&lt;韶关市生态环境保护“十四五”规划&gt;的通知》（韶府办〔2022〕1号）的相符性分析</w:t>
            </w:r>
          </w:p>
          <w:p w14:paraId="036435F3">
            <w:pPr>
              <w:widowControl/>
              <w:ind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6A2182E7">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项目不涉及锅炉</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设备均采用电能，生产过程</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产生的污染物主要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有机废气（以</w:t>
            </w:r>
            <w:r>
              <w:rPr>
                <w:rFonts w:hint="eastAsia" w:cs="Times New Roman"/>
                <w:color w:val="000000" w:themeColor="text1"/>
                <w:kern w:val="2"/>
                <w:sz w:val="24"/>
                <w:szCs w:val="32"/>
                <w:highlight w:val="none"/>
                <w:lang w:val="en-US" w:eastAsia="zh-CN" w:bidi="ar-SA"/>
                <w14:textFill>
                  <w14:solidFill>
                    <w14:schemeClr w14:val="tx1"/>
                  </w14:solidFill>
                </w14:textFill>
              </w:rPr>
              <w:t>NHMC</w:t>
            </w:r>
            <w:r>
              <w:rPr>
                <w:rFonts w:hint="eastAsia" w:ascii="Times New Roman" w:hAnsi="Times New Roman" w:eastAsia="宋体" w:cs="Times New Roman"/>
                <w:color w:val="000000" w:themeColor="text1"/>
                <w:kern w:val="2"/>
                <w:sz w:val="24"/>
                <w:szCs w:val="32"/>
                <w:highlight w:val="none"/>
                <w:lang w:val="en-US" w:eastAsia="zh-CN" w:bidi="ar-SA"/>
                <w14:textFill>
                  <w14:solidFill>
                    <w14:schemeClr w14:val="tx1"/>
                  </w14:solidFill>
                </w14:textFill>
              </w:rPr>
              <w:t>表征）、臭气浓度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，废气经收集后通过经“二级活性炭”处理后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p>
          <w:p w14:paraId="2E952F40">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本项目产生的工业固体废物均得到妥善处置。故本项目与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韶关市人民政府办公室《关于印发&lt;韶关市生态环境保护“十四五”规划&gt;的通知》（韶府办〔2022〕1号）</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相符。</w:t>
            </w:r>
          </w:p>
          <w:p w14:paraId="0D387D95">
            <w:pPr>
              <w:widowControl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3、与《乐昌市人民政府办公室关于印发&lt;乐昌市生态环境保护“十四五”规划的通知》（乐府办〔2022〕16号）的相符性分析</w:t>
            </w:r>
          </w:p>
          <w:p w14:paraId="118E8827">
            <w:pPr>
              <w:widowControl w:val="0"/>
              <w:spacing w:line="360" w:lineRule="auto"/>
              <w:ind w:firstLine="480" w:firstLineChars="200"/>
              <w:jc w:val="both"/>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深化重点污染源治理，推进污染物减排</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。在水泥、化工、火电等行业全面执行大气污染物特别排放限值。逐步推进水泥行业实施超低排放改造，力争到2025年全市水泥（熟料）制造企业的水泥窑及窑尾余热利用系统烟气 NOx 排放浓度不高于100mg/m</w:t>
            </w:r>
            <w:r>
              <w:rPr>
                <w:rFonts w:hint="eastAsia" w:ascii="Times New Roman" w:hAnsi="Times New Roman" w:eastAsia="宋体" w:cs="Times New Roman"/>
                <w:color w:val="000000" w:themeColor="text1"/>
                <w:kern w:val="2"/>
                <w:sz w:val="24"/>
                <w:szCs w:val="28"/>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1BF3C011">
            <w:pPr>
              <w:widowControl w:val="0"/>
              <w:spacing w:line="360" w:lineRule="auto"/>
              <w:ind w:firstLine="480" w:firstLineChars="200"/>
              <w:jc w:val="both"/>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项目不涉及锅炉，设备均采用电能，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废气经收集后通过“二级活性炭”处理后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故本项目与乐昌市人民政府办公室《关于印发&lt;乐昌市生态环境保护“十四五”规划的通知》（乐府办〔2022〕16号）相符。</w:t>
            </w:r>
          </w:p>
          <w:p w14:paraId="33F576B1">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七、与</w:t>
            </w:r>
            <w:r>
              <w:rPr>
                <w:rFonts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《环境保护部关于印发&lt;重点行业挥发性有机物综合治理方案&gt;的通知》（环大气〔2019〕53号）</w:t>
            </w:r>
            <w:r>
              <w:rPr>
                <w:rFonts w:hint="eastAsia"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的相符性分析</w:t>
            </w:r>
          </w:p>
          <w:p w14:paraId="4BE5C212">
            <w:pPr>
              <w:widowControl w:val="0"/>
              <w:wordWrap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35FCD203">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不属于重点行业，涉及VOCs原料采用密闭容器储存，可从源头有效控制VOCs排放，废气经收集后经“二级活性炭”处理后</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w:t>
            </w:r>
            <w:r>
              <w:rPr>
                <w:rFonts w:hint="eastAsia" w:cs="Times New Roman"/>
                <w:color w:val="000000" w:themeColor="text1"/>
                <w:kern w:val="2"/>
                <w:sz w:val="24"/>
                <w:szCs w:val="24"/>
                <w:highlight w:val="none"/>
                <w:lang w:val="en-US" w:eastAsia="zh-CN" w:bidi="ar-SA"/>
                <w14:textFill>
                  <w14:solidFill>
                    <w14:schemeClr w14:val="tx1"/>
                  </w14:solidFill>
                </w14:textFill>
              </w:rPr>
              <w:t>25m排气筒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DA001</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高空排放。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综上，本项目与环境保护部《关于印发&lt;重点行业挥发性有机物综合治理方案&gt;的通知》（环大气〔2019〕53号）相符。</w:t>
            </w:r>
          </w:p>
          <w:p w14:paraId="25D72C95">
            <w:pPr>
              <w:pStyle w:val="24"/>
              <w:numPr>
                <w:ilvl w:val="0"/>
                <w:numId w:val="7"/>
              </w:numPr>
              <w:ind w:firstLine="48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b/>
                <w:bCs/>
                <w:color w:val="000000" w:themeColor="text1"/>
                <w:sz w:val="24"/>
                <w:highlight w:val="none"/>
                <w:lang w:val="en-US" w:eastAsia="zh-CN"/>
                <w14:textFill>
                  <w14:solidFill>
                    <w14:schemeClr w14:val="tx1"/>
                  </w14:solidFill>
                </w14:textFill>
              </w:rPr>
              <w:t>与《广东省涉挥发性有机物（VOCs）重点行业治理指引》的通知（粤环办[2021]43 号中</w:t>
            </w:r>
            <w:r>
              <w:rPr>
                <w:rFonts w:hint="eastAsia"/>
                <w:b/>
                <w:bCs/>
                <w:color w:val="000000" w:themeColor="text1"/>
                <w:sz w:val="24"/>
                <w:highlight w:val="none"/>
                <w:lang w:val="en-US" w:eastAsia="zh-CN"/>
                <w14:textFill>
                  <w14:solidFill>
                    <w14:schemeClr w14:val="tx1"/>
                  </w14:solidFill>
                </w14:textFill>
              </w:rPr>
              <w:t>四</w:t>
            </w:r>
            <w:r>
              <w:rPr>
                <w:rFonts w:hint="eastAsia" w:eastAsia="宋体"/>
                <w:b/>
                <w:bCs/>
                <w:color w:val="000000" w:themeColor="text1"/>
                <w:sz w:val="24"/>
                <w:highlight w:val="none"/>
                <w:lang w:val="en-US"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印刷</w:t>
            </w:r>
            <w:r>
              <w:rPr>
                <w:rFonts w:hint="eastAsia" w:eastAsia="宋体"/>
                <w:b/>
                <w:bCs/>
                <w:color w:val="000000" w:themeColor="text1"/>
                <w:sz w:val="24"/>
                <w:highlight w:val="none"/>
                <w:lang w:val="en-US" w:eastAsia="zh-CN"/>
                <w14:textFill>
                  <w14:solidFill>
                    <w14:schemeClr w14:val="tx1"/>
                  </w14:solidFill>
                </w14:textFill>
              </w:rPr>
              <w:t>业 VOCs 治理指引”，“六、橡胶和塑料制品业 VOCs 治理指引”相符性分析）</w:t>
            </w:r>
          </w:p>
          <w:p w14:paraId="6DFB6009">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eastAsia="宋体"/>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与</w:t>
            </w:r>
            <w:r>
              <w:rPr>
                <w:b/>
                <w:color w:val="000000" w:themeColor="text1"/>
                <w:sz w:val="21"/>
                <w14:textFill>
                  <w14:solidFill>
                    <w14:schemeClr w14:val="tx1"/>
                  </w14:solidFill>
                </w14:textFill>
              </w:rPr>
              <w:t>（粤环办</w:t>
            </w:r>
            <w:r>
              <w:rPr>
                <w:rFonts w:ascii="Times New Roman" w:eastAsia="Times New Roman"/>
                <w:b/>
                <w:color w:val="000000" w:themeColor="text1"/>
                <w:sz w:val="21"/>
                <w14:textFill>
                  <w14:solidFill>
                    <w14:schemeClr w14:val="tx1"/>
                  </w14:solidFill>
                </w14:textFill>
              </w:rPr>
              <w:t>[2021]43</w:t>
            </w:r>
            <w:r>
              <w:rPr>
                <w:rFonts w:ascii="Times New Roman" w:eastAsia="Times New Roman"/>
                <w:b/>
                <w:color w:val="000000" w:themeColor="text1"/>
                <w:spacing w:val="-6"/>
                <w:sz w:val="21"/>
                <w14:textFill>
                  <w14:solidFill>
                    <w14:schemeClr w14:val="tx1"/>
                  </w14:solidFill>
                </w14:textFill>
              </w:rPr>
              <w:t xml:space="preserve"> </w:t>
            </w:r>
            <w:r>
              <w:rPr>
                <w:b/>
                <w:color w:val="000000" w:themeColor="text1"/>
                <w:sz w:val="21"/>
                <w14:textFill>
                  <w14:solidFill>
                    <w14:schemeClr w14:val="tx1"/>
                  </w14:solidFill>
                </w14:textFill>
              </w:rPr>
              <w:t>号）</w:t>
            </w:r>
            <w:r>
              <w:rPr>
                <w:b/>
                <w:color w:val="000000" w:themeColor="text1"/>
                <w:spacing w:val="-8"/>
                <w:sz w:val="21"/>
                <w14:textFill>
                  <w14:solidFill>
                    <w14:schemeClr w14:val="tx1"/>
                  </w14:solidFill>
                </w14:textFill>
              </w:rPr>
              <w:t xml:space="preserve">表面涂装行业 </w:t>
            </w:r>
            <w:r>
              <w:rPr>
                <w:rFonts w:ascii="Times New Roman" w:eastAsia="Times New Roman"/>
                <w:b/>
                <w:color w:val="000000" w:themeColor="text1"/>
                <w:sz w:val="21"/>
                <w14:textFill>
                  <w14:solidFill>
                    <w14:schemeClr w14:val="tx1"/>
                  </w14:solidFill>
                </w14:textFill>
              </w:rPr>
              <w:t>VOCs</w:t>
            </w:r>
            <w:r>
              <w:rPr>
                <w:rFonts w:ascii="Times New Roman" w:eastAsia="Times New Roman"/>
                <w:b/>
                <w:color w:val="000000" w:themeColor="text1"/>
                <w:spacing w:val="-4"/>
                <w:sz w:val="21"/>
                <w14:textFill>
                  <w14:solidFill>
                    <w14:schemeClr w14:val="tx1"/>
                  </w14:solidFill>
                </w14:textFill>
              </w:rPr>
              <w:t xml:space="preserve"> </w:t>
            </w:r>
            <w:r>
              <w:rPr>
                <w:b/>
                <w:color w:val="000000" w:themeColor="text1"/>
                <w:spacing w:val="-2"/>
                <w:sz w:val="21"/>
                <w14:textFill>
                  <w14:solidFill>
                    <w14:schemeClr w14:val="tx1"/>
                  </w14:solidFill>
                </w14:textFill>
              </w:rPr>
              <w:t>治理指引相符性分析</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626"/>
              <w:gridCol w:w="3164"/>
              <w:gridCol w:w="529"/>
              <w:gridCol w:w="2306"/>
              <w:gridCol w:w="729"/>
            </w:tblGrid>
            <w:tr w14:paraId="07F4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tcMar>
                    <w:top w:w="0" w:type="dxa"/>
                    <w:left w:w="0" w:type="dxa"/>
                    <w:bottom w:w="0" w:type="dxa"/>
                    <w:right w:w="0" w:type="dxa"/>
                  </w:tcMar>
                  <w:vAlign w:val="center"/>
                </w:tcPr>
                <w:p w14:paraId="73C518B8">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控制要求</w:t>
                  </w:r>
                </w:p>
              </w:tc>
              <w:tc>
                <w:tcPr>
                  <w:tcW w:w="399" w:type="pct"/>
                  <w:tcMar>
                    <w:top w:w="0" w:type="dxa"/>
                    <w:left w:w="0" w:type="dxa"/>
                    <w:bottom w:w="0" w:type="dxa"/>
                    <w:right w:w="0" w:type="dxa"/>
                  </w:tcMar>
                  <w:vAlign w:val="center"/>
                </w:tcPr>
                <w:p w14:paraId="158E50E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环节</w:t>
                  </w:r>
                </w:p>
              </w:tc>
              <w:tc>
                <w:tcPr>
                  <w:tcW w:w="2017" w:type="pct"/>
                  <w:tcMar>
                    <w:top w:w="0" w:type="dxa"/>
                    <w:left w:w="0" w:type="dxa"/>
                    <w:bottom w:w="0" w:type="dxa"/>
                    <w:right w:w="0" w:type="dxa"/>
                  </w:tcMar>
                  <w:vAlign w:val="center"/>
                </w:tcPr>
                <w:p w14:paraId="23CF6AAD">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内容</w:t>
                  </w:r>
                </w:p>
              </w:tc>
              <w:tc>
                <w:tcPr>
                  <w:tcW w:w="337" w:type="pct"/>
                  <w:tcMar>
                    <w:top w:w="0" w:type="dxa"/>
                    <w:left w:w="0" w:type="dxa"/>
                    <w:bottom w:w="0" w:type="dxa"/>
                    <w:right w:w="0" w:type="dxa"/>
                  </w:tcMar>
                  <w:vAlign w:val="center"/>
                </w:tcPr>
                <w:p w14:paraId="598DF9BD">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实施要求</w:t>
                  </w:r>
                </w:p>
              </w:tc>
              <w:tc>
                <w:tcPr>
                  <w:tcW w:w="1470" w:type="pct"/>
                  <w:tcMar>
                    <w:top w:w="0" w:type="dxa"/>
                    <w:left w:w="0" w:type="dxa"/>
                    <w:bottom w:w="0" w:type="dxa"/>
                    <w:right w:w="0" w:type="dxa"/>
                  </w:tcMar>
                  <w:vAlign w:val="center"/>
                </w:tcPr>
                <w:p w14:paraId="4E4A4C5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相符性分析</w:t>
                  </w:r>
                </w:p>
              </w:tc>
              <w:tc>
                <w:tcPr>
                  <w:tcW w:w="464" w:type="pct"/>
                  <w:tcMar>
                    <w:top w:w="0" w:type="dxa"/>
                    <w:left w:w="0" w:type="dxa"/>
                    <w:bottom w:w="0" w:type="dxa"/>
                    <w:right w:w="0" w:type="dxa"/>
                  </w:tcMar>
                  <w:vAlign w:val="center"/>
                </w:tcPr>
                <w:p w14:paraId="5AE4CC29">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符合性</w:t>
                  </w:r>
                </w:p>
              </w:tc>
            </w:tr>
            <w:tr w14:paraId="6B22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000" w:type="pct"/>
                  <w:gridSpan w:val="6"/>
                  <w:tcMar>
                    <w:top w:w="0" w:type="dxa"/>
                    <w:left w:w="0" w:type="dxa"/>
                    <w:bottom w:w="0" w:type="dxa"/>
                    <w:right w:w="0" w:type="dxa"/>
                  </w:tcMar>
                  <w:vAlign w:val="center"/>
                </w:tcPr>
                <w:p w14:paraId="6EA389C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表面涂装行业VOCs 治理指引</w:t>
                  </w:r>
                </w:p>
              </w:tc>
            </w:tr>
            <w:tr w14:paraId="5EE4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restart"/>
                  <w:tcMar>
                    <w:top w:w="0" w:type="dxa"/>
                    <w:left w:w="0" w:type="dxa"/>
                    <w:bottom w:w="0" w:type="dxa"/>
                    <w:right w:w="0" w:type="dxa"/>
                  </w:tcMar>
                  <w:vAlign w:val="center"/>
                </w:tcPr>
                <w:p w14:paraId="1F81A8D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源头削减</w:t>
                  </w:r>
                </w:p>
              </w:tc>
              <w:tc>
                <w:tcPr>
                  <w:tcW w:w="399" w:type="pct"/>
                  <w:tcMar>
                    <w:top w:w="0" w:type="dxa"/>
                    <w:left w:w="0" w:type="dxa"/>
                    <w:bottom w:w="0" w:type="dxa"/>
                    <w:right w:w="0" w:type="dxa"/>
                  </w:tcMar>
                  <w:vAlign w:val="center"/>
                </w:tcPr>
                <w:p w14:paraId="3B78F6B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凹</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印</w:t>
                  </w:r>
                </w:p>
              </w:tc>
              <w:tc>
                <w:tcPr>
                  <w:tcW w:w="2017" w:type="pct"/>
                  <w:tcMar>
                    <w:top w:w="0" w:type="dxa"/>
                    <w:left w:w="0" w:type="dxa"/>
                    <w:bottom w:w="0" w:type="dxa"/>
                    <w:right w:w="0" w:type="dxa"/>
                  </w:tcMar>
                  <w:vAlign w:val="center"/>
                </w:tcPr>
                <w:p w14:paraId="64AF3C2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溶剂型凹印油墨，VOCs≤75%。</w:t>
                  </w:r>
                </w:p>
                <w:p w14:paraId="384D202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用于吸收性承印物的水性凹印油墨，VOCs≤15%。</w:t>
                  </w:r>
                </w:p>
                <w:p w14:paraId="4B0AD19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用于非吸收性承印物的水性凹印油墨，VOCs≤30%。</w:t>
                  </w:r>
                </w:p>
                <w:p w14:paraId="04B7BD1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能量固化油墨(凹印油墨)，VOCs≤10%。</w:t>
                  </w:r>
                </w:p>
              </w:tc>
              <w:tc>
                <w:tcPr>
                  <w:tcW w:w="337" w:type="pct"/>
                  <w:tcMar>
                    <w:top w:w="0" w:type="dxa"/>
                    <w:left w:w="0" w:type="dxa"/>
                    <w:bottom w:w="0" w:type="dxa"/>
                    <w:right w:w="0" w:type="dxa"/>
                  </w:tcMar>
                  <w:vAlign w:val="center"/>
                </w:tcPr>
                <w:p w14:paraId="64DAA89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1F98682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本项目油墨属于溶剂型移印油墨，挥发性有机物含量为66.7%，符合75%要求</w:t>
                  </w:r>
                </w:p>
              </w:tc>
              <w:tc>
                <w:tcPr>
                  <w:tcW w:w="464" w:type="pct"/>
                  <w:tcMar>
                    <w:top w:w="0" w:type="dxa"/>
                    <w:left w:w="0" w:type="dxa"/>
                    <w:bottom w:w="0" w:type="dxa"/>
                    <w:right w:w="0" w:type="dxa"/>
                  </w:tcMar>
                  <w:vAlign w:val="center"/>
                </w:tcPr>
                <w:p w14:paraId="4E83D6D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3687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vMerge w:val="continue"/>
                  <w:tcMar>
                    <w:top w:w="0" w:type="dxa"/>
                    <w:left w:w="0" w:type="dxa"/>
                    <w:bottom w:w="0" w:type="dxa"/>
                    <w:right w:w="0" w:type="dxa"/>
                  </w:tcMar>
                  <w:vAlign w:val="center"/>
                </w:tcPr>
                <w:p w14:paraId="0864F0A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tcMar>
                    <w:top w:w="0" w:type="dxa"/>
                    <w:left w:w="0" w:type="dxa"/>
                    <w:bottom w:w="0" w:type="dxa"/>
                    <w:right w:w="0" w:type="dxa"/>
                  </w:tcMar>
                  <w:vAlign w:val="center"/>
                </w:tcPr>
                <w:p w14:paraId="2BF36A1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清洗剂</w:t>
                  </w:r>
                </w:p>
              </w:tc>
              <w:tc>
                <w:tcPr>
                  <w:tcW w:w="2017" w:type="pct"/>
                  <w:tcMar>
                    <w:top w:w="0" w:type="dxa"/>
                    <w:left w:w="0" w:type="dxa"/>
                    <w:bottom w:w="0" w:type="dxa"/>
                    <w:right w:w="0" w:type="dxa"/>
                  </w:tcMar>
                  <w:vAlign w:val="center"/>
                </w:tcPr>
                <w:p w14:paraId="3D402B3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水基清洗剂，VOCs≤50g/L</w:t>
                  </w:r>
                </w:p>
                <w:p w14:paraId="59FF645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半水基清洗剂，VOCs≤300g/L</w:t>
                  </w:r>
                </w:p>
                <w:p w14:paraId="1F2F741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有机溶剂清洗剂，VOCs≤900g/L</w:t>
                  </w:r>
                </w:p>
                <w:p w14:paraId="52191C1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使用低(无)挥发和高沸点的清洁剂</w:t>
                  </w:r>
                </w:p>
              </w:tc>
              <w:tc>
                <w:tcPr>
                  <w:tcW w:w="337" w:type="pct"/>
                  <w:tcMar>
                    <w:top w:w="0" w:type="dxa"/>
                    <w:left w:w="0" w:type="dxa"/>
                    <w:bottom w:w="0" w:type="dxa"/>
                    <w:right w:w="0" w:type="dxa"/>
                  </w:tcMar>
                  <w:vAlign w:val="center"/>
                </w:tcPr>
                <w:p w14:paraId="114A3FC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127BE8A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项目使用半水基清洗剂，其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VOC含量为 </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g/L</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满足要求</w:t>
                  </w:r>
                </w:p>
              </w:tc>
              <w:tc>
                <w:tcPr>
                  <w:tcW w:w="464" w:type="pct"/>
                  <w:tcMar>
                    <w:top w:w="0" w:type="dxa"/>
                    <w:left w:w="0" w:type="dxa"/>
                    <w:bottom w:w="0" w:type="dxa"/>
                    <w:right w:w="0" w:type="dxa"/>
                  </w:tcMar>
                  <w:vAlign w:val="center"/>
                </w:tcPr>
                <w:p w14:paraId="45A89A6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25AF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tcMar>
                    <w:top w:w="0" w:type="dxa"/>
                    <w:left w:w="0" w:type="dxa"/>
                    <w:bottom w:w="0" w:type="dxa"/>
                    <w:right w:w="0" w:type="dxa"/>
                  </w:tcMar>
                  <w:vAlign w:val="center"/>
                </w:tcPr>
                <w:p w14:paraId="289B94B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过程控制</w:t>
                  </w:r>
                </w:p>
              </w:tc>
              <w:tc>
                <w:tcPr>
                  <w:tcW w:w="399" w:type="pct"/>
                  <w:tcMar>
                    <w:top w:w="0" w:type="dxa"/>
                    <w:left w:w="0" w:type="dxa"/>
                    <w:bottom w:w="0" w:type="dxa"/>
                    <w:right w:w="0" w:type="dxa"/>
                  </w:tcMar>
                  <w:vAlign w:val="center"/>
                </w:tcPr>
                <w:p w14:paraId="2E907A5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所有印刷生产类型</w:t>
                  </w:r>
                </w:p>
              </w:tc>
              <w:tc>
                <w:tcPr>
                  <w:tcW w:w="2017" w:type="pct"/>
                  <w:tcMar>
                    <w:top w:w="0" w:type="dxa"/>
                    <w:left w:w="0" w:type="dxa"/>
                    <w:bottom w:w="0" w:type="dxa"/>
                    <w:right w:w="0" w:type="dxa"/>
                  </w:tcMar>
                  <w:vAlign w:val="center"/>
                </w:tcPr>
                <w:p w14:paraId="1EE6582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油墨、粘胶剂、清洗剂等含VOCs原辅材料存储、转移、放置密闭。</w:t>
                  </w:r>
                </w:p>
                <w:p w14:paraId="46E6252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调墨(胶)废气通过排气柜或集气罩收集。</w:t>
                  </w:r>
                </w:p>
                <w:p w14:paraId="3A09FE1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印刷、烘干、覆膜、复合等涉VOCs排风的环节排风收集，采用密闭收集，或设置集气罩、排风管道组成的排气系统。</w:t>
                  </w:r>
                </w:p>
                <w:p w14:paraId="0B8CFD1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使用溶剂型油墨、胶粘剂、涂料、光油、清洗剂等原辅材料的相关工序，采取整体或局部气</w:t>
                  </w:r>
                </w:p>
                <w:p w14:paraId="66B453B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废气收集系统应在负压下运行。</w:t>
                  </w:r>
                </w:p>
                <w:p w14:paraId="11EBE28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集中清洗应在密闭装置或空间内进行，清洗工序产生的废气应通过废气收集系统收集。</w:t>
                  </w:r>
                </w:p>
                <w:p w14:paraId="7279F97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印刷机检维修和清洗时应及时清墨，油墨回收。</w:t>
                  </w:r>
                </w:p>
              </w:tc>
              <w:tc>
                <w:tcPr>
                  <w:tcW w:w="337" w:type="pct"/>
                  <w:tcMar>
                    <w:top w:w="0" w:type="dxa"/>
                    <w:left w:w="0" w:type="dxa"/>
                    <w:bottom w:w="0" w:type="dxa"/>
                    <w:right w:w="0" w:type="dxa"/>
                  </w:tcMar>
                  <w:vAlign w:val="center"/>
                </w:tcPr>
                <w:p w14:paraId="49CA696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2495129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、清洗剂等用密闭包装保存，所有原辅材料、包装容器均放置室内，符合要求。</w:t>
                  </w:r>
                </w:p>
              </w:tc>
              <w:tc>
                <w:tcPr>
                  <w:tcW w:w="464" w:type="pct"/>
                  <w:tcMar>
                    <w:top w:w="0" w:type="dxa"/>
                    <w:left w:w="0" w:type="dxa"/>
                    <w:bottom w:w="0" w:type="dxa"/>
                    <w:right w:w="0" w:type="dxa"/>
                  </w:tcMar>
                  <w:vAlign w:val="center"/>
                </w:tcPr>
                <w:p w14:paraId="700B37C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FA6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restart"/>
                  <w:tcMar>
                    <w:top w:w="0" w:type="dxa"/>
                    <w:left w:w="0" w:type="dxa"/>
                    <w:bottom w:w="0" w:type="dxa"/>
                    <w:right w:w="0" w:type="dxa"/>
                  </w:tcMar>
                  <w:vAlign w:val="center"/>
                </w:tcPr>
                <w:p w14:paraId="301707D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末端治理</w:t>
                  </w:r>
                </w:p>
              </w:tc>
              <w:tc>
                <w:tcPr>
                  <w:tcW w:w="399" w:type="pct"/>
                  <w:tcMar>
                    <w:top w:w="0" w:type="dxa"/>
                    <w:left w:w="0" w:type="dxa"/>
                    <w:bottom w:w="0" w:type="dxa"/>
                    <w:right w:w="0" w:type="dxa"/>
                  </w:tcMar>
                  <w:vAlign w:val="center"/>
                </w:tcPr>
                <w:p w14:paraId="082F6CE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排放水平</w:t>
                  </w:r>
                </w:p>
              </w:tc>
              <w:tc>
                <w:tcPr>
                  <w:tcW w:w="2017" w:type="pct"/>
                  <w:tcMar>
                    <w:top w:w="0" w:type="dxa"/>
                    <w:left w:w="0" w:type="dxa"/>
                    <w:bottom w:w="0" w:type="dxa"/>
                    <w:right w:w="0" w:type="dxa"/>
                  </w:tcMar>
                  <w:vAlign w:val="center"/>
                </w:tcPr>
                <w:p w14:paraId="400A874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有机废气排气筒排放浓度符合《</w:t>
                  </w:r>
                  <w:r>
                    <w:rPr>
                      <w:rFonts w:hint="eastAsia" w:cs="Times New Roman"/>
                      <w:b w:val="0"/>
                      <w:bCs w:val="0"/>
                      <w:color w:val="000000" w:themeColor="text1"/>
                      <w:sz w:val="21"/>
                      <w:szCs w:val="21"/>
                      <w:highlight w:val="none"/>
                      <w:lang w:eastAsia="zh-CN"/>
                      <w14:textFill>
                        <w14:solidFill>
                          <w14:schemeClr w14:val="tx1"/>
                        </w14:solidFill>
                      </w14:textFill>
                    </w:rPr>
                    <w:t>印刷行业挥发性有机化合物排放标准</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B44815-2010）第Ⅱ时段排放限值要求，若国家和我省出台并实施适用于包装印刷业的大气污染物排放标准，则应满足相应排放标准要求；车间或生产设施排气中NMHC初始排放速率≥3kg/h时，建设VOCs处理设施且处理效率≥80%。</w:t>
                  </w:r>
                </w:p>
                <w:p w14:paraId="5B7C7F4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2、厂区内无组织排放监控点NMHC的小时平均浓度值不超过6mg/m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，任意一次浓度值</w:t>
                  </w:r>
                </w:p>
                <w:p w14:paraId="0C681C5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不超过20mg/m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337" w:type="pct"/>
                  <w:tcMar>
                    <w:top w:w="0" w:type="dxa"/>
                    <w:left w:w="0" w:type="dxa"/>
                    <w:bottom w:w="0" w:type="dxa"/>
                    <w:right w:w="0" w:type="dxa"/>
                  </w:tcMar>
                  <w:vAlign w:val="center"/>
                </w:tcPr>
                <w:p w14:paraId="045D1BE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55D24BE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本项目废气通过</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集气罩</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进行废气收集后经过</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套“二级活性炭吸附装置”处理后通过</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 排气筒 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 排放</w:t>
                  </w:r>
                </w:p>
              </w:tc>
              <w:tc>
                <w:tcPr>
                  <w:tcW w:w="464" w:type="pct"/>
                  <w:tcMar>
                    <w:top w:w="0" w:type="dxa"/>
                    <w:left w:w="0" w:type="dxa"/>
                    <w:bottom w:w="0" w:type="dxa"/>
                    <w:right w:w="0" w:type="dxa"/>
                  </w:tcMar>
                  <w:vAlign w:val="center"/>
                </w:tcPr>
                <w:p w14:paraId="7A0E0DB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0B8E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12" w:type="pct"/>
                  <w:vMerge w:val="continue"/>
                  <w:tcMar>
                    <w:top w:w="0" w:type="dxa"/>
                    <w:left w:w="0" w:type="dxa"/>
                    <w:bottom w:w="0" w:type="dxa"/>
                    <w:right w:w="0" w:type="dxa"/>
                  </w:tcMar>
                  <w:vAlign w:val="center"/>
                </w:tcPr>
                <w:p w14:paraId="43AC689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restart"/>
                  <w:tcMar>
                    <w:top w:w="0" w:type="dxa"/>
                    <w:left w:w="0" w:type="dxa"/>
                    <w:bottom w:w="0" w:type="dxa"/>
                    <w:right w:w="0" w:type="dxa"/>
                  </w:tcMar>
                  <w:vAlign w:val="center"/>
                </w:tcPr>
                <w:p w14:paraId="415E91B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治理设施设计与运行管理</w:t>
                  </w:r>
                </w:p>
              </w:tc>
              <w:tc>
                <w:tcPr>
                  <w:tcW w:w="2017" w:type="pct"/>
                  <w:tcMar>
                    <w:top w:w="0" w:type="dxa"/>
                    <w:left w:w="0" w:type="dxa"/>
                    <w:bottom w:w="0" w:type="dxa"/>
                    <w:right w:w="0" w:type="dxa"/>
                  </w:tcMar>
                  <w:vAlign w:val="center"/>
                </w:tcPr>
                <w:p w14:paraId="2F9867F6">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密闭排气系统、VOCs污染控制设备应与工艺设施同步运转。</w:t>
                  </w:r>
                </w:p>
              </w:tc>
              <w:tc>
                <w:tcPr>
                  <w:tcW w:w="337" w:type="pct"/>
                  <w:tcMar>
                    <w:top w:w="0" w:type="dxa"/>
                    <w:left w:w="0" w:type="dxa"/>
                    <w:bottom w:w="0" w:type="dxa"/>
                    <w:right w:w="0" w:type="dxa"/>
                  </w:tcMar>
                  <w:vAlign w:val="center"/>
                </w:tcPr>
                <w:p w14:paraId="0A605E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3895D4D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本项目废气治理设施工艺为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套“二级活性炭吸附装置”，其中活性炭吸附床按照规范要求设计和装填，根据运行情况进行活性炭及时更</w:t>
                  </w:r>
                </w:p>
                <w:p w14:paraId="5286C29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换。</w:t>
                  </w:r>
                </w:p>
              </w:tc>
              <w:tc>
                <w:tcPr>
                  <w:tcW w:w="464" w:type="pct"/>
                  <w:tcMar>
                    <w:top w:w="0" w:type="dxa"/>
                    <w:left w:w="0" w:type="dxa"/>
                    <w:bottom w:w="0" w:type="dxa"/>
                    <w:right w:w="0" w:type="dxa"/>
                  </w:tcMar>
                  <w:vAlign w:val="center"/>
                </w:tcPr>
                <w:p w14:paraId="45B2D6F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DEC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continue"/>
                  <w:tcMar>
                    <w:top w:w="0" w:type="dxa"/>
                    <w:left w:w="0" w:type="dxa"/>
                    <w:bottom w:w="0" w:type="dxa"/>
                    <w:right w:w="0" w:type="dxa"/>
                  </w:tcMar>
                  <w:vAlign w:val="center"/>
                </w:tcPr>
                <w:p w14:paraId="0230725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5DA4660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74A8ACBB">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VOCs治理设施发生故障或检修时，对应的生产工艺设备应停止运行，待检修完毕后同步投 入使用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337" w:type="pct"/>
                  <w:tcMar>
                    <w:top w:w="0" w:type="dxa"/>
                    <w:left w:w="0" w:type="dxa"/>
                    <w:bottom w:w="0" w:type="dxa"/>
                    <w:right w:w="0" w:type="dxa"/>
                  </w:tcMar>
                  <w:vAlign w:val="center"/>
                </w:tcPr>
                <w:p w14:paraId="56B3137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tcMar>
                    <w:top w:w="0" w:type="dxa"/>
                    <w:left w:w="0" w:type="dxa"/>
                    <w:bottom w:w="0" w:type="dxa"/>
                    <w:right w:w="0" w:type="dxa"/>
                  </w:tcMar>
                  <w:vAlign w:val="center"/>
                </w:tcPr>
                <w:p w14:paraId="2C04FEA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本项目生产设备和环保设施“同启同停”，当出现治理设施故障时，企业立即停止生产并待检修</w:t>
                  </w:r>
                </w:p>
                <w:p w14:paraId="0E10865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完毕后同步投入使用。</w:t>
                  </w:r>
                </w:p>
              </w:tc>
              <w:tc>
                <w:tcPr>
                  <w:tcW w:w="464" w:type="pct"/>
                  <w:tcMar>
                    <w:top w:w="0" w:type="dxa"/>
                    <w:left w:w="0" w:type="dxa"/>
                    <w:bottom w:w="0" w:type="dxa"/>
                    <w:right w:w="0" w:type="dxa"/>
                  </w:tcMar>
                  <w:vAlign w:val="center"/>
                </w:tcPr>
                <w:p w14:paraId="7C9CA40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87D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restart"/>
                  <w:tcMar>
                    <w:top w:w="0" w:type="dxa"/>
                    <w:left w:w="0" w:type="dxa"/>
                    <w:bottom w:w="0" w:type="dxa"/>
                    <w:right w:w="0" w:type="dxa"/>
                  </w:tcMar>
                  <w:vAlign w:val="center"/>
                </w:tcPr>
                <w:p w14:paraId="7FD7040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环境管理</w:t>
                  </w:r>
                </w:p>
              </w:tc>
              <w:tc>
                <w:tcPr>
                  <w:tcW w:w="399" w:type="pct"/>
                  <w:vMerge w:val="restart"/>
                  <w:tcMar>
                    <w:top w:w="0" w:type="dxa"/>
                    <w:left w:w="0" w:type="dxa"/>
                    <w:bottom w:w="0" w:type="dxa"/>
                    <w:right w:w="0" w:type="dxa"/>
                  </w:tcMar>
                  <w:vAlign w:val="center"/>
                </w:tcPr>
                <w:p w14:paraId="1271F2C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管理台账</w:t>
                  </w:r>
                </w:p>
              </w:tc>
              <w:tc>
                <w:tcPr>
                  <w:tcW w:w="2017" w:type="pct"/>
                  <w:tcMar>
                    <w:top w:w="0" w:type="dxa"/>
                    <w:left w:w="0" w:type="dxa"/>
                    <w:bottom w:w="0" w:type="dxa"/>
                    <w:right w:w="0" w:type="dxa"/>
                  </w:tcMar>
                  <w:vAlign w:val="center"/>
                </w:tcPr>
                <w:p w14:paraId="7350F24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建立含 VOCs 原辅材料台 账，记录含 VOCs 原辅材料的名称及其 VOCs 含量、采量、使用量、库存量、含VOCs 原辅材料回收方式及回收量。</w:t>
                  </w:r>
                </w:p>
              </w:tc>
              <w:tc>
                <w:tcPr>
                  <w:tcW w:w="337" w:type="pct"/>
                  <w:tcMar>
                    <w:top w:w="0" w:type="dxa"/>
                    <w:left w:w="0" w:type="dxa"/>
                    <w:bottom w:w="0" w:type="dxa"/>
                    <w:right w:w="0" w:type="dxa"/>
                  </w:tcMar>
                  <w:vAlign w:val="center"/>
                </w:tcPr>
                <w:p w14:paraId="6CF61DF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restart"/>
                  <w:tcMar>
                    <w:top w:w="0" w:type="dxa"/>
                    <w:left w:w="0" w:type="dxa"/>
                    <w:bottom w:w="0" w:type="dxa"/>
                    <w:right w:w="0" w:type="dxa"/>
                  </w:tcMar>
                  <w:vAlign w:val="center"/>
                </w:tcPr>
                <w:p w14:paraId="27D84D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企业建成后，按照排污许可证的要求完善原辅材料台账、设备运行台账、废气设施运行台账、固废危废台账 等，按照规范安排人员每天进行记录。</w:t>
                  </w:r>
                </w:p>
              </w:tc>
              <w:tc>
                <w:tcPr>
                  <w:tcW w:w="464" w:type="pct"/>
                  <w:tcMar>
                    <w:top w:w="0" w:type="dxa"/>
                    <w:left w:w="0" w:type="dxa"/>
                    <w:bottom w:w="0" w:type="dxa"/>
                    <w:right w:w="0" w:type="dxa"/>
                  </w:tcMar>
                  <w:vAlign w:val="center"/>
                </w:tcPr>
                <w:p w14:paraId="0175594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E00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12" w:type="pct"/>
                  <w:vMerge w:val="continue"/>
                  <w:tcMar>
                    <w:top w:w="0" w:type="dxa"/>
                    <w:left w:w="0" w:type="dxa"/>
                    <w:bottom w:w="0" w:type="dxa"/>
                    <w:right w:w="0" w:type="dxa"/>
                  </w:tcMar>
                  <w:vAlign w:val="center"/>
                </w:tcPr>
                <w:p w14:paraId="0A91D74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7504562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36CE0C5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建立废气收集处理设施台</w:t>
                  </w:r>
                </w:p>
                <w:p w14:paraId="65785C1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账，记录废气处理设施进出口的监测数据（废气量、浓度、温度、含氧量等）、废气收集与处理设施关键参 数、废气处理设施相关耗材</w:t>
                  </w:r>
                </w:p>
                <w:p w14:paraId="2B4B39B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（吸收剂、吸附剂、催化剂等</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购买和处理记录。</w:t>
                  </w:r>
                </w:p>
              </w:tc>
              <w:tc>
                <w:tcPr>
                  <w:tcW w:w="337" w:type="pct"/>
                  <w:tcMar>
                    <w:top w:w="0" w:type="dxa"/>
                    <w:left w:w="0" w:type="dxa"/>
                    <w:bottom w:w="0" w:type="dxa"/>
                    <w:right w:w="0" w:type="dxa"/>
                  </w:tcMar>
                  <w:vAlign w:val="center"/>
                </w:tcPr>
                <w:p w14:paraId="4724538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6164083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464" w:type="pct"/>
                  <w:tcMar>
                    <w:top w:w="0" w:type="dxa"/>
                    <w:left w:w="0" w:type="dxa"/>
                    <w:bottom w:w="0" w:type="dxa"/>
                    <w:right w:w="0" w:type="dxa"/>
                  </w:tcMar>
                  <w:vAlign w:val="center"/>
                </w:tcPr>
                <w:p w14:paraId="58551EE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838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312" w:type="pct"/>
                  <w:vMerge w:val="continue"/>
                  <w:tcMar>
                    <w:top w:w="0" w:type="dxa"/>
                    <w:left w:w="0" w:type="dxa"/>
                    <w:bottom w:w="0" w:type="dxa"/>
                    <w:right w:w="0" w:type="dxa"/>
                  </w:tcMar>
                  <w:vAlign w:val="center"/>
                </w:tcPr>
                <w:p w14:paraId="22A3EB0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4308173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017" w:type="pct"/>
                  <w:tcMar>
                    <w:top w:w="0" w:type="dxa"/>
                    <w:left w:w="0" w:type="dxa"/>
                    <w:bottom w:w="0" w:type="dxa"/>
                    <w:right w:w="0" w:type="dxa"/>
                  </w:tcMar>
                  <w:vAlign w:val="center"/>
                </w:tcPr>
                <w:p w14:paraId="20E9221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建立危废台账，整理危废处置合同、转移联单及危废处理方资质佐证材料。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台账保存期限不少于3年。</w:t>
                  </w:r>
                </w:p>
              </w:tc>
              <w:tc>
                <w:tcPr>
                  <w:tcW w:w="337" w:type="pct"/>
                  <w:tcMar>
                    <w:top w:w="0" w:type="dxa"/>
                    <w:left w:w="0" w:type="dxa"/>
                    <w:bottom w:w="0" w:type="dxa"/>
                    <w:right w:w="0" w:type="dxa"/>
                  </w:tcMar>
                  <w:vAlign w:val="center"/>
                </w:tcPr>
                <w:p w14:paraId="44078E9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5D621A5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464" w:type="pct"/>
                  <w:tcMar>
                    <w:top w:w="0" w:type="dxa"/>
                    <w:left w:w="0" w:type="dxa"/>
                    <w:bottom w:w="0" w:type="dxa"/>
                    <w:right w:w="0" w:type="dxa"/>
                  </w:tcMar>
                  <w:vAlign w:val="center"/>
                </w:tcPr>
                <w:p w14:paraId="39A62D5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B09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12" w:type="pct"/>
                  <w:vMerge w:val="continue"/>
                  <w:tcMar>
                    <w:top w:w="0" w:type="dxa"/>
                    <w:left w:w="0" w:type="dxa"/>
                    <w:bottom w:w="0" w:type="dxa"/>
                    <w:right w:w="0" w:type="dxa"/>
                  </w:tcMar>
                  <w:vAlign w:val="center"/>
                </w:tcPr>
                <w:p w14:paraId="5A40574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restart"/>
                  <w:tcMar>
                    <w:top w:w="0" w:type="dxa"/>
                    <w:left w:w="0" w:type="dxa"/>
                    <w:bottom w:w="0" w:type="dxa"/>
                    <w:right w:w="0" w:type="dxa"/>
                  </w:tcMar>
                  <w:vAlign w:val="center"/>
                </w:tcPr>
                <w:p w14:paraId="41EAE9F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自行监测</w:t>
                  </w:r>
                </w:p>
              </w:tc>
              <w:tc>
                <w:tcPr>
                  <w:tcW w:w="2017" w:type="pct"/>
                  <w:tcMar>
                    <w:top w:w="0" w:type="dxa"/>
                    <w:left w:w="0" w:type="dxa"/>
                    <w:bottom w:w="0" w:type="dxa"/>
                    <w:right w:w="0" w:type="dxa"/>
                  </w:tcMar>
                  <w:vAlign w:val="center"/>
                </w:tcPr>
                <w:p w14:paraId="008CE78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印刷设备、烘干箱(间)设备、复合、涂布设备通过废气捕集装置后废气排气筒，重点管理类自动监测，简化管理类一年一次。</w:t>
                  </w:r>
                </w:p>
              </w:tc>
              <w:tc>
                <w:tcPr>
                  <w:tcW w:w="337" w:type="pct"/>
                  <w:tcMar>
                    <w:top w:w="0" w:type="dxa"/>
                    <w:left w:w="0" w:type="dxa"/>
                    <w:bottom w:w="0" w:type="dxa"/>
                    <w:right w:w="0" w:type="dxa"/>
                  </w:tcMar>
                  <w:vAlign w:val="center"/>
                </w:tcPr>
                <w:p w14:paraId="79716D2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restart"/>
                  <w:tcMar>
                    <w:top w:w="0" w:type="dxa"/>
                    <w:left w:w="0" w:type="dxa"/>
                    <w:bottom w:w="0" w:type="dxa"/>
                    <w:right w:w="0" w:type="dxa"/>
                  </w:tcMar>
                  <w:vAlign w:val="center"/>
                </w:tcPr>
                <w:p w14:paraId="65F3491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企业建成后，按照排污许可证的要求定期进行厂区的有组织和无组织废气检测。</w:t>
                  </w:r>
                </w:p>
              </w:tc>
              <w:tc>
                <w:tcPr>
                  <w:tcW w:w="464" w:type="pct"/>
                  <w:tcMar>
                    <w:top w:w="0" w:type="dxa"/>
                    <w:left w:w="0" w:type="dxa"/>
                    <w:bottom w:w="0" w:type="dxa"/>
                    <w:right w:w="0" w:type="dxa"/>
                  </w:tcMar>
                  <w:vAlign w:val="center"/>
                </w:tcPr>
                <w:p w14:paraId="3D288BF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AB2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2013036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454FF33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017" w:type="pct"/>
                  <w:shd w:val="clear" w:color="auto" w:fill="auto"/>
                  <w:tcMar>
                    <w:top w:w="0" w:type="dxa"/>
                    <w:left w:w="0" w:type="dxa"/>
                    <w:bottom w:w="0" w:type="dxa"/>
                    <w:right w:w="0" w:type="dxa"/>
                  </w:tcMar>
                  <w:vAlign w:val="center"/>
                </w:tcPr>
                <w:p w14:paraId="52D9B670">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其他生产废气排气筒，一年一次</w:t>
                  </w:r>
                </w:p>
              </w:tc>
              <w:tc>
                <w:tcPr>
                  <w:tcW w:w="337" w:type="pct"/>
                  <w:shd w:val="clear" w:color="auto" w:fill="auto"/>
                  <w:tcMar>
                    <w:top w:w="0" w:type="dxa"/>
                    <w:left w:w="0" w:type="dxa"/>
                    <w:bottom w:w="0" w:type="dxa"/>
                    <w:right w:w="0" w:type="dxa"/>
                  </w:tcMar>
                  <w:vAlign w:val="center"/>
                </w:tcPr>
                <w:p w14:paraId="7123C404">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shd w:val="clear" w:color="auto" w:fill="auto"/>
                  <w:tcMar>
                    <w:top w:w="0" w:type="dxa"/>
                    <w:left w:w="0" w:type="dxa"/>
                    <w:bottom w:w="0" w:type="dxa"/>
                    <w:right w:w="0" w:type="dxa"/>
                  </w:tcMar>
                  <w:vAlign w:val="center"/>
                </w:tcPr>
                <w:p w14:paraId="79769315">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p>
              </w:tc>
              <w:tc>
                <w:tcPr>
                  <w:tcW w:w="464" w:type="pct"/>
                  <w:shd w:val="clear" w:color="auto" w:fill="auto"/>
                  <w:tcMar>
                    <w:top w:w="0" w:type="dxa"/>
                    <w:left w:w="0" w:type="dxa"/>
                    <w:bottom w:w="0" w:type="dxa"/>
                    <w:right w:w="0" w:type="dxa"/>
                  </w:tcMar>
                  <w:vAlign w:val="center"/>
                </w:tcPr>
                <w:p w14:paraId="034B937B">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823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3ED6A6A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vMerge w:val="continue"/>
                  <w:tcMar>
                    <w:top w:w="0" w:type="dxa"/>
                    <w:left w:w="0" w:type="dxa"/>
                    <w:bottom w:w="0" w:type="dxa"/>
                    <w:right w:w="0" w:type="dxa"/>
                  </w:tcMar>
                  <w:vAlign w:val="center"/>
                </w:tcPr>
                <w:p w14:paraId="60106C5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017" w:type="pct"/>
                  <w:shd w:val="clear" w:color="auto" w:fill="auto"/>
                  <w:tcMar>
                    <w:top w:w="0" w:type="dxa"/>
                    <w:left w:w="0" w:type="dxa"/>
                    <w:bottom w:w="0" w:type="dxa"/>
                    <w:right w:w="0" w:type="dxa"/>
                  </w:tcMar>
                  <w:vAlign w:val="center"/>
                </w:tcPr>
                <w:p w14:paraId="352DBD91">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无组织废气排放监测，一年一次</w:t>
                  </w:r>
                </w:p>
              </w:tc>
              <w:tc>
                <w:tcPr>
                  <w:tcW w:w="337" w:type="pct"/>
                  <w:shd w:val="clear" w:color="auto" w:fill="auto"/>
                  <w:tcMar>
                    <w:top w:w="0" w:type="dxa"/>
                    <w:left w:w="0" w:type="dxa"/>
                    <w:bottom w:w="0" w:type="dxa"/>
                    <w:right w:w="0" w:type="dxa"/>
                  </w:tcMar>
                  <w:vAlign w:val="center"/>
                </w:tcPr>
                <w:p w14:paraId="20A3F059">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vMerge w:val="continue"/>
                  <w:tcMar>
                    <w:top w:w="0" w:type="dxa"/>
                    <w:left w:w="0" w:type="dxa"/>
                    <w:bottom w:w="0" w:type="dxa"/>
                    <w:right w:w="0" w:type="dxa"/>
                  </w:tcMar>
                  <w:vAlign w:val="center"/>
                </w:tcPr>
                <w:p w14:paraId="05C53E8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64" w:type="pct"/>
                  <w:shd w:val="clear" w:color="auto" w:fill="auto"/>
                  <w:tcMar>
                    <w:top w:w="0" w:type="dxa"/>
                    <w:left w:w="0" w:type="dxa"/>
                    <w:bottom w:w="0" w:type="dxa"/>
                    <w:right w:w="0" w:type="dxa"/>
                  </w:tcMar>
                  <w:vAlign w:val="center"/>
                </w:tcPr>
                <w:p w14:paraId="49BE171B">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57D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12" w:type="pct"/>
                  <w:vMerge w:val="continue"/>
                  <w:tcMar>
                    <w:top w:w="0" w:type="dxa"/>
                    <w:left w:w="0" w:type="dxa"/>
                    <w:bottom w:w="0" w:type="dxa"/>
                    <w:right w:w="0" w:type="dxa"/>
                  </w:tcMar>
                  <w:vAlign w:val="center"/>
                </w:tcPr>
                <w:p w14:paraId="59ECB38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99" w:type="pct"/>
                  <w:tcMar>
                    <w:top w:w="0" w:type="dxa"/>
                    <w:left w:w="0" w:type="dxa"/>
                    <w:bottom w:w="0" w:type="dxa"/>
                    <w:right w:w="0" w:type="dxa"/>
                  </w:tcMar>
                  <w:vAlign w:val="center"/>
                </w:tcPr>
                <w:p w14:paraId="6DC98EE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危废管理</w:t>
                  </w:r>
                </w:p>
              </w:tc>
              <w:tc>
                <w:tcPr>
                  <w:tcW w:w="2017" w:type="pct"/>
                  <w:shd w:val="clear" w:color="auto" w:fill="auto"/>
                  <w:tcMar>
                    <w:top w:w="0" w:type="dxa"/>
                    <w:left w:w="0" w:type="dxa"/>
                    <w:bottom w:w="0" w:type="dxa"/>
                    <w:right w:w="0" w:type="dxa"/>
                  </w:tcMar>
                  <w:vAlign w:val="center"/>
                </w:tcPr>
                <w:p w14:paraId="61E4D32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盛装过VOCs物料的废包装容器应加盖密闭。</w:t>
                  </w:r>
                </w:p>
                <w:p w14:paraId="34B7787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废油墨、废清洗剂、废活性炭、废擦机布等含VOCs危险废物分类放置于贴有标识的容器或包装袋内，加盖、封口，及时转运、处置</w:t>
                  </w:r>
                </w:p>
              </w:tc>
              <w:tc>
                <w:tcPr>
                  <w:tcW w:w="337" w:type="pct"/>
                  <w:shd w:val="clear" w:color="auto" w:fill="auto"/>
                  <w:tcMar>
                    <w:top w:w="0" w:type="dxa"/>
                    <w:left w:w="0" w:type="dxa"/>
                    <w:bottom w:w="0" w:type="dxa"/>
                    <w:right w:w="0" w:type="dxa"/>
                  </w:tcMar>
                  <w:vAlign w:val="center"/>
                </w:tcPr>
                <w:p w14:paraId="06942FD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1470" w:type="pct"/>
                  <w:tcMar>
                    <w:top w:w="0" w:type="dxa"/>
                    <w:left w:w="0" w:type="dxa"/>
                    <w:bottom w:w="0" w:type="dxa"/>
                    <w:right w:w="0" w:type="dxa"/>
                  </w:tcMar>
                  <w:vAlign w:val="center"/>
                </w:tcPr>
                <w:p w14:paraId="0FBAC0D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企业按照固废类别分类收集分类存放，及时清运。</w:t>
                  </w:r>
                </w:p>
              </w:tc>
              <w:tc>
                <w:tcPr>
                  <w:tcW w:w="464" w:type="pct"/>
                  <w:shd w:val="clear" w:color="auto" w:fill="auto"/>
                  <w:tcMar>
                    <w:top w:w="0" w:type="dxa"/>
                    <w:left w:w="0" w:type="dxa"/>
                    <w:bottom w:w="0" w:type="dxa"/>
                    <w:right w:w="0" w:type="dxa"/>
                  </w:tcMar>
                  <w:vAlign w:val="center"/>
                </w:tcPr>
                <w:p w14:paraId="4CE3C08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6B11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11" w:type="pct"/>
                  <w:gridSpan w:val="2"/>
                  <w:tcMar>
                    <w:top w:w="0" w:type="dxa"/>
                    <w:left w:w="0" w:type="dxa"/>
                    <w:bottom w:w="0" w:type="dxa"/>
                    <w:right w:w="0" w:type="dxa"/>
                  </w:tcMar>
                  <w:vAlign w:val="center"/>
                </w:tcPr>
                <w:p w14:paraId="5F7056E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建设项目 VOCs 总量管理</w:t>
                  </w:r>
                </w:p>
              </w:tc>
              <w:tc>
                <w:tcPr>
                  <w:tcW w:w="2017" w:type="pct"/>
                  <w:shd w:val="clear" w:color="auto" w:fill="auto"/>
                  <w:tcMar>
                    <w:top w:w="0" w:type="dxa"/>
                    <w:left w:w="0" w:type="dxa"/>
                    <w:bottom w:w="0" w:type="dxa"/>
                    <w:right w:w="0" w:type="dxa"/>
                  </w:tcMar>
                  <w:vAlign w:val="center"/>
                </w:tcPr>
                <w:p w14:paraId="22C9F04C">
                  <w:pPr>
                    <w:spacing w:line="240" w:lineRule="auto"/>
                    <w:jc w:val="center"/>
                    <w:rPr>
                      <w:rFonts w:hint="default" w:ascii="Times New Roman" w:hAnsi="Times New Roman" w:eastAsia="宋体" w:cs="Times New Roman"/>
                      <w:b w:val="0"/>
                      <w:bCs w:val="0"/>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新、改、扩建项目应执行总量替代制度，明确VOCs 总量指标来源。</w:t>
                  </w:r>
                </w:p>
              </w:tc>
              <w:tc>
                <w:tcPr>
                  <w:tcW w:w="337" w:type="pct"/>
                  <w:shd w:val="clear" w:color="auto" w:fill="auto"/>
                  <w:tcMar>
                    <w:top w:w="0" w:type="dxa"/>
                    <w:left w:w="0" w:type="dxa"/>
                    <w:bottom w:w="0" w:type="dxa"/>
                    <w:right w:w="0" w:type="dxa"/>
                  </w:tcMar>
                  <w:vAlign w:val="center"/>
                </w:tcPr>
                <w:p w14:paraId="5BE6296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1470" w:type="pct"/>
                  <w:shd w:val="clear" w:color="auto" w:fill="auto"/>
                  <w:tcMar>
                    <w:top w:w="0" w:type="dxa"/>
                    <w:left w:w="0" w:type="dxa"/>
                    <w:bottom w:w="0" w:type="dxa"/>
                    <w:right w:w="0" w:type="dxa"/>
                  </w:tcMar>
                  <w:vAlign w:val="center"/>
                </w:tcPr>
                <w:p w14:paraId="6AC1CC8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项目执行总量替代制度，明确VOCs 总量指标来源</w:t>
                  </w:r>
                </w:p>
              </w:tc>
              <w:tc>
                <w:tcPr>
                  <w:tcW w:w="464" w:type="pct"/>
                  <w:shd w:val="clear" w:color="auto" w:fill="auto"/>
                  <w:tcMar>
                    <w:top w:w="0" w:type="dxa"/>
                    <w:left w:w="0" w:type="dxa"/>
                    <w:bottom w:w="0" w:type="dxa"/>
                    <w:right w:w="0" w:type="dxa"/>
                  </w:tcMar>
                  <w:vAlign w:val="center"/>
                </w:tcPr>
                <w:p w14:paraId="0B89FA9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bl>
          <w:p w14:paraId="17D34C2B">
            <w:pPr>
              <w:pStyle w:val="1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eastAsia="宋体"/>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与</w:t>
            </w:r>
            <w:r>
              <w:rPr>
                <w:b/>
                <w:color w:val="000000" w:themeColor="text1"/>
                <w:spacing w:val="-2"/>
                <w:sz w:val="21"/>
                <w14:textFill>
                  <w14:solidFill>
                    <w14:schemeClr w14:val="tx1"/>
                  </w14:solidFill>
                </w14:textFill>
              </w:rPr>
              <w:t>（粤环办</w:t>
            </w:r>
            <w:r>
              <w:rPr>
                <w:rFonts w:ascii="Times New Roman" w:eastAsia="Times New Roman"/>
                <w:b/>
                <w:color w:val="000000" w:themeColor="text1"/>
                <w:spacing w:val="-2"/>
                <w:sz w:val="21"/>
                <w14:textFill>
                  <w14:solidFill>
                    <w14:schemeClr w14:val="tx1"/>
                  </w14:solidFill>
                </w14:textFill>
              </w:rPr>
              <w:t>[2021]43</w:t>
            </w:r>
            <w:r>
              <w:rPr>
                <w:b/>
                <w:color w:val="000000" w:themeColor="text1"/>
                <w:spacing w:val="-2"/>
                <w:sz w:val="21"/>
                <w14:textFill>
                  <w14:solidFill>
                    <w14:schemeClr w14:val="tx1"/>
                  </w14:solidFill>
                </w14:textFill>
              </w:rPr>
              <w:t>号）橡胶和塑料制品业</w:t>
            </w:r>
            <w:r>
              <w:rPr>
                <w:rFonts w:ascii="Times New Roman" w:eastAsia="Times New Roman"/>
                <w:b/>
                <w:color w:val="000000" w:themeColor="text1"/>
                <w:spacing w:val="-2"/>
                <w:sz w:val="21"/>
                <w14:textFill>
                  <w14:solidFill>
                    <w14:schemeClr w14:val="tx1"/>
                  </w14:solidFill>
                </w14:textFill>
              </w:rPr>
              <w:t>VOCs</w:t>
            </w:r>
            <w:r>
              <w:rPr>
                <w:b/>
                <w:color w:val="000000" w:themeColor="text1"/>
                <w:spacing w:val="-3"/>
                <w:sz w:val="21"/>
                <w14:textFill>
                  <w14:solidFill>
                    <w14:schemeClr w14:val="tx1"/>
                  </w14:solidFill>
                </w14:textFill>
              </w:rPr>
              <w:t>治理指引相符性分析</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536"/>
              <w:gridCol w:w="3257"/>
              <w:gridCol w:w="532"/>
              <w:gridCol w:w="2307"/>
              <w:gridCol w:w="714"/>
            </w:tblGrid>
            <w:tr w14:paraId="0B20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tcMar>
                    <w:top w:w="0" w:type="dxa"/>
                    <w:left w:w="0" w:type="dxa"/>
                    <w:bottom w:w="0" w:type="dxa"/>
                    <w:right w:w="0" w:type="dxa"/>
                  </w:tcMar>
                  <w:vAlign w:val="center"/>
                </w:tcPr>
                <w:p w14:paraId="3E870CD6">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控制要求</w:t>
                  </w:r>
                </w:p>
              </w:tc>
              <w:tc>
                <w:tcPr>
                  <w:tcW w:w="532" w:type="dxa"/>
                  <w:tcMar>
                    <w:top w:w="0" w:type="dxa"/>
                    <w:left w:w="0" w:type="dxa"/>
                    <w:bottom w:w="0" w:type="dxa"/>
                    <w:right w:w="0" w:type="dxa"/>
                  </w:tcMar>
                  <w:vAlign w:val="center"/>
                </w:tcPr>
                <w:p w14:paraId="2D54F7E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环节</w:t>
                  </w:r>
                </w:p>
              </w:tc>
              <w:tc>
                <w:tcPr>
                  <w:tcW w:w="3259" w:type="dxa"/>
                  <w:tcMar>
                    <w:top w:w="0" w:type="dxa"/>
                    <w:left w:w="0" w:type="dxa"/>
                    <w:bottom w:w="0" w:type="dxa"/>
                    <w:right w:w="0" w:type="dxa"/>
                  </w:tcMar>
                  <w:vAlign w:val="center"/>
                </w:tcPr>
                <w:p w14:paraId="2F9D1FBA">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内容</w:t>
                  </w:r>
                </w:p>
              </w:tc>
              <w:tc>
                <w:tcPr>
                  <w:tcW w:w="532" w:type="dxa"/>
                  <w:tcMar>
                    <w:top w:w="0" w:type="dxa"/>
                    <w:left w:w="0" w:type="dxa"/>
                    <w:bottom w:w="0" w:type="dxa"/>
                    <w:right w:w="0" w:type="dxa"/>
                  </w:tcMar>
                  <w:vAlign w:val="center"/>
                </w:tcPr>
                <w:p w14:paraId="055CADC3">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实施要求</w:t>
                  </w:r>
                </w:p>
              </w:tc>
              <w:tc>
                <w:tcPr>
                  <w:tcW w:w="2308" w:type="dxa"/>
                  <w:tcMar>
                    <w:top w:w="0" w:type="dxa"/>
                    <w:left w:w="0" w:type="dxa"/>
                    <w:bottom w:w="0" w:type="dxa"/>
                    <w:right w:w="0" w:type="dxa"/>
                  </w:tcMar>
                  <w:vAlign w:val="center"/>
                </w:tcPr>
                <w:p w14:paraId="60A8D3DB">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相符性分析</w:t>
                  </w:r>
                </w:p>
              </w:tc>
              <w:tc>
                <w:tcPr>
                  <w:tcW w:w="715" w:type="dxa"/>
                  <w:tcMar>
                    <w:top w:w="0" w:type="dxa"/>
                    <w:left w:w="0" w:type="dxa"/>
                    <w:bottom w:w="0" w:type="dxa"/>
                    <w:right w:w="0" w:type="dxa"/>
                  </w:tcMar>
                  <w:vAlign w:val="center"/>
                </w:tcPr>
                <w:p w14:paraId="6BC9895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符合性</w:t>
                  </w:r>
                </w:p>
              </w:tc>
            </w:tr>
            <w:tr w14:paraId="06BC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6" w:type="dxa"/>
                  <w:gridSpan w:val="6"/>
                  <w:tcMar>
                    <w:top w:w="0" w:type="dxa"/>
                    <w:left w:w="0" w:type="dxa"/>
                    <w:bottom w:w="0" w:type="dxa"/>
                    <w:right w:w="0" w:type="dxa"/>
                  </w:tcMar>
                  <w:vAlign w:val="center"/>
                </w:tcPr>
                <w:p w14:paraId="2C8EEB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橡胶和塑料制品业VOCs 治理指引</w:t>
                  </w:r>
                </w:p>
              </w:tc>
            </w:tr>
            <w:tr w14:paraId="3FB4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restart"/>
                  <w:tcMar>
                    <w:top w:w="0" w:type="dxa"/>
                    <w:left w:w="0" w:type="dxa"/>
                    <w:bottom w:w="0" w:type="dxa"/>
                    <w:right w:w="0" w:type="dxa"/>
                  </w:tcMar>
                  <w:vAlign w:val="center"/>
                </w:tcPr>
                <w:p w14:paraId="23A220A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过程控制</w:t>
                  </w:r>
                </w:p>
              </w:tc>
              <w:tc>
                <w:tcPr>
                  <w:tcW w:w="532" w:type="dxa"/>
                  <w:vMerge w:val="restart"/>
                  <w:tcMar>
                    <w:top w:w="0" w:type="dxa"/>
                    <w:left w:w="0" w:type="dxa"/>
                    <w:bottom w:w="0" w:type="dxa"/>
                    <w:right w:w="0" w:type="dxa"/>
                  </w:tcMar>
                  <w:vAlign w:val="center"/>
                </w:tcPr>
                <w:p w14:paraId="1C69AE1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VOCs物料储存</w:t>
                  </w:r>
                </w:p>
              </w:tc>
              <w:tc>
                <w:tcPr>
                  <w:tcW w:w="3259" w:type="dxa"/>
                  <w:tcMar>
                    <w:top w:w="0" w:type="dxa"/>
                    <w:left w:w="0" w:type="dxa"/>
                    <w:bottom w:w="0" w:type="dxa"/>
                    <w:right w:w="0" w:type="dxa"/>
                  </w:tcMar>
                  <w:vAlign w:val="center"/>
                </w:tcPr>
                <w:p w14:paraId="5D5D2A0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物料应储存于密闭的容器、包装袋、储罐、储库、料仓中。</w:t>
                  </w:r>
                </w:p>
              </w:tc>
              <w:tc>
                <w:tcPr>
                  <w:tcW w:w="532" w:type="dxa"/>
                  <w:tcMar>
                    <w:top w:w="0" w:type="dxa"/>
                    <w:left w:w="0" w:type="dxa"/>
                    <w:bottom w:w="0" w:type="dxa"/>
                    <w:right w:w="0" w:type="dxa"/>
                  </w:tcMar>
                  <w:vAlign w:val="center"/>
                </w:tcPr>
                <w:p w14:paraId="0DE6D2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CEBCF0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5996E1F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5003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7BD9FC9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76C80E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259" w:type="dxa"/>
                  <w:tcMar>
                    <w:top w:w="0" w:type="dxa"/>
                    <w:left w:w="0" w:type="dxa"/>
                    <w:bottom w:w="0" w:type="dxa"/>
                    <w:right w:w="0" w:type="dxa"/>
                  </w:tcMar>
                  <w:vAlign w:val="center"/>
                </w:tcPr>
                <w:p w14:paraId="11BE842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盛装VOCs 物料的容器是否存放于室内，或存放于设置有雨棚、遮阳和防渗设施的专用场地。盛装 VOCs 物料的容器在非取用状态时应加盖、封口，保持密闭</w:t>
                  </w:r>
                </w:p>
              </w:tc>
              <w:tc>
                <w:tcPr>
                  <w:tcW w:w="532" w:type="dxa"/>
                  <w:tcMar>
                    <w:top w:w="0" w:type="dxa"/>
                    <w:left w:w="0" w:type="dxa"/>
                    <w:bottom w:w="0" w:type="dxa"/>
                    <w:right w:w="0" w:type="dxa"/>
                  </w:tcMar>
                  <w:vAlign w:val="center"/>
                </w:tcPr>
                <w:p w14:paraId="7D20799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45C6ED6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45301CC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06A4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4629FE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restart"/>
                  <w:tcMar>
                    <w:top w:w="0" w:type="dxa"/>
                    <w:left w:w="0" w:type="dxa"/>
                    <w:bottom w:w="0" w:type="dxa"/>
                    <w:right w:w="0" w:type="dxa"/>
                  </w:tcMar>
                  <w:vAlign w:val="center"/>
                </w:tcPr>
                <w:p w14:paraId="170D074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w:t>
                  </w:r>
                </w:p>
                <w:p w14:paraId="188BAD3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物 料转移和输送</w:t>
                  </w:r>
                </w:p>
              </w:tc>
              <w:tc>
                <w:tcPr>
                  <w:tcW w:w="3259" w:type="dxa"/>
                  <w:tcMar>
                    <w:top w:w="0" w:type="dxa"/>
                    <w:left w:w="0" w:type="dxa"/>
                    <w:bottom w:w="0" w:type="dxa"/>
                    <w:right w:w="0" w:type="dxa"/>
                  </w:tcMar>
                  <w:vAlign w:val="center"/>
                </w:tcPr>
                <w:p w14:paraId="1927F6B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液体VOCs 物料应采用管道密闭输送。采用非管道输送方式转移液态VOCs 物料时，应采用密闭容器或罐 车。</w:t>
                  </w:r>
                </w:p>
              </w:tc>
              <w:tc>
                <w:tcPr>
                  <w:tcW w:w="532" w:type="dxa"/>
                  <w:tcMar>
                    <w:top w:w="0" w:type="dxa"/>
                    <w:left w:w="0" w:type="dxa"/>
                    <w:bottom w:w="0" w:type="dxa"/>
                    <w:right w:w="0" w:type="dxa"/>
                  </w:tcMar>
                  <w:vAlign w:val="center"/>
                </w:tcPr>
                <w:p w14:paraId="75228D8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E25DFB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15FFD03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479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162CEA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5FC9BB9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92777E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粉状、粒状 VOCs 物料采用气力输送设备、管状带式输送机、螺旋输送机等密闭输送方式，或者采用密闭的包装袋、容器或罐车进行物料转移。</w:t>
                  </w:r>
                </w:p>
              </w:tc>
              <w:tc>
                <w:tcPr>
                  <w:tcW w:w="532" w:type="dxa"/>
                  <w:tcMar>
                    <w:top w:w="0" w:type="dxa"/>
                    <w:left w:w="0" w:type="dxa"/>
                    <w:bottom w:w="0" w:type="dxa"/>
                    <w:right w:w="0" w:type="dxa"/>
                  </w:tcMar>
                  <w:vAlign w:val="center"/>
                </w:tcPr>
                <w:p w14:paraId="334215F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7AA6725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p>
              </w:tc>
              <w:tc>
                <w:tcPr>
                  <w:tcW w:w="715" w:type="dxa"/>
                  <w:tcMar>
                    <w:top w:w="0" w:type="dxa"/>
                    <w:left w:w="0" w:type="dxa"/>
                    <w:bottom w:w="0" w:type="dxa"/>
                    <w:right w:w="0" w:type="dxa"/>
                  </w:tcMar>
                  <w:vAlign w:val="center"/>
                </w:tcPr>
                <w:p w14:paraId="7B9EE95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9EC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0E989E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532" w:type="dxa"/>
                  <w:vMerge w:val="restart"/>
                  <w:tcMar>
                    <w:top w:w="0" w:type="dxa"/>
                    <w:left w:w="0" w:type="dxa"/>
                    <w:bottom w:w="0" w:type="dxa"/>
                    <w:right w:w="0" w:type="dxa"/>
                  </w:tcMar>
                  <w:vAlign w:val="center"/>
                </w:tcPr>
                <w:p w14:paraId="78A4036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工艺过程</w:t>
                  </w:r>
                </w:p>
              </w:tc>
              <w:tc>
                <w:tcPr>
                  <w:tcW w:w="3259" w:type="dxa"/>
                  <w:tcMar>
                    <w:top w:w="0" w:type="dxa"/>
                    <w:left w:w="0" w:type="dxa"/>
                    <w:bottom w:w="0" w:type="dxa"/>
                    <w:right w:w="0" w:type="dxa"/>
                  </w:tcMar>
                  <w:vAlign w:val="center"/>
                </w:tcPr>
                <w:p w14:paraId="5E7779B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液态VOCs 物料采用密闭管道输送方式或采用高位槽（罐）、桶泵等给料方式密闭投加；无法密闭投加的，在密闭空间内操作，或进行局部气体收集，废气排至VOCs 废气收集处理系统。</w:t>
                  </w:r>
                </w:p>
              </w:tc>
              <w:tc>
                <w:tcPr>
                  <w:tcW w:w="532" w:type="dxa"/>
                  <w:tcMar>
                    <w:top w:w="0" w:type="dxa"/>
                    <w:left w:w="0" w:type="dxa"/>
                    <w:bottom w:w="0" w:type="dxa"/>
                    <w:right w:w="0" w:type="dxa"/>
                  </w:tcMar>
                  <w:vAlign w:val="center"/>
                </w:tcPr>
                <w:p w14:paraId="6AC29EC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631285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项目使用的VOCs物料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油墨、半水基清洗剂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使用密封包装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储存在仓库内。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使用密闭管道投料。</w:t>
                  </w:r>
                </w:p>
              </w:tc>
              <w:tc>
                <w:tcPr>
                  <w:tcW w:w="715" w:type="dxa"/>
                  <w:tcMar>
                    <w:top w:w="0" w:type="dxa"/>
                    <w:left w:w="0" w:type="dxa"/>
                    <w:bottom w:w="0" w:type="dxa"/>
                    <w:right w:w="0" w:type="dxa"/>
                  </w:tcMar>
                  <w:vAlign w:val="center"/>
                </w:tcPr>
                <w:p w14:paraId="7A06D734">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109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500" w:type="dxa"/>
                  <w:vMerge w:val="continue"/>
                  <w:tcMar>
                    <w:top w:w="0" w:type="dxa"/>
                    <w:left w:w="0" w:type="dxa"/>
                    <w:bottom w:w="0" w:type="dxa"/>
                    <w:right w:w="0" w:type="dxa"/>
                  </w:tcMar>
                  <w:vAlign w:val="center"/>
                </w:tcPr>
                <w:p w14:paraId="3015C31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63811D7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35367A7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粉状、粒状 VOCs 物料采用气力输送方式或采用密闭固体投料器等给料方式密闭投加；无法密闭投加的，在密闭空间内操作，或进行局部气体收集，废气排至除尘设施、VOCs 废气收集处理系统。</w:t>
                  </w:r>
                </w:p>
              </w:tc>
              <w:tc>
                <w:tcPr>
                  <w:tcW w:w="532" w:type="dxa"/>
                  <w:tcMar>
                    <w:top w:w="0" w:type="dxa"/>
                    <w:left w:w="0" w:type="dxa"/>
                    <w:bottom w:w="0" w:type="dxa"/>
                    <w:right w:w="0" w:type="dxa"/>
                  </w:tcMar>
                  <w:vAlign w:val="center"/>
                </w:tcPr>
                <w:p w14:paraId="633567E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50FA2A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项目不涉及粉状、粒状VOCs物料。</w:t>
                  </w:r>
                </w:p>
              </w:tc>
              <w:tc>
                <w:tcPr>
                  <w:tcW w:w="715" w:type="dxa"/>
                  <w:tcMar>
                    <w:top w:w="0" w:type="dxa"/>
                    <w:left w:w="0" w:type="dxa"/>
                    <w:bottom w:w="0" w:type="dxa"/>
                    <w:right w:w="0" w:type="dxa"/>
                  </w:tcMar>
                  <w:vAlign w:val="center"/>
                </w:tcPr>
                <w:p w14:paraId="2AD9241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6F0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229CD1D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027E9173">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C3308A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在混合/混炼、塑炼/塑化/熔化、加工成型（挤出、注 射、压制、压延、发泡、纺丝等）、硫化等作业中应采用密闭设备或在密闭空间中操作，废气应排至VOCs 废气收集处理系统；无法密闭的，应采取局部气体收集措施，废气应排至 VOCs 废气收集处理系统。</w:t>
                  </w:r>
                </w:p>
              </w:tc>
              <w:tc>
                <w:tcPr>
                  <w:tcW w:w="532" w:type="dxa"/>
                  <w:tcMar>
                    <w:top w:w="0" w:type="dxa"/>
                    <w:left w:w="0" w:type="dxa"/>
                    <w:bottom w:w="0" w:type="dxa"/>
                    <w:right w:w="0" w:type="dxa"/>
                  </w:tcMar>
                  <w:vAlign w:val="center"/>
                </w:tcPr>
                <w:p w14:paraId="74DDD87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2478FEB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项目废气采用集气罩收集，收集后通过“二级活性炭吸附装置”处理后，通过 </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5m排气筒DA00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排放。</w:t>
                  </w:r>
                </w:p>
              </w:tc>
              <w:tc>
                <w:tcPr>
                  <w:tcW w:w="715" w:type="dxa"/>
                  <w:tcMar>
                    <w:top w:w="0" w:type="dxa"/>
                    <w:left w:w="0" w:type="dxa"/>
                    <w:bottom w:w="0" w:type="dxa"/>
                    <w:right w:w="0" w:type="dxa"/>
                  </w:tcMar>
                  <w:vAlign w:val="center"/>
                </w:tcPr>
                <w:p w14:paraId="172515A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E04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500" w:type="dxa"/>
                  <w:vMerge w:val="continue"/>
                  <w:tcMar>
                    <w:top w:w="0" w:type="dxa"/>
                    <w:left w:w="0" w:type="dxa"/>
                    <w:bottom w:w="0" w:type="dxa"/>
                    <w:right w:w="0" w:type="dxa"/>
                  </w:tcMar>
                  <w:vAlign w:val="center"/>
                </w:tcPr>
                <w:p w14:paraId="7167736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736BE30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34DC35C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浸胶、胶浆喷涂、涂胶、喷漆、印刷、清洗等工序使用 VOCs 质量占比大于等 10%的原辅材料时，其使用过程应采用密闭设备或在密闭空间内操作，废气应排至 VOCs 废气收集处理系统；无法密闭的，应采取局部气体收集措施，废气应排至</w:t>
                  </w:r>
                </w:p>
                <w:p w14:paraId="6BFC082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废气收集处理系统。</w:t>
                  </w:r>
                </w:p>
              </w:tc>
              <w:tc>
                <w:tcPr>
                  <w:tcW w:w="532" w:type="dxa"/>
                  <w:tcMar>
                    <w:top w:w="0" w:type="dxa"/>
                    <w:left w:w="0" w:type="dxa"/>
                    <w:bottom w:w="0" w:type="dxa"/>
                    <w:right w:w="0" w:type="dxa"/>
                  </w:tcMar>
                  <w:vAlign w:val="center"/>
                </w:tcPr>
                <w:p w14:paraId="5A7E7A6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428BCF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项目生产不涉及浸胶、胶浆</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喷涂、涂胶、喷漆、印刷、清洗等工序</w:t>
                  </w:r>
                </w:p>
              </w:tc>
              <w:tc>
                <w:tcPr>
                  <w:tcW w:w="715" w:type="dxa"/>
                  <w:tcMar>
                    <w:top w:w="0" w:type="dxa"/>
                    <w:left w:w="0" w:type="dxa"/>
                    <w:bottom w:w="0" w:type="dxa"/>
                    <w:right w:w="0" w:type="dxa"/>
                  </w:tcMar>
                  <w:vAlign w:val="center"/>
                </w:tcPr>
                <w:p w14:paraId="4139B0D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61EF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restart"/>
                  <w:tcMar>
                    <w:top w:w="0" w:type="dxa"/>
                    <w:left w:w="0" w:type="dxa"/>
                    <w:bottom w:w="0" w:type="dxa"/>
                    <w:right w:w="0" w:type="dxa"/>
                  </w:tcMar>
                  <w:vAlign w:val="center"/>
                </w:tcPr>
                <w:p w14:paraId="21A1964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末端治理</w:t>
                  </w:r>
                </w:p>
              </w:tc>
              <w:tc>
                <w:tcPr>
                  <w:tcW w:w="532" w:type="dxa"/>
                  <w:vMerge w:val="restart"/>
                  <w:tcMar>
                    <w:top w:w="0" w:type="dxa"/>
                    <w:left w:w="0" w:type="dxa"/>
                    <w:bottom w:w="0" w:type="dxa"/>
                    <w:right w:w="0" w:type="dxa"/>
                  </w:tcMar>
                  <w:vAlign w:val="center"/>
                </w:tcPr>
                <w:p w14:paraId="6E9288D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w:t>
                  </w:r>
                </w:p>
                <w:p w14:paraId="37E27B4E">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收集</w:t>
                  </w:r>
                </w:p>
              </w:tc>
              <w:tc>
                <w:tcPr>
                  <w:tcW w:w="3259" w:type="dxa"/>
                  <w:tcMar>
                    <w:top w:w="0" w:type="dxa"/>
                    <w:left w:w="0" w:type="dxa"/>
                    <w:bottom w:w="0" w:type="dxa"/>
                    <w:right w:w="0" w:type="dxa"/>
                  </w:tcMar>
                  <w:vAlign w:val="center"/>
                </w:tcPr>
                <w:p w14:paraId="04A1B5DB">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采用外部集气罩的，距集气罩开口面最远处的VOCs 无组织排放位置，控制风速不低于 0.3m/s。</w:t>
                  </w:r>
                </w:p>
              </w:tc>
              <w:tc>
                <w:tcPr>
                  <w:tcW w:w="532" w:type="dxa"/>
                  <w:tcMar>
                    <w:top w:w="0" w:type="dxa"/>
                    <w:left w:w="0" w:type="dxa"/>
                    <w:bottom w:w="0" w:type="dxa"/>
                    <w:right w:w="0" w:type="dxa"/>
                  </w:tcMar>
                  <w:vAlign w:val="center"/>
                </w:tcPr>
                <w:p w14:paraId="0E4F230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5AF8D8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项目废气采用外部集气罩收集，距集气罩开口面最远处的 VOCs 无组织排放位置，控制风速不低于0.3m/s。</w:t>
                  </w:r>
                </w:p>
              </w:tc>
              <w:tc>
                <w:tcPr>
                  <w:tcW w:w="715" w:type="dxa"/>
                  <w:tcMar>
                    <w:top w:w="0" w:type="dxa"/>
                    <w:left w:w="0" w:type="dxa"/>
                    <w:bottom w:w="0" w:type="dxa"/>
                    <w:right w:w="0" w:type="dxa"/>
                  </w:tcMar>
                  <w:vAlign w:val="center"/>
                </w:tcPr>
                <w:p w14:paraId="3AE5D72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0483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500" w:type="dxa"/>
                  <w:vMerge w:val="continue"/>
                  <w:tcMar>
                    <w:top w:w="0" w:type="dxa"/>
                    <w:left w:w="0" w:type="dxa"/>
                    <w:bottom w:w="0" w:type="dxa"/>
                    <w:right w:w="0" w:type="dxa"/>
                  </w:tcMar>
                  <w:vAlign w:val="center"/>
                </w:tcPr>
                <w:p w14:paraId="592D9E2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27E6F4B2">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5817B19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废气收集系统的输送管道应密闭。废气收集系统应在负压下运行，若处于正压状 态，应对管道组件的密封点进行泄漏检测，泄漏检测值不应超过500μmol/mol，亦不应有感官可察觉泄漏。</w:t>
                  </w:r>
                </w:p>
              </w:tc>
              <w:tc>
                <w:tcPr>
                  <w:tcW w:w="532" w:type="dxa"/>
                  <w:tcMar>
                    <w:top w:w="0" w:type="dxa"/>
                    <w:left w:w="0" w:type="dxa"/>
                    <w:bottom w:w="0" w:type="dxa"/>
                    <w:right w:w="0" w:type="dxa"/>
                  </w:tcMar>
                  <w:vAlign w:val="center"/>
                </w:tcPr>
                <w:p w14:paraId="6720B27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8F5A0A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项目废气收集系统的输送管道为密闭，废气收集系统在负压下运行，符合要求。</w:t>
                  </w:r>
                </w:p>
              </w:tc>
              <w:tc>
                <w:tcPr>
                  <w:tcW w:w="715" w:type="dxa"/>
                  <w:tcMar>
                    <w:top w:w="0" w:type="dxa"/>
                    <w:left w:w="0" w:type="dxa"/>
                    <w:bottom w:w="0" w:type="dxa"/>
                    <w:right w:w="0" w:type="dxa"/>
                  </w:tcMar>
                  <w:vAlign w:val="center"/>
                </w:tcPr>
                <w:p w14:paraId="650B223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64CC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322B4A8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492464B6">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4523751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橡胶制品行业：a）有机废气排气筒排放浓度和厂界浓度不高于《橡胶制品工业污染 物排放标准》（GB27632-2011）第II时段排放限值；车间或生产设施排气中NMHC 初始排放速率≥3kg/h时，建设末端治污设施且处理效率≥80%；b）厂区内无组织排 放监控点NMHC的小时平均浓度值不超过6mg/m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，任意一次浓度值不超过20 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32" w:type="dxa"/>
                  <w:tcMar>
                    <w:top w:w="0" w:type="dxa"/>
                    <w:left w:w="0" w:type="dxa"/>
                    <w:bottom w:w="0" w:type="dxa"/>
                    <w:right w:w="0" w:type="dxa"/>
                  </w:tcMar>
                  <w:vAlign w:val="center"/>
                </w:tcPr>
                <w:p w14:paraId="0AE6F51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6D6C437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项目产生的有机废气经过集气罩收集后通过“二级活性炭吸附装置”处理后经过</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5mDA00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排气筒排 放，活性炭吸附装置处理效率为 8</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%。有机废气浓度不高于</w:t>
                  </w:r>
                  <w:r>
                    <w:rPr>
                      <w:rFonts w:hint="default" w:ascii="Times New Roman" w:hAnsi="Times New Roman" w:eastAsia="宋体" w:cs="Times New Roman"/>
                      <w:color w:val="000000" w:themeColor="text1"/>
                      <w:sz w:val="21"/>
                      <w:szCs w:val="21"/>
                      <w14:textFill>
                        <w14:solidFill>
                          <w14:schemeClr w14:val="tx1"/>
                        </w14:solidFill>
                      </w14:textFill>
                    </w:rPr>
                    <w:t>《橡胶制品工业污染 物排放标准》（GB27632-2011）第II时段排放限值</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厂区内无组织排放监控点NMHC 的小时平均浓度值不超过6mg/m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，任意一次浓度值不超过20mg/m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715" w:type="dxa"/>
                  <w:tcMar>
                    <w:top w:w="0" w:type="dxa"/>
                    <w:left w:w="0" w:type="dxa"/>
                    <w:bottom w:w="0" w:type="dxa"/>
                    <w:right w:w="0" w:type="dxa"/>
                  </w:tcMar>
                  <w:vAlign w:val="center"/>
                </w:tcPr>
                <w:p w14:paraId="3602383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CA2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4F4CDDE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restart"/>
                  <w:tcMar>
                    <w:top w:w="0" w:type="dxa"/>
                    <w:left w:w="0" w:type="dxa"/>
                    <w:bottom w:w="0" w:type="dxa"/>
                    <w:right w:w="0" w:type="dxa"/>
                  </w:tcMar>
                  <w:vAlign w:val="center"/>
                </w:tcPr>
                <w:p w14:paraId="5D1E3D71">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治理设施设计与运行管理</w:t>
                  </w:r>
                </w:p>
              </w:tc>
              <w:tc>
                <w:tcPr>
                  <w:tcW w:w="3259" w:type="dxa"/>
                  <w:tcMar>
                    <w:top w:w="0" w:type="dxa"/>
                    <w:left w:w="0" w:type="dxa"/>
                    <w:bottom w:w="0" w:type="dxa"/>
                    <w:right w:w="0" w:type="dxa"/>
                  </w:tcMar>
                  <w:vAlign w:val="center"/>
                </w:tcPr>
                <w:p w14:paraId="3B23358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吸附床（含活性炭吸附法）：预处理设备应根据废气的成分、性质和影响吸附过程的物质性质及含量进行选择： b）吸附床层的吸附剂用量应根据废气处理量、污染物浓度和吸附剂的动态吸附量确定；c）吸附剂应及时更换或有效再生。</w:t>
                  </w:r>
                </w:p>
              </w:tc>
              <w:tc>
                <w:tcPr>
                  <w:tcW w:w="532" w:type="dxa"/>
                  <w:tcMar>
                    <w:top w:w="0" w:type="dxa"/>
                    <w:left w:w="0" w:type="dxa"/>
                    <w:bottom w:w="0" w:type="dxa"/>
                    <w:right w:w="0" w:type="dxa"/>
                  </w:tcMar>
                  <w:vAlign w:val="center"/>
                </w:tcPr>
                <w:p w14:paraId="091FB93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087589B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本项目有机废气治理设施工艺为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套“二级活性炭吸附装置”，其中活性炭吸附床按照规范要求设计和装填，根据运行情况进行活性炭及时更换。</w:t>
                  </w:r>
                </w:p>
              </w:tc>
              <w:tc>
                <w:tcPr>
                  <w:tcW w:w="715" w:type="dxa"/>
                  <w:tcMar>
                    <w:top w:w="0" w:type="dxa"/>
                    <w:left w:w="0" w:type="dxa"/>
                    <w:bottom w:w="0" w:type="dxa"/>
                    <w:right w:w="0" w:type="dxa"/>
                  </w:tcMar>
                  <w:vAlign w:val="center"/>
                </w:tcPr>
                <w:p w14:paraId="204092C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8A3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2A3102D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B41E8FC">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1F16C7CF">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VOCs 治理设施应与生产工艺设备同步运行，VOCs 治理设施发生故障或检修时，对应的生产工艺设备应停止运行，待检修完毕后同步</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投入使用</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；生产工艺设备不能停止运行或不能及时停止运行的，应设置废气应急处理设施或采取其他替代措施。</w:t>
                  </w:r>
                </w:p>
              </w:tc>
              <w:tc>
                <w:tcPr>
                  <w:tcW w:w="532" w:type="dxa"/>
                  <w:tcMar>
                    <w:top w:w="0" w:type="dxa"/>
                    <w:left w:w="0" w:type="dxa"/>
                    <w:bottom w:w="0" w:type="dxa"/>
                    <w:right w:w="0" w:type="dxa"/>
                  </w:tcMar>
                  <w:vAlign w:val="center"/>
                </w:tcPr>
                <w:p w14:paraId="66F0328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5AD43445">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本项目生产设备和环保设施“同启同停”，当出现治理设施故障时，企业立即停止生产并待检修</w:t>
                  </w:r>
                </w:p>
                <w:p w14:paraId="4A5D3D4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完毕后同步投入使用。</w:t>
                  </w:r>
                </w:p>
              </w:tc>
              <w:tc>
                <w:tcPr>
                  <w:tcW w:w="715" w:type="dxa"/>
                  <w:tcMar>
                    <w:top w:w="0" w:type="dxa"/>
                    <w:left w:w="0" w:type="dxa"/>
                    <w:bottom w:w="0" w:type="dxa"/>
                    <w:right w:w="0" w:type="dxa"/>
                  </w:tcMar>
                  <w:vAlign w:val="center"/>
                </w:tcPr>
                <w:p w14:paraId="4D9F642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16CD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6393ED6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3B44DD1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4447E9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建立废气收集处理设施台</w:t>
                  </w:r>
                </w:p>
                <w:p w14:paraId="3B48B382">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账，记录废气处理设施进出口的监测数据（废气量、浓度、温度</w:t>
                  </w: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、含氧量等）、废气收集与处理设施关键参数、废气处理设施相关耗材（吸收剂、吸附剂、催化剂等）购买和处理记录。</w:t>
                  </w:r>
                </w:p>
              </w:tc>
              <w:tc>
                <w:tcPr>
                  <w:tcW w:w="532" w:type="dxa"/>
                  <w:tcMar>
                    <w:top w:w="0" w:type="dxa"/>
                    <w:left w:w="0" w:type="dxa"/>
                    <w:bottom w:w="0" w:type="dxa"/>
                    <w:right w:w="0" w:type="dxa"/>
                  </w:tcMar>
                  <w:vAlign w:val="center"/>
                </w:tcPr>
                <w:p w14:paraId="3C6CE08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025771E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项目建成后建立废气收集处理设施台账，记录废气处理设施进出口的监测数据（废气量、浓度、温度、含氧量等）、废气收集与处理设施关键参数、废气处理设施相关耗材（吸收剂、吸附 剂、催化剂等）购买和处理记录。</w:t>
                  </w:r>
                </w:p>
              </w:tc>
              <w:tc>
                <w:tcPr>
                  <w:tcW w:w="715" w:type="dxa"/>
                  <w:tcMar>
                    <w:top w:w="0" w:type="dxa"/>
                    <w:left w:w="0" w:type="dxa"/>
                    <w:bottom w:w="0" w:type="dxa"/>
                    <w:right w:w="0" w:type="dxa"/>
                  </w:tcMar>
                  <w:vAlign w:val="center"/>
                </w:tcPr>
                <w:p w14:paraId="0B956809">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2362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6A14BC2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2C5A7CFA">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1AAF110B">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建立危废台账，整理危废处置合同、转移联单及危废处理方资质佐证材料</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c>
                <w:tcPr>
                  <w:tcW w:w="532" w:type="dxa"/>
                  <w:tcMar>
                    <w:top w:w="0" w:type="dxa"/>
                    <w:left w:w="0" w:type="dxa"/>
                    <w:bottom w:w="0" w:type="dxa"/>
                    <w:right w:w="0" w:type="dxa"/>
                  </w:tcMar>
                  <w:vAlign w:val="center"/>
                </w:tcPr>
                <w:p w14:paraId="0BB400E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2308" w:type="dxa"/>
                  <w:tcMar>
                    <w:top w:w="0" w:type="dxa"/>
                    <w:left w:w="0" w:type="dxa"/>
                    <w:bottom w:w="0" w:type="dxa"/>
                    <w:right w:w="0" w:type="dxa"/>
                  </w:tcMar>
                  <w:vAlign w:val="center"/>
                </w:tcPr>
                <w:p w14:paraId="6376030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项目建成后建立危废台账，整理危废处置合 同、转移联单及危废处理方资质佐证材料。</w:t>
                  </w:r>
                </w:p>
              </w:tc>
              <w:tc>
                <w:tcPr>
                  <w:tcW w:w="715" w:type="dxa"/>
                  <w:tcMar>
                    <w:top w:w="0" w:type="dxa"/>
                    <w:left w:w="0" w:type="dxa"/>
                    <w:bottom w:w="0" w:type="dxa"/>
                    <w:right w:w="0" w:type="dxa"/>
                  </w:tcMar>
                  <w:vAlign w:val="center"/>
                </w:tcPr>
                <w:p w14:paraId="7C68F67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38A7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0EF00CB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vMerge w:val="continue"/>
                  <w:tcMar>
                    <w:top w:w="0" w:type="dxa"/>
                    <w:left w:w="0" w:type="dxa"/>
                    <w:bottom w:w="0" w:type="dxa"/>
                    <w:right w:w="0" w:type="dxa"/>
                  </w:tcMar>
                  <w:vAlign w:val="center"/>
                </w:tcPr>
                <w:p w14:paraId="5011ED5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259" w:type="dxa"/>
                  <w:tcMar>
                    <w:top w:w="0" w:type="dxa"/>
                    <w:left w:w="0" w:type="dxa"/>
                    <w:bottom w:w="0" w:type="dxa"/>
                    <w:right w:w="0" w:type="dxa"/>
                  </w:tcMar>
                  <w:vAlign w:val="center"/>
                </w:tcPr>
                <w:p w14:paraId="748F689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台账保存期限不少于 3 年</w:t>
                  </w:r>
                </w:p>
              </w:tc>
              <w:tc>
                <w:tcPr>
                  <w:tcW w:w="532" w:type="dxa"/>
                  <w:tcMar>
                    <w:top w:w="0" w:type="dxa"/>
                    <w:left w:w="0" w:type="dxa"/>
                    <w:bottom w:w="0" w:type="dxa"/>
                    <w:right w:w="0" w:type="dxa"/>
                  </w:tcMar>
                  <w:vAlign w:val="center"/>
                </w:tcPr>
                <w:p w14:paraId="7B61028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要求</w:t>
                  </w:r>
                </w:p>
              </w:tc>
              <w:tc>
                <w:tcPr>
                  <w:tcW w:w="2308" w:type="dxa"/>
                  <w:tcMar>
                    <w:top w:w="0" w:type="dxa"/>
                    <w:left w:w="0" w:type="dxa"/>
                    <w:bottom w:w="0" w:type="dxa"/>
                    <w:right w:w="0" w:type="dxa"/>
                  </w:tcMar>
                  <w:vAlign w:val="center"/>
                </w:tcPr>
                <w:p w14:paraId="0CEF67B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项目建成后台账保存期限不少于 3年。</w:t>
                  </w:r>
                </w:p>
              </w:tc>
              <w:tc>
                <w:tcPr>
                  <w:tcW w:w="715" w:type="dxa"/>
                  <w:tcMar>
                    <w:top w:w="0" w:type="dxa"/>
                    <w:left w:w="0" w:type="dxa"/>
                    <w:bottom w:w="0" w:type="dxa"/>
                    <w:right w:w="0" w:type="dxa"/>
                  </w:tcMar>
                  <w:vAlign w:val="center"/>
                </w:tcPr>
                <w:p w14:paraId="5C9F263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符合</w:t>
                  </w:r>
                </w:p>
              </w:tc>
            </w:tr>
            <w:tr w14:paraId="484F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5A0453B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tcMar>
                    <w:top w:w="0" w:type="dxa"/>
                    <w:left w:w="0" w:type="dxa"/>
                    <w:bottom w:w="0" w:type="dxa"/>
                    <w:right w:w="0" w:type="dxa"/>
                  </w:tcMar>
                  <w:vAlign w:val="center"/>
                </w:tcPr>
                <w:p w14:paraId="03D8B7A8">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自行监测</w:t>
                  </w:r>
                </w:p>
              </w:tc>
              <w:tc>
                <w:tcPr>
                  <w:tcW w:w="3259" w:type="dxa"/>
                  <w:tcMar>
                    <w:top w:w="0" w:type="dxa"/>
                    <w:left w:w="0" w:type="dxa"/>
                    <w:bottom w:w="0" w:type="dxa"/>
                    <w:right w:w="0" w:type="dxa"/>
                  </w:tcMar>
                  <w:vAlign w:val="center"/>
                </w:tcPr>
                <w:p w14:paraId="55A6D1D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橡胶制品行业重点排污单位： a）轮胎制品制造、橡胶板、管、带制品制造、橡胶零件制品、运动场地使用塑胶制品和其他橡胶制品制造每半年1次； b）厂界每半年1次。</w:t>
                  </w:r>
                </w:p>
                <w:p w14:paraId="782263C1">
                  <w:pPr>
                    <w:pStyle w:val="2"/>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橡胶制品行业简化管理排污单位： a）轮胎制品制造、橡胶板、管、带制品制造、橡胶零件制品、运动场地使用塑胶制 品和其他橡胶制品制造每年1次； b）厂界每年1次。</w:t>
                  </w:r>
                </w:p>
              </w:tc>
              <w:tc>
                <w:tcPr>
                  <w:tcW w:w="532" w:type="dxa"/>
                  <w:tcMar>
                    <w:top w:w="0" w:type="dxa"/>
                    <w:left w:w="0" w:type="dxa"/>
                    <w:bottom w:w="0" w:type="dxa"/>
                    <w:right w:w="0" w:type="dxa"/>
                  </w:tcMar>
                  <w:vAlign w:val="center"/>
                </w:tcPr>
                <w:p w14:paraId="09A2A40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241C2569">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项目厂界每年进行一次自行监测。</w:t>
                  </w:r>
                </w:p>
              </w:tc>
              <w:tc>
                <w:tcPr>
                  <w:tcW w:w="715" w:type="dxa"/>
                  <w:tcMar>
                    <w:top w:w="0" w:type="dxa"/>
                    <w:left w:w="0" w:type="dxa"/>
                    <w:bottom w:w="0" w:type="dxa"/>
                    <w:right w:w="0" w:type="dxa"/>
                  </w:tcMar>
                  <w:vAlign w:val="center"/>
                </w:tcPr>
                <w:p w14:paraId="51A1A86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3996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Merge w:val="continue"/>
                  <w:tcMar>
                    <w:top w:w="0" w:type="dxa"/>
                    <w:left w:w="0" w:type="dxa"/>
                    <w:bottom w:w="0" w:type="dxa"/>
                    <w:right w:w="0" w:type="dxa"/>
                  </w:tcMar>
                  <w:vAlign w:val="center"/>
                </w:tcPr>
                <w:p w14:paraId="32AB4B2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32" w:type="dxa"/>
                  <w:tcMar>
                    <w:top w:w="0" w:type="dxa"/>
                    <w:left w:w="0" w:type="dxa"/>
                    <w:bottom w:w="0" w:type="dxa"/>
                    <w:right w:w="0" w:type="dxa"/>
                  </w:tcMar>
                  <w:vAlign w:val="center"/>
                </w:tcPr>
                <w:p w14:paraId="33D70937">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危废管理</w:t>
                  </w:r>
                </w:p>
              </w:tc>
              <w:tc>
                <w:tcPr>
                  <w:tcW w:w="3259" w:type="dxa"/>
                  <w:tcMar>
                    <w:top w:w="0" w:type="dxa"/>
                    <w:left w:w="0" w:type="dxa"/>
                    <w:bottom w:w="0" w:type="dxa"/>
                    <w:right w:w="0" w:type="dxa"/>
                  </w:tcMar>
                  <w:vAlign w:val="center"/>
                </w:tcPr>
                <w:p w14:paraId="3B560E3D">
                  <w:pPr>
                    <w:spacing w:line="240" w:lineRule="auto"/>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工艺过程产生的含VOCs 废料（渣、液）应按照相关要求进行储存、转移和输送。盛装过 VOCs 物料的废包装容器应加盖密闭。</w:t>
                  </w:r>
                </w:p>
              </w:tc>
              <w:tc>
                <w:tcPr>
                  <w:tcW w:w="532" w:type="dxa"/>
                  <w:tcMar>
                    <w:top w:w="0" w:type="dxa"/>
                    <w:left w:w="0" w:type="dxa"/>
                    <w:bottom w:w="0" w:type="dxa"/>
                    <w:right w:w="0" w:type="dxa"/>
                  </w:tcMar>
                  <w:vAlign w:val="center"/>
                </w:tcPr>
                <w:p w14:paraId="15EE5E8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c>
                <w:tcPr>
                  <w:tcW w:w="2308" w:type="dxa"/>
                  <w:tcMar>
                    <w:top w:w="0" w:type="dxa"/>
                    <w:left w:w="0" w:type="dxa"/>
                    <w:bottom w:w="0" w:type="dxa"/>
                    <w:right w:w="0" w:type="dxa"/>
                  </w:tcMar>
                  <w:vAlign w:val="center"/>
                </w:tcPr>
                <w:p w14:paraId="17D3259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项目产生的有机废气处理设施产生的废活性炭暂存危废间，定期交有相关危废资质的单位处理；盛装过VOCs物料的废包装容器加盖</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密闭。</w:t>
                  </w:r>
                </w:p>
              </w:tc>
              <w:tc>
                <w:tcPr>
                  <w:tcW w:w="715" w:type="dxa"/>
                  <w:tcMar>
                    <w:top w:w="0" w:type="dxa"/>
                    <w:left w:w="0" w:type="dxa"/>
                    <w:bottom w:w="0" w:type="dxa"/>
                    <w:right w:w="0" w:type="dxa"/>
                  </w:tcMar>
                  <w:vAlign w:val="center"/>
                </w:tcPr>
                <w:p w14:paraId="11AE2E7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bl>
          <w:p w14:paraId="636A7D8A">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r>
    </w:tbl>
    <w:p w14:paraId="7DC04A25">
      <w:pPr>
        <w:pStyle w:val="18"/>
        <w:numPr>
          <w:ilvl w:val="0"/>
          <w:numId w:val="0"/>
        </w:num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br w:type="page"/>
      </w:r>
      <w:bookmarkStart w:id="10" w:name="_Toc25936"/>
      <w:bookmarkStart w:id="11" w:name="_Toc8343"/>
      <w:bookmarkStart w:id="12" w:name="_Toc30913"/>
      <w:r>
        <w:rPr>
          <w:rFonts w:hint="default" w:ascii="Times New Roman" w:hAnsi="Times New Roman" w:cs="Times New Roman"/>
          <w:color w:val="000000" w:themeColor="text1"/>
          <w:highlight w:val="none"/>
          <w14:textFill>
            <w14:solidFill>
              <w14:schemeClr w14:val="tx1"/>
            </w14:solidFill>
          </w14:textFill>
        </w:rPr>
        <w:t>二、建设项目工程分析</w:t>
      </w:r>
      <w:bookmarkEnd w:id="10"/>
      <w:bookmarkEnd w:id="11"/>
      <w:bookmarkEnd w:id="12"/>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076"/>
      </w:tblGrid>
      <w:tr w14:paraId="5EDC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 w:type="pct"/>
            <w:vAlign w:val="center"/>
          </w:tcPr>
          <w:p w14:paraId="41E87100">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13" w:name="_Toc12660"/>
            <w:bookmarkStart w:id="14" w:name="_Toc28930"/>
            <w:bookmarkStart w:id="15" w:name="_Toc28166"/>
            <w:bookmarkStart w:id="16" w:name="_Toc23802"/>
            <w:bookmarkStart w:id="17" w:name="_Toc1786"/>
            <w:r>
              <w:rPr>
                <w:rFonts w:hint="default" w:ascii="Times New Roman" w:hAnsi="Times New Roman" w:cs="Times New Roman"/>
                <w:color w:val="000000" w:themeColor="text1"/>
                <w:highlight w:val="none"/>
                <w14:textFill>
                  <w14:solidFill>
                    <w14:schemeClr w14:val="tx1"/>
                  </w14:solidFill>
                </w14:textFill>
              </w:rPr>
              <w:t>建设内容</w:t>
            </w:r>
            <w:bookmarkEnd w:id="13"/>
            <w:bookmarkEnd w:id="14"/>
            <w:bookmarkEnd w:id="15"/>
            <w:bookmarkEnd w:id="16"/>
            <w:bookmarkEnd w:id="17"/>
          </w:p>
        </w:tc>
        <w:tc>
          <w:tcPr>
            <w:tcW w:w="4761" w:type="pct"/>
          </w:tcPr>
          <w:p w14:paraId="45B68FC7">
            <w:pPr>
              <w:keepNext/>
              <w:keepLines/>
              <w:tabs>
                <w:tab w:val="left" w:pos="0"/>
              </w:tabs>
              <w:ind w:left="-2" w:firstLine="480" w:firstLineChars="200"/>
              <w:jc w:val="left"/>
              <w:outlineLvl w:val="2"/>
              <w:rPr>
                <w:rFonts w:hint="default" w:ascii="Times New Roman" w:hAnsi="Times New Roman" w:cs="Times New Roman"/>
                <w:b/>
                <w:color w:val="000000" w:themeColor="text1"/>
                <w:highlight w:val="none"/>
                <w14:textFill>
                  <w14:solidFill>
                    <w14:schemeClr w14:val="tx1"/>
                  </w14:solidFill>
                </w14:textFill>
              </w:rPr>
            </w:pPr>
            <w:r>
              <w:rPr>
                <w:rFonts w:hint="default" w:ascii="Times New Roman" w:hAnsi="Times New Roman" w:cs="Times New Roman"/>
                <w:b/>
                <w:color w:val="000000" w:themeColor="text1"/>
                <w:highlight w:val="none"/>
                <w14:textFill>
                  <w14:solidFill>
                    <w14:schemeClr w14:val="tx1"/>
                  </w14:solidFill>
                </w14:textFill>
              </w:rPr>
              <w:t>一、项目由来</w:t>
            </w:r>
          </w:p>
          <w:p w14:paraId="29D70249">
            <w:pPr>
              <w:widowControl/>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2026年5月，广东博柠橡胶制品有限公司</w:t>
            </w:r>
            <w:r>
              <w:rPr>
                <w:rFonts w:hint="default" w:ascii="Times New Roman" w:hAnsi="Times New Roman" w:cs="Times New Roman"/>
                <w:color w:val="000000" w:themeColor="text1"/>
                <w:highlight w:val="none"/>
                <w14:textFill>
                  <w14:solidFill>
                    <w14:schemeClr w14:val="tx1"/>
                  </w14:solidFill>
                </w14:textFill>
              </w:rPr>
              <w:t>（以下简称“建设单位”）</w:t>
            </w:r>
            <w:r>
              <w:rPr>
                <w:rFonts w:hint="eastAsia" w:cs="Times New Roman"/>
                <w:color w:val="000000" w:themeColor="text1"/>
                <w:highlight w:val="none"/>
                <w:lang w:val="en-US" w:eastAsia="zh-CN"/>
                <w14:textFill>
                  <w14:solidFill>
                    <w14:schemeClr w14:val="tx1"/>
                  </w14:solidFill>
                </w14:textFill>
              </w:rPr>
              <w:t>计划建设“乐昌博柠橡胶制品项目”（以下简称“本项目”）。本项目位于</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广东省</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韶关市乐昌市乐昌市产业转移工业园乐园大道23号7栋1-4层，租赁面积约4525.47m</w:t>
            </w:r>
            <w:r>
              <w:rPr>
                <w:rFonts w:hint="eastAsia"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项目总投资</w:t>
            </w:r>
            <w:r>
              <w:rPr>
                <w:rFonts w:hint="eastAsia" w:cs="Times New Roman"/>
                <w:color w:val="000000" w:themeColor="text1"/>
                <w:highlight w:val="none"/>
                <w:lang w:val="en-US" w:eastAsia="zh-CN"/>
                <w14:textFill>
                  <w14:solidFill>
                    <w14:schemeClr w14:val="tx1"/>
                  </w14:solidFill>
                </w14:textFill>
              </w:rPr>
              <w:t>520</w:t>
            </w:r>
            <w:r>
              <w:rPr>
                <w:rFonts w:hint="default" w:ascii="Times New Roman" w:hAnsi="Times New Roman" w:cs="Times New Roman"/>
                <w:color w:val="000000" w:themeColor="text1"/>
                <w:highlight w:val="none"/>
                <w14:textFill>
                  <w14:solidFill>
                    <w14:schemeClr w14:val="tx1"/>
                  </w14:solidFill>
                </w14:textFill>
              </w:rPr>
              <w:t>万元，其中环保投资</w:t>
            </w:r>
            <w:r>
              <w:rPr>
                <w:rFonts w:hint="eastAsia" w:cs="Times New Roman"/>
                <w:color w:val="000000" w:themeColor="text1"/>
                <w:highlight w:val="none"/>
                <w:lang w:val="en-US" w:eastAsia="zh-CN"/>
                <w14:textFill>
                  <w14:solidFill>
                    <w14:schemeClr w14:val="tx1"/>
                  </w14:solidFill>
                </w14:textFill>
              </w:rPr>
              <w:t>50</w:t>
            </w:r>
            <w:r>
              <w:rPr>
                <w:rFonts w:hint="default" w:ascii="Times New Roman" w:hAnsi="Times New Roman" w:cs="Times New Roman"/>
                <w:color w:val="000000" w:themeColor="text1"/>
                <w:highlight w:val="none"/>
                <w14:textFill>
                  <w14:solidFill>
                    <w14:schemeClr w14:val="tx1"/>
                  </w14:solidFill>
                </w14:textFill>
              </w:rPr>
              <w:t>万元</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外购橡胶、色母、油墨等低VOCs含量物料，主要进行硅胶按键的生产</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预计建成投产后年产生产硅胶按键1000万个</w:t>
            </w:r>
            <w:r>
              <w:rPr>
                <w:rFonts w:hint="default" w:ascii="Times New Roman" w:hAnsi="Times New Roman" w:cs="Times New Roman"/>
                <w:color w:val="000000" w:themeColor="text1"/>
                <w:highlight w:val="none"/>
                <w14:textFill>
                  <w14:solidFill>
                    <w14:schemeClr w14:val="tx1"/>
                  </w14:solidFill>
                </w14:textFill>
              </w:rPr>
              <w:t>。</w:t>
            </w:r>
          </w:p>
          <w:p w14:paraId="587A6A9A">
            <w:pPr>
              <w:pStyle w:val="25"/>
              <w:ind w:firstLine="480" w:firstLineChars="200"/>
              <w:jc w:val="both"/>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根据《中华人民共和国生态环境法典》(2026年8月15日起施行)等有关规定，建设过程中或者建成投产后可能对环境产生影响的新建、扩建、改建、迁建、技术改造项目及区域开发建设项目，必须执行</w:t>
            </w:r>
            <w:r>
              <w:rPr>
                <w:rFonts w:hint="eastAsia" w:cs="Times New Roman"/>
                <w:color w:val="000000" w:themeColor="text1"/>
                <w:szCs w:val="24"/>
                <w:highlight w:val="none"/>
                <w:lang w:val="en-US" w:eastAsia="zh-CN"/>
                <w14:textFill>
                  <w14:solidFill>
                    <w14:schemeClr w14:val="tx1"/>
                  </w14:solidFill>
                </w14:textFill>
              </w:rPr>
              <w:t>生态</w:t>
            </w:r>
            <w:r>
              <w:rPr>
                <w:rFonts w:hint="default" w:ascii="Times New Roman" w:hAnsi="Times New Roman" w:cs="Times New Roman"/>
                <w:color w:val="000000" w:themeColor="text1"/>
                <w:szCs w:val="24"/>
                <w:highlight w:val="none"/>
                <w14:textFill>
                  <w14:solidFill>
                    <w14:schemeClr w14:val="tx1"/>
                  </w14:solidFill>
                </w14:textFill>
              </w:rPr>
              <w:t>环境影响评价制度。对照</w:t>
            </w:r>
            <w:r>
              <w:rPr>
                <w:rFonts w:hint="default" w:ascii="Times New Roman" w:hAnsi="Times New Roman" w:cs="Times New Roman"/>
                <w:color w:val="000000" w:themeColor="text1"/>
                <w:highlight w:val="none"/>
                <w14:textFill>
                  <w14:solidFill>
                    <w14:schemeClr w14:val="tx1"/>
                  </w14:solidFill>
                </w14:textFill>
              </w:rPr>
              <w:t>《国民经济行业分类》（GB/T 4754-2017，按第1号修改单修订）</w:t>
            </w:r>
            <w:r>
              <w:rPr>
                <w:rFonts w:hint="default" w:ascii="Times New Roman" w:hAnsi="Times New Roman" w:cs="Times New Roman"/>
                <w:color w:val="000000" w:themeColor="text1"/>
                <w:szCs w:val="24"/>
                <w:highlight w:val="none"/>
                <w14:textFill>
                  <w14:solidFill>
                    <w14:schemeClr w14:val="tx1"/>
                  </w14:solidFill>
                </w14:textFill>
              </w:rPr>
              <w:t>，本项目属于</w:t>
            </w:r>
            <w:r>
              <w:rPr>
                <w:rFonts w:hint="eastAsia" w:cs="Times New Roman"/>
                <w:color w:val="000000" w:themeColor="text1"/>
                <w:sz w:val="24"/>
                <w:szCs w:val="24"/>
                <w:highlight w:val="none"/>
                <w:lang w:eastAsia="zh-CN"/>
                <w14:textFill>
                  <w14:solidFill>
                    <w14:schemeClr w14:val="tx1"/>
                  </w14:solidFill>
                </w14:textFill>
              </w:rPr>
              <w:t>C2919其他橡胶制品制造</w:t>
            </w:r>
            <w:r>
              <w:rPr>
                <w:rFonts w:hint="default" w:ascii="Times New Roman" w:hAnsi="Times New Roman" w:cs="Times New Roman"/>
                <w:color w:val="000000" w:themeColor="text1"/>
                <w:szCs w:val="24"/>
                <w:highlight w:val="none"/>
                <w14:textFill>
                  <w14:solidFill>
                    <w14:schemeClr w14:val="tx1"/>
                  </w14:solidFill>
                </w14:textFill>
              </w:rPr>
              <w:t>；对照国家</w:t>
            </w:r>
            <w:r>
              <w:rPr>
                <w:rFonts w:hint="eastAsia" w:cs="Times New Roman"/>
                <w:color w:val="000000" w:themeColor="text1"/>
                <w:szCs w:val="24"/>
                <w:highlight w:val="none"/>
                <w:lang w:eastAsia="zh-CN"/>
                <w14:textFill>
                  <w14:solidFill>
                    <w14:schemeClr w14:val="tx1"/>
                  </w14:solidFill>
                </w14:textFill>
              </w:rPr>
              <w:t>生态环境部</w:t>
            </w:r>
            <w:r>
              <w:rPr>
                <w:rFonts w:hint="default" w:ascii="Times New Roman" w:hAnsi="Times New Roman" w:cs="Times New Roman"/>
                <w:color w:val="000000" w:themeColor="text1"/>
                <w:szCs w:val="24"/>
                <w:highlight w:val="none"/>
                <w14:textFill>
                  <w14:solidFill>
                    <w14:schemeClr w14:val="tx1"/>
                  </w14:solidFill>
                </w14:textFill>
              </w:rPr>
              <w:t>《建设项目环境影响评价分类管理名录》（2021年版），该项目属于“</w:t>
            </w:r>
            <w:r>
              <w:rPr>
                <w:rFonts w:hint="eastAsia" w:cs="Times New Roman"/>
                <w:color w:val="000000" w:themeColor="text1"/>
                <w:sz w:val="24"/>
                <w:szCs w:val="24"/>
                <w:highlight w:val="none"/>
                <w:lang w:eastAsia="zh-CN"/>
                <w14:textFill>
                  <w14:solidFill>
                    <w14:schemeClr w14:val="tx1"/>
                  </w14:solidFill>
                </w14:textFill>
              </w:rPr>
              <w:t>二十六、橡胶和塑料制品业29—</w:t>
            </w:r>
            <w:r>
              <w:rPr>
                <w:rFonts w:hint="eastAsia" w:cs="Times New Roman"/>
                <w:color w:val="000000" w:themeColor="text1"/>
                <w:sz w:val="24"/>
                <w:szCs w:val="24"/>
                <w:highlight w:val="none"/>
                <w:lang w:val="en-US" w:eastAsia="zh-CN"/>
                <w14:textFill>
                  <w14:solidFill>
                    <w14:schemeClr w14:val="tx1"/>
                  </w14:solidFill>
                </w14:textFill>
              </w:rPr>
              <w:t>52、橡胶制品业291其他</w:t>
            </w:r>
            <w:r>
              <w:rPr>
                <w:rFonts w:hint="default" w:ascii="Times New Roman" w:hAnsi="Times New Roman" w:cs="Times New Roman"/>
                <w:color w:val="000000" w:themeColor="text1"/>
                <w:szCs w:val="24"/>
                <w:highlight w:val="none"/>
                <w14:textFill>
                  <w14:solidFill>
                    <w14:schemeClr w14:val="tx1"/>
                  </w14:solidFill>
                </w14:textFill>
              </w:rPr>
              <w:t>”，</w:t>
            </w:r>
            <w:r>
              <w:rPr>
                <w:rFonts w:hint="eastAsia" w:cs="Times New Roman"/>
                <w:color w:val="000000" w:themeColor="text1"/>
                <w:szCs w:val="24"/>
                <w:highlight w:val="none"/>
                <w:lang w:val="en-US" w:eastAsia="zh-CN"/>
                <w14:textFill>
                  <w14:solidFill>
                    <w14:schemeClr w14:val="tx1"/>
                  </w14:solidFill>
                </w14:textFill>
              </w:rPr>
              <w:t>项目</w:t>
            </w:r>
            <w:r>
              <w:rPr>
                <w:rFonts w:hint="default" w:ascii="Times New Roman" w:hAnsi="Times New Roman" w:cs="Times New Roman"/>
                <w:color w:val="000000" w:themeColor="text1"/>
                <w:szCs w:val="24"/>
                <w:highlight w:val="none"/>
                <w14:textFill>
                  <w14:solidFill>
                    <w14:schemeClr w14:val="tx1"/>
                  </w14:solidFill>
                </w14:textFill>
              </w:rPr>
              <w:t>按要求需要编制</w:t>
            </w:r>
            <w:r>
              <w:rPr>
                <w:rFonts w:hint="eastAsia" w:cs="Times New Roman"/>
                <w:color w:val="000000" w:themeColor="text1"/>
                <w:szCs w:val="24"/>
                <w:highlight w:val="none"/>
                <w:lang w:val="en-US" w:eastAsia="zh-CN"/>
                <w14:textFill>
                  <w14:solidFill>
                    <w14:schemeClr w14:val="tx1"/>
                  </w14:solidFill>
                </w14:textFill>
              </w:rPr>
              <w:t>生态</w:t>
            </w:r>
            <w:r>
              <w:rPr>
                <w:rFonts w:hint="default" w:ascii="Times New Roman" w:hAnsi="Times New Roman" w:cs="Times New Roman"/>
                <w:color w:val="000000" w:themeColor="text1"/>
                <w:szCs w:val="24"/>
                <w:highlight w:val="none"/>
                <w14:textFill>
                  <w14:solidFill>
                    <w14:schemeClr w14:val="tx1"/>
                  </w14:solidFill>
                </w14:textFill>
              </w:rPr>
              <w:t>环境影响报告表。</w:t>
            </w:r>
          </w:p>
          <w:p w14:paraId="567595E9">
            <w:pPr>
              <w:pStyle w:val="25"/>
              <w:ind w:firstLine="480" w:firstLineChars="20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为此，评价单位在建设单位大力支持下，立即开展了详细的现场调查、资料收集工作，在对本项目的环境现状和可能造成的环境影响进行分析后，依照《建设项目环境影响报告表编制技术指南（污染影响类）（试行）》的要求编制了本项目</w:t>
            </w:r>
            <w:r>
              <w:rPr>
                <w:rFonts w:hint="eastAsia" w:cs="Times New Roman"/>
                <w:bCs/>
                <w:color w:val="000000" w:themeColor="text1"/>
                <w:sz w:val="24"/>
                <w:highlight w:val="none"/>
                <w:lang w:val="en-US" w:eastAsia="zh-CN"/>
                <w14:textFill>
                  <w14:solidFill>
                    <w14:schemeClr w14:val="tx1"/>
                  </w14:solidFill>
                </w14:textFill>
              </w:rPr>
              <w:t>生态</w:t>
            </w:r>
            <w:r>
              <w:rPr>
                <w:rFonts w:hint="default" w:ascii="Times New Roman" w:hAnsi="Times New Roman" w:cs="Times New Roman"/>
                <w:bCs/>
                <w:color w:val="000000" w:themeColor="text1"/>
                <w:sz w:val="24"/>
                <w:highlight w:val="none"/>
                <w14:textFill>
                  <w14:solidFill>
                    <w14:schemeClr w14:val="tx1"/>
                  </w14:solidFill>
                </w14:textFill>
              </w:rPr>
              <w:t>环境影响报告表。</w:t>
            </w:r>
          </w:p>
          <w:p w14:paraId="27F9CB14">
            <w:pPr>
              <w:pStyle w:val="10"/>
              <w:numPr>
                <w:ilvl w:val="0"/>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二、项目内容及规模</w:t>
            </w:r>
          </w:p>
          <w:p w14:paraId="6A8936FB">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工程规模</w:t>
            </w:r>
          </w:p>
          <w:p w14:paraId="262980AA">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本项目租赁</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广东省</w:t>
            </w:r>
            <w:r>
              <w:rPr>
                <w:rFonts w:hint="eastAsia" w:cs="Times New Roman"/>
                <w:color w:val="000000" w:themeColor="text1"/>
                <w:kern w:val="0"/>
                <w:sz w:val="24"/>
                <w:szCs w:val="24"/>
                <w:highlight w:val="none"/>
                <w:lang w:val="en-US" w:eastAsia="zh-CN"/>
                <w14:textFill>
                  <w14:solidFill>
                    <w14:schemeClr w14:val="tx1"/>
                  </w14:solidFill>
                </w14:textFill>
              </w:rPr>
              <w:t>韶关市乐昌市乐昌市产业转移工业园乐园大道23号7栋1-4层</w:t>
            </w:r>
            <w:r>
              <w:rPr>
                <w:rFonts w:hint="default" w:ascii="Times New Roman" w:hAnsi="Times New Roman" w:cs="Times New Roman"/>
                <w:color w:val="000000" w:themeColor="text1"/>
                <w:highlight w:val="none"/>
                <w14:textFill>
                  <w14:solidFill>
                    <w14:schemeClr w14:val="tx1"/>
                  </w14:solidFill>
                </w14:textFill>
              </w:rPr>
              <w:t>进行</w:t>
            </w:r>
            <w:r>
              <w:rPr>
                <w:rFonts w:hint="eastAsia" w:cs="Times New Roman"/>
                <w:color w:val="000000" w:themeColor="text1"/>
                <w:highlight w:val="none"/>
                <w:lang w:val="en-US" w:eastAsia="zh-CN"/>
                <w14:textFill>
                  <w14:solidFill>
                    <w14:schemeClr w14:val="tx1"/>
                  </w14:solidFill>
                </w14:textFill>
              </w:rPr>
              <w:t>炼胶、切条、成型、移印等工序，本项目工程组成一览表</w:t>
            </w:r>
            <w:r>
              <w:rPr>
                <w:rFonts w:hint="default" w:ascii="Times New Roman" w:hAnsi="Times New Roman" w:cs="Times New Roman"/>
                <w:color w:val="000000" w:themeColor="text1"/>
                <w:highlight w:val="none"/>
                <w14:textFill>
                  <w14:solidFill>
                    <w14:schemeClr w14:val="tx1"/>
                  </w14:solidFill>
                </w14:textFill>
              </w:rPr>
              <w:t>见</w:t>
            </w:r>
            <w:r>
              <w:rPr>
                <w:rFonts w:hint="eastAsia" w:cs="Times New Roman"/>
                <w:color w:val="000000" w:themeColor="text1"/>
                <w:highlight w:val="none"/>
                <w:lang w:val="en-US" w:eastAsia="zh-CN"/>
                <w14:textFill>
                  <w14:solidFill>
                    <w14:schemeClr w14:val="tx1"/>
                  </w14:solidFill>
                </w14:textFill>
              </w:rPr>
              <w:t>表</w:t>
            </w:r>
            <w:r>
              <w:rPr>
                <w:rFonts w:hint="default" w:ascii="Times New Roman" w:hAnsi="Times New Roman" w:cs="Times New Roman"/>
                <w:color w:val="000000" w:themeColor="text1"/>
                <w:highlight w:val="none"/>
                <w14:textFill>
                  <w14:solidFill>
                    <w14:schemeClr w14:val="tx1"/>
                  </w14:solidFill>
                </w14:textFill>
              </w:rPr>
              <w:t>2-1，</w:t>
            </w:r>
            <w:r>
              <w:rPr>
                <w:rFonts w:hint="default" w:ascii="Times New Roman" w:hAnsi="Times New Roman" w:cs="Times New Roman"/>
                <w:color w:val="000000" w:themeColor="text1"/>
                <w:highlight w:val="none"/>
                <w:lang w:val="en-US" w:eastAsia="zh-CN"/>
                <w14:textFill>
                  <w14:solidFill>
                    <w14:schemeClr w14:val="tx1"/>
                  </w14:solidFill>
                </w14:textFill>
              </w:rPr>
              <w:t>车间</w:t>
            </w:r>
            <w:r>
              <w:rPr>
                <w:rFonts w:hint="default" w:ascii="Times New Roman" w:hAnsi="Times New Roman" w:cs="Times New Roman"/>
                <w:color w:val="000000" w:themeColor="text1"/>
                <w:highlight w:val="none"/>
                <w14:textFill>
                  <w14:solidFill>
                    <w14:schemeClr w14:val="tx1"/>
                  </w14:solidFill>
                </w14:textFill>
              </w:rPr>
              <w:t>平面布置图见附图</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zh-CN"/>
                <w14:textFill>
                  <w14:solidFill>
                    <w14:schemeClr w14:val="tx1"/>
                  </w14:solidFill>
                </w14:textFill>
              </w:rPr>
              <w:t>。</w:t>
            </w:r>
          </w:p>
          <w:p w14:paraId="36E0D21B">
            <w:pPr>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工程组成一览表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626"/>
              <w:gridCol w:w="5028"/>
            </w:tblGrid>
            <w:tr w14:paraId="3673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16263E0F">
                  <w:pPr>
                    <w:adjustRightInd w:val="0"/>
                    <w:spacing w:line="240" w:lineRule="auto"/>
                    <w:jc w:val="center"/>
                    <w:rPr>
                      <w:rFonts w:ascii="Times New Roman" w:hAnsi="Times New Roman"/>
                      <w:b/>
                      <w:bCs/>
                      <w:color w:val="000000" w:themeColor="text1"/>
                      <w:sz w:val="21"/>
                      <w:szCs w:val="21"/>
                      <w:highlight w:val="none"/>
                      <w14:textFill>
                        <w14:solidFill>
                          <w14:schemeClr w14:val="tx1"/>
                        </w14:solidFill>
                      </w14:textFill>
                    </w:rPr>
                  </w:pPr>
                  <w:r>
                    <w:rPr>
                      <w:rFonts w:ascii="Times New Roman" w:hAnsi="Times New Roman"/>
                      <w:b/>
                      <w:bCs/>
                      <w:color w:val="000000" w:themeColor="text1"/>
                      <w:sz w:val="21"/>
                      <w:szCs w:val="21"/>
                      <w:highlight w:val="none"/>
                      <w14:textFill>
                        <w14:solidFill>
                          <w14:schemeClr w14:val="tx1"/>
                        </w14:solidFill>
                      </w14:textFill>
                    </w:rPr>
                    <w:t>项目类别</w:t>
                  </w:r>
                </w:p>
              </w:tc>
              <w:tc>
                <w:tcPr>
                  <w:tcW w:w="1036" w:type="pct"/>
                  <w:vAlign w:val="center"/>
                </w:tcPr>
                <w:p w14:paraId="5DFB4979">
                  <w:pPr>
                    <w:adjustRightInd w:val="0"/>
                    <w:spacing w:line="240" w:lineRule="auto"/>
                    <w:jc w:val="center"/>
                    <w:rPr>
                      <w:rFonts w:ascii="Times New Roman" w:hAnsi="Times New Roman"/>
                      <w:b/>
                      <w:bCs/>
                      <w:color w:val="000000" w:themeColor="text1"/>
                      <w:sz w:val="21"/>
                      <w:szCs w:val="21"/>
                      <w:highlight w:val="none"/>
                      <w14:textFill>
                        <w14:solidFill>
                          <w14:schemeClr w14:val="tx1"/>
                        </w14:solidFill>
                      </w14:textFill>
                    </w:rPr>
                  </w:pPr>
                  <w:r>
                    <w:rPr>
                      <w:rFonts w:ascii="Times New Roman" w:hAnsi="Times New Roman"/>
                      <w:b/>
                      <w:bCs/>
                      <w:color w:val="000000" w:themeColor="text1"/>
                      <w:sz w:val="21"/>
                      <w:szCs w:val="21"/>
                      <w:highlight w:val="none"/>
                      <w14:textFill>
                        <w14:solidFill>
                          <w14:schemeClr w14:val="tx1"/>
                        </w14:solidFill>
                      </w14:textFill>
                    </w:rPr>
                    <w:t>建设内容</w:t>
                  </w:r>
                </w:p>
              </w:tc>
              <w:tc>
                <w:tcPr>
                  <w:tcW w:w="3203" w:type="pct"/>
                  <w:vAlign w:val="center"/>
                </w:tcPr>
                <w:p w14:paraId="07513280">
                  <w:pPr>
                    <w:adjustRightInd w:val="0"/>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工程组成内容</w:t>
                  </w:r>
                </w:p>
              </w:tc>
            </w:tr>
            <w:tr w14:paraId="26C5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594778AA">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主体工程</w:t>
                  </w:r>
                </w:p>
              </w:tc>
              <w:tc>
                <w:tcPr>
                  <w:tcW w:w="1036" w:type="pct"/>
                  <w:vAlign w:val="center"/>
                </w:tcPr>
                <w:p w14:paraId="35AC5D42">
                  <w:pPr>
                    <w:pStyle w:val="58"/>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生产厂房</w:t>
                  </w:r>
                </w:p>
              </w:tc>
              <w:tc>
                <w:tcPr>
                  <w:tcW w:w="3203" w:type="pct"/>
                  <w:shd w:val="clear" w:color="auto" w:fill="auto"/>
                  <w:vAlign w:val="center"/>
                </w:tcPr>
                <w:p w14:paraId="58950574">
                  <w:pPr>
                    <w:adjustRightInd w:val="0"/>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F，</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w:t>
                  </w:r>
                  <w:r>
                    <w:rPr>
                      <w:rFonts w:hint="default" w:ascii="Times New Roman" w:hAnsi="Times New Roman" w:cs="Times New Roman"/>
                      <w:color w:val="000000" w:themeColor="text1"/>
                      <w:sz w:val="21"/>
                      <w:szCs w:val="21"/>
                      <w:highlight w:val="none"/>
                      <w14:textFill>
                        <w14:solidFill>
                          <w14:schemeClr w14:val="tx1"/>
                        </w14:solidFill>
                      </w14:textFill>
                    </w:rPr>
                    <w:t>面积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约1131</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，主要进行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炼胶、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切条、</w:t>
                  </w:r>
                  <w:r>
                    <w:rPr>
                      <w:rFonts w:hint="eastAsia" w:cs="Times New Roman"/>
                      <w:color w:val="000000" w:themeColor="text1"/>
                      <w:sz w:val="21"/>
                      <w:szCs w:val="21"/>
                      <w:highlight w:val="none"/>
                      <w:lang w:val="en-US" w:eastAsia="zh-CN"/>
                      <w14:textFill>
                        <w14:solidFill>
                          <w14:schemeClr w14:val="tx1"/>
                        </w14:solidFill>
                      </w14:textFill>
                    </w:rPr>
                    <w:t>硫化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成型</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设置炼胶机、切料机、</w:t>
                  </w:r>
                  <w:r>
                    <w:rPr>
                      <w:rFonts w:hint="eastAsia" w:cs="Times New Roman"/>
                      <w:color w:val="000000" w:themeColor="text1"/>
                      <w:sz w:val="21"/>
                      <w:szCs w:val="21"/>
                      <w:highlight w:val="none"/>
                      <w:lang w:val="en-US" w:eastAsia="zh-CN"/>
                      <w14:textFill>
                        <w14:solidFill>
                          <w14:schemeClr w14:val="tx1"/>
                        </w14:solidFill>
                      </w14:textFill>
                    </w:rPr>
                    <w:t>硫化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成型机。</w:t>
                  </w:r>
                </w:p>
                <w:p w14:paraId="6E8372D2">
                  <w:pPr>
                    <w:pStyle w:val="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2F</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建筑面积1131m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，主要进行</w:t>
                  </w:r>
                  <w:r>
                    <w:rPr>
                      <w:rFonts w:hint="eastAsia" w:ascii="Times New Roman" w:cs="Times New Roman"/>
                      <w:color w:val="000000" w:themeColor="text1"/>
                      <w:sz w:val="21"/>
                      <w:szCs w:val="21"/>
                      <w:highlight w:val="none"/>
                      <w:lang w:val="en-US" w:eastAsia="zh-CN"/>
                      <w14:textFill>
                        <w14:solidFill>
                          <w14:schemeClr w14:val="tx1"/>
                        </w14:solidFill>
                      </w14:textFill>
                    </w:rPr>
                    <w:t>移印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、烘烤。</w:t>
                  </w:r>
                </w:p>
              </w:tc>
            </w:tr>
            <w:tr w14:paraId="3FD2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0B32A8B8">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辅助工程</w:t>
                  </w:r>
                </w:p>
              </w:tc>
              <w:tc>
                <w:tcPr>
                  <w:tcW w:w="1036" w:type="pct"/>
                  <w:vAlign w:val="center"/>
                </w:tcPr>
                <w:p w14:paraId="52BEEDB8">
                  <w:pPr>
                    <w:adjustRightInd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办公</w:t>
                  </w:r>
                  <w:r>
                    <w:rPr>
                      <w:rFonts w:hint="eastAsia"/>
                      <w:color w:val="000000" w:themeColor="text1"/>
                      <w:sz w:val="21"/>
                      <w:szCs w:val="21"/>
                      <w:highlight w:val="none"/>
                      <w:lang w:val="en-US" w:eastAsia="zh-CN"/>
                      <w14:textFill>
                        <w14:solidFill>
                          <w14:schemeClr w14:val="tx1"/>
                        </w14:solidFill>
                      </w14:textFill>
                    </w:rPr>
                    <w:t>室</w:t>
                  </w:r>
                </w:p>
              </w:tc>
              <w:tc>
                <w:tcPr>
                  <w:tcW w:w="3203" w:type="pct"/>
                  <w:shd w:val="clear" w:color="auto" w:fill="auto"/>
                  <w:vAlign w:val="center"/>
                </w:tcPr>
                <w:p w14:paraId="6538DC63">
                  <w:pPr>
                    <w:adjustRightIn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占地面积</w:t>
                  </w:r>
                  <w:r>
                    <w:rPr>
                      <w:rFonts w:hint="eastAsia"/>
                      <w:color w:val="000000" w:themeColor="text1"/>
                      <w:sz w:val="21"/>
                      <w:szCs w:val="21"/>
                      <w:highlight w:val="none"/>
                      <w:lang w:val="en-US" w:eastAsia="zh-CN"/>
                      <w14:textFill>
                        <w14:solidFill>
                          <w14:schemeClr w14:val="tx1"/>
                        </w14:solidFill>
                      </w14:textFill>
                    </w:rPr>
                    <w:t>50</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位于生产厂房</w:t>
                  </w:r>
                  <w:r>
                    <w:rPr>
                      <w:rFonts w:hint="eastAsia"/>
                      <w:color w:val="000000" w:themeColor="text1"/>
                      <w:sz w:val="21"/>
                      <w:szCs w:val="21"/>
                      <w:highlight w:val="none"/>
                      <w:lang w:val="en-US" w:eastAsia="zh-CN"/>
                      <w14:textFill>
                        <w14:solidFill>
                          <w14:schemeClr w14:val="tx1"/>
                        </w14:solidFill>
                      </w14:textFill>
                    </w:rPr>
                    <w:t>1F西</w:t>
                  </w:r>
                  <w:r>
                    <w:rPr>
                      <w:rFonts w:hint="eastAsia"/>
                      <w:color w:val="000000" w:themeColor="text1"/>
                      <w:sz w:val="21"/>
                      <w:szCs w:val="21"/>
                      <w:highlight w:val="none"/>
                      <w14:textFill>
                        <w14:solidFill>
                          <w14:schemeClr w14:val="tx1"/>
                        </w14:solidFill>
                      </w14:textFill>
                    </w:rPr>
                    <w:t>面，用于行政办公、产品研发</w:t>
                  </w:r>
                </w:p>
              </w:tc>
            </w:tr>
            <w:tr w14:paraId="60D1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60" w:type="pct"/>
                  <w:vAlign w:val="center"/>
                </w:tcPr>
                <w:p w14:paraId="1D35D4EC">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储运工程</w:t>
                  </w:r>
                </w:p>
              </w:tc>
              <w:tc>
                <w:tcPr>
                  <w:tcW w:w="1036" w:type="pct"/>
                  <w:vAlign w:val="center"/>
                </w:tcPr>
                <w:p w14:paraId="2E98BEFD">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仓库</w:t>
                  </w:r>
                </w:p>
              </w:tc>
              <w:tc>
                <w:tcPr>
                  <w:tcW w:w="3203" w:type="pct"/>
                  <w:shd w:val="clear" w:color="auto" w:fill="auto"/>
                  <w:vAlign w:val="center"/>
                </w:tcPr>
                <w:p w14:paraId="27E10882">
                  <w:pPr>
                    <w:adjustRightIn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3F~4F，3F用于原辅材料暂存，4F用于产品暂存</w:t>
                  </w:r>
                </w:p>
              </w:tc>
            </w:tr>
            <w:tr w14:paraId="590E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restart"/>
                  <w:vAlign w:val="center"/>
                </w:tcPr>
                <w:p w14:paraId="29FA37E7">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公用工程</w:t>
                  </w:r>
                </w:p>
              </w:tc>
              <w:tc>
                <w:tcPr>
                  <w:tcW w:w="1036" w:type="pct"/>
                  <w:vAlign w:val="center"/>
                </w:tcPr>
                <w:p w14:paraId="56154C89">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供水系统</w:t>
                  </w:r>
                </w:p>
              </w:tc>
              <w:tc>
                <w:tcPr>
                  <w:tcW w:w="3203" w:type="pct"/>
                  <w:shd w:val="clear" w:color="auto" w:fill="auto"/>
                  <w:vAlign w:val="center"/>
                </w:tcPr>
                <w:p w14:paraId="7DD37240">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由当地自来水管网供给</w:t>
                  </w:r>
                </w:p>
              </w:tc>
            </w:tr>
            <w:tr w14:paraId="2660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pct"/>
                  <w:vMerge w:val="continue"/>
                  <w:vAlign w:val="center"/>
                </w:tcPr>
                <w:p w14:paraId="0780EECE">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709E52EF">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排水系统</w:t>
                  </w:r>
                </w:p>
              </w:tc>
              <w:tc>
                <w:tcPr>
                  <w:tcW w:w="3203" w:type="pct"/>
                  <w:shd w:val="clear" w:color="auto" w:fill="auto"/>
                  <w:vAlign w:val="center"/>
                </w:tcPr>
                <w:p w14:paraId="10D4A886">
                  <w:pPr>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雨水：雨水经厂区雨水管网收集后，排入</w:t>
                  </w:r>
                  <w:r>
                    <w:rPr>
                      <w:rFonts w:hint="eastAsia"/>
                      <w:color w:val="000000" w:themeColor="text1"/>
                      <w:sz w:val="21"/>
                      <w:szCs w:val="21"/>
                      <w:highlight w:val="none"/>
                      <w14:textFill>
                        <w14:solidFill>
                          <w14:schemeClr w14:val="tx1"/>
                        </w14:solidFill>
                      </w14:textFill>
                    </w:rPr>
                    <w:t>园区</w:t>
                  </w:r>
                  <w:r>
                    <w:rPr>
                      <w:rFonts w:ascii="Times New Roman" w:hAnsi="Times New Roman"/>
                      <w:color w:val="000000" w:themeColor="text1"/>
                      <w:sz w:val="21"/>
                      <w:szCs w:val="21"/>
                      <w:highlight w:val="none"/>
                      <w14:textFill>
                        <w14:solidFill>
                          <w14:schemeClr w14:val="tx1"/>
                        </w14:solidFill>
                      </w14:textFill>
                    </w:rPr>
                    <w:t>雨水管网；</w:t>
                  </w:r>
                </w:p>
                <w:p w14:paraId="698CCCD3">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生活污水：本项目生活污水，经</w:t>
                  </w:r>
                  <w:r>
                    <w:rPr>
                      <w:rFonts w:hint="eastAsia"/>
                      <w:color w:val="000000" w:themeColor="text1"/>
                      <w:sz w:val="21"/>
                      <w:szCs w:val="21"/>
                      <w:highlight w:val="none"/>
                      <w:lang w:eastAsia="zh-CN"/>
                      <w14:textFill>
                        <w14:solidFill>
                          <w14:schemeClr w14:val="tx1"/>
                        </w14:solidFill>
                      </w14:textFill>
                    </w:rPr>
                    <w:t>三级化粪池</w:t>
                  </w:r>
                  <w:r>
                    <w:rPr>
                      <w:rFonts w:ascii="Times New Roman" w:hAnsi="Times New Roman"/>
                      <w:color w:val="000000" w:themeColor="text1"/>
                      <w:sz w:val="21"/>
                      <w:szCs w:val="21"/>
                      <w:highlight w:val="none"/>
                      <w14:textFill>
                        <w14:solidFill>
                          <w14:schemeClr w14:val="tx1"/>
                        </w14:solidFill>
                      </w14:textFill>
                    </w:rPr>
                    <w:t>预处理后，排入园区污水处理厂进一步处理，达标后排放至武江</w:t>
                  </w:r>
                  <w:r>
                    <w:rPr>
                      <w:rFonts w:hint="eastAsia"/>
                      <w:color w:val="000000" w:themeColor="text1"/>
                      <w:sz w:val="21"/>
                      <w:szCs w:val="21"/>
                      <w:highlight w:val="none"/>
                      <w14:textFill>
                        <w14:solidFill>
                          <w14:schemeClr w14:val="tx1"/>
                        </w14:solidFill>
                      </w14:textFill>
                    </w:rPr>
                    <w:t>；生产废水：本项目无生产废水外排</w:t>
                  </w:r>
                </w:p>
              </w:tc>
            </w:tr>
            <w:tr w14:paraId="5B03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4C6BDFAB">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00DFEEC3">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供电系统</w:t>
                  </w:r>
                </w:p>
              </w:tc>
              <w:tc>
                <w:tcPr>
                  <w:tcW w:w="3203" w:type="pct"/>
                  <w:shd w:val="clear" w:color="auto" w:fill="auto"/>
                  <w:vAlign w:val="center"/>
                </w:tcPr>
                <w:p w14:paraId="1D5B28DB">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由市政电网供给，不设备用发电机</w:t>
                  </w:r>
                </w:p>
              </w:tc>
            </w:tr>
            <w:tr w14:paraId="39BF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60" w:type="pct"/>
                  <w:vMerge w:val="restart"/>
                  <w:vAlign w:val="center"/>
                </w:tcPr>
                <w:p w14:paraId="06489991">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环保工程</w:t>
                  </w:r>
                </w:p>
              </w:tc>
              <w:tc>
                <w:tcPr>
                  <w:tcW w:w="1036" w:type="pct"/>
                  <w:vAlign w:val="center"/>
                </w:tcPr>
                <w:p w14:paraId="397E61DB">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废气处理设施</w:t>
                  </w:r>
                </w:p>
              </w:tc>
              <w:tc>
                <w:tcPr>
                  <w:tcW w:w="3203" w:type="pct"/>
                  <w:shd w:val="clear" w:color="auto" w:fill="auto"/>
                  <w:vAlign w:val="center"/>
                </w:tcPr>
                <w:p w14:paraId="074A7C54">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炼胶、成型</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移印、烘烤工序</w:t>
                  </w:r>
                  <w:r>
                    <w:rPr>
                      <w:rFonts w:hint="eastAsia"/>
                      <w:color w:val="000000" w:themeColor="text1"/>
                      <w:sz w:val="21"/>
                      <w:szCs w:val="21"/>
                      <w:highlight w:val="none"/>
                      <w14:textFill>
                        <w14:solidFill>
                          <w14:schemeClr w14:val="tx1"/>
                        </w14:solidFill>
                      </w14:textFill>
                    </w:rPr>
                    <w:t>中有机废气经</w:t>
                  </w:r>
                  <w:r>
                    <w:rPr>
                      <w:rFonts w:ascii="Times New Roman" w:hAnsi="Times New Roman"/>
                      <w:color w:val="000000" w:themeColor="text1"/>
                      <w:sz w:val="21"/>
                      <w:szCs w:val="21"/>
                      <w:highlight w:val="none"/>
                      <w14:textFill>
                        <w14:solidFill>
                          <w14:schemeClr w14:val="tx1"/>
                        </w14:solidFill>
                      </w14:textFill>
                    </w:rPr>
                    <w:t>“二级活性炭吸附装置”</w:t>
                  </w:r>
                  <w:r>
                    <w:rPr>
                      <w:rFonts w:hint="eastAsia"/>
                      <w:color w:val="000000" w:themeColor="text1"/>
                      <w:sz w:val="21"/>
                      <w:szCs w:val="21"/>
                      <w:highlight w:val="none"/>
                      <w14:textFill>
                        <w14:solidFill>
                          <w14:schemeClr w14:val="tx1"/>
                        </w14:solidFill>
                      </w14:textFill>
                    </w:rPr>
                    <w:t>收集</w:t>
                  </w:r>
                  <w:r>
                    <w:rPr>
                      <w:rFonts w:ascii="Times New Roman" w:hAnsi="Times New Roman"/>
                      <w:color w:val="000000" w:themeColor="text1"/>
                      <w:sz w:val="21"/>
                      <w:szCs w:val="21"/>
                      <w:highlight w:val="none"/>
                      <w14:textFill>
                        <w14:solidFill>
                          <w14:schemeClr w14:val="tx1"/>
                        </w14:solidFill>
                      </w14:textFill>
                    </w:rPr>
                    <w:t>处理，达标后通过一根</w:t>
                  </w:r>
                  <w:r>
                    <w:rPr>
                      <w:rFonts w:hint="eastAsia"/>
                      <w:color w:val="000000" w:themeColor="text1"/>
                      <w:sz w:val="21"/>
                      <w:szCs w:val="21"/>
                      <w:highlight w:val="none"/>
                      <w:lang w:val="en-US" w:eastAsia="zh-CN"/>
                      <w14:textFill>
                        <w14:solidFill>
                          <w14:schemeClr w14:val="tx1"/>
                        </w14:solidFill>
                      </w14:textFill>
                    </w:rPr>
                    <w:t>25</w:t>
                  </w:r>
                  <w:r>
                    <w:rPr>
                      <w:rFonts w:hint="eastAsia"/>
                      <w:color w:val="000000" w:themeColor="text1"/>
                      <w:sz w:val="21"/>
                      <w:szCs w:val="21"/>
                      <w:highlight w:val="none"/>
                      <w:lang w:eastAsia="zh-CN"/>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w:t>
                  </w:r>
                  <w:r>
                    <w:rPr>
                      <w:rFonts w:ascii="Times New Roman" w:hAnsi="Times New Roman"/>
                      <w:color w:val="000000" w:themeColor="text1"/>
                      <w:sz w:val="21"/>
                      <w:szCs w:val="21"/>
                      <w:highlight w:val="none"/>
                      <w14:textFill>
                        <w14:solidFill>
                          <w14:schemeClr w14:val="tx1"/>
                        </w14:solidFill>
                      </w14:textFill>
                    </w:rPr>
                    <w:t>排气筒DA00</w:t>
                  </w:r>
                  <w:r>
                    <w:rPr>
                      <w:rFonts w:hint="eastAsia"/>
                      <w:color w:val="000000" w:themeColor="text1"/>
                      <w:sz w:val="21"/>
                      <w:szCs w:val="21"/>
                      <w:highlight w:val="none"/>
                      <w:lang w:val="en-US" w:eastAsia="zh-CN"/>
                      <w14:textFill>
                        <w14:solidFill>
                          <w14:schemeClr w14:val="tx1"/>
                        </w14:solidFill>
                      </w14:textFill>
                    </w:rPr>
                    <w:t>1</w:t>
                  </w:r>
                  <w:r>
                    <w:rPr>
                      <w:rFonts w:ascii="Times New Roman" w:hAnsi="Times New Roman"/>
                      <w:color w:val="000000" w:themeColor="text1"/>
                      <w:sz w:val="21"/>
                      <w:szCs w:val="21"/>
                      <w:highlight w:val="none"/>
                      <w14:textFill>
                        <w14:solidFill>
                          <w14:schemeClr w14:val="tx1"/>
                        </w14:solidFill>
                      </w14:textFill>
                    </w:rPr>
                    <w:t>高空排放</w:t>
                  </w:r>
                </w:p>
              </w:tc>
            </w:tr>
            <w:tr w14:paraId="4FA2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5ABB5C16">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37251263">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废水处理设施</w:t>
                  </w:r>
                </w:p>
              </w:tc>
              <w:tc>
                <w:tcPr>
                  <w:tcW w:w="3203" w:type="pct"/>
                  <w:shd w:val="clear" w:color="auto" w:fill="auto"/>
                  <w:vAlign w:val="center"/>
                </w:tcPr>
                <w:p w14:paraId="63DD1F0C">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生活污水采取“</w:t>
                  </w:r>
                  <w:r>
                    <w:rPr>
                      <w:rFonts w:hint="eastAsia"/>
                      <w:color w:val="000000" w:themeColor="text1"/>
                      <w:sz w:val="21"/>
                      <w:szCs w:val="21"/>
                      <w:highlight w:val="none"/>
                      <w:lang w:eastAsia="zh-CN"/>
                      <w14:textFill>
                        <w14:solidFill>
                          <w14:schemeClr w14:val="tx1"/>
                        </w14:solidFill>
                      </w14:textFill>
                    </w:rPr>
                    <w:t>三级化粪池</w:t>
                  </w:r>
                  <w:r>
                    <w:rPr>
                      <w:rFonts w:ascii="Times New Roman" w:hAnsi="Times New Roman"/>
                      <w:color w:val="000000" w:themeColor="text1"/>
                      <w:sz w:val="21"/>
                      <w:szCs w:val="21"/>
                      <w:highlight w:val="none"/>
                      <w14:textFill>
                        <w14:solidFill>
                          <w14:schemeClr w14:val="tx1"/>
                        </w14:solidFill>
                      </w14:textFill>
                    </w:rPr>
                    <w:t>”预处理后，一同排入园区污水处理厂进一步处理，达标后排放至武江</w:t>
                  </w:r>
                </w:p>
              </w:tc>
            </w:tr>
            <w:tr w14:paraId="1657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5FAFD0D2">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3934C137">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噪声防治措施</w:t>
                  </w:r>
                </w:p>
              </w:tc>
              <w:tc>
                <w:tcPr>
                  <w:tcW w:w="3203" w:type="pct"/>
                  <w:shd w:val="clear" w:color="auto" w:fill="auto"/>
                  <w:vAlign w:val="center"/>
                </w:tcPr>
                <w:p w14:paraId="207CE95A">
                  <w:pPr>
                    <w:adjustRightIn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减振、隔声</w:t>
                  </w:r>
                </w:p>
              </w:tc>
            </w:tr>
            <w:tr w14:paraId="1855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60" w:type="pct"/>
                  <w:vMerge w:val="continue"/>
                  <w:vAlign w:val="center"/>
                </w:tcPr>
                <w:p w14:paraId="10796A26">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p>
              </w:tc>
              <w:tc>
                <w:tcPr>
                  <w:tcW w:w="1036" w:type="pct"/>
                  <w:vAlign w:val="center"/>
                </w:tcPr>
                <w:p w14:paraId="0DA5ADA2">
                  <w:pPr>
                    <w:adjustRightInd w:val="0"/>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固废污染防治措施</w:t>
                  </w:r>
                </w:p>
              </w:tc>
              <w:tc>
                <w:tcPr>
                  <w:tcW w:w="3203" w:type="pct"/>
                  <w:shd w:val="clear" w:color="auto" w:fill="auto"/>
                  <w:vAlign w:val="center"/>
                </w:tcPr>
                <w:p w14:paraId="6CF6CEEC">
                  <w:pPr>
                    <w:adjustRightInd w:val="0"/>
                    <w:spacing w:line="240" w:lineRule="auto"/>
                    <w:jc w:val="left"/>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危险废物暂存间建筑面积</w:t>
                  </w:r>
                  <w:r>
                    <w:rPr>
                      <w:rFonts w:hint="eastAsia"/>
                      <w:color w:val="000000" w:themeColor="text1"/>
                      <w:sz w:val="21"/>
                      <w:szCs w:val="21"/>
                      <w:highlight w:val="none"/>
                      <w:lang w:val="en-US" w:eastAsia="zh-CN"/>
                      <w14:textFill>
                        <w14:solidFill>
                          <w14:schemeClr w14:val="tx1"/>
                        </w14:solidFill>
                      </w14:textFill>
                    </w:rPr>
                    <w:t>10</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ascii="Times New Roman" w:hAnsi="Times New Roman"/>
                      <w:color w:val="000000" w:themeColor="text1"/>
                      <w:sz w:val="21"/>
                      <w:szCs w:val="21"/>
                      <w:highlight w:val="none"/>
                      <w14:textFill>
                        <w14:solidFill>
                          <w14:schemeClr w14:val="tx1"/>
                        </w14:solidFill>
                      </w14:textFill>
                    </w:rPr>
                    <w:t>，设置于</w:t>
                  </w:r>
                  <w:r>
                    <w:rPr>
                      <w:rFonts w:hint="eastAsia" w:ascii="Times New Roman" w:hAnsi="Times New Roman"/>
                      <w:color w:val="000000" w:themeColor="text1"/>
                      <w:sz w:val="21"/>
                      <w:szCs w:val="21"/>
                      <w:highlight w:val="none"/>
                      <w14:textFill>
                        <w14:solidFill>
                          <w14:schemeClr w14:val="tx1"/>
                        </w14:solidFill>
                      </w14:textFill>
                    </w:rPr>
                    <w:t>生产厂房</w:t>
                  </w:r>
                  <w:r>
                    <w:rPr>
                      <w:rFonts w:hint="eastAsia"/>
                      <w:color w:val="000000" w:themeColor="text1"/>
                      <w:sz w:val="21"/>
                      <w:szCs w:val="21"/>
                      <w:highlight w:val="none"/>
                      <w:lang w:val="en-US" w:eastAsia="zh-CN"/>
                      <w14:textFill>
                        <w14:solidFill>
                          <w14:schemeClr w14:val="tx1"/>
                        </w14:solidFill>
                      </w14:textFill>
                    </w:rPr>
                    <w:t>西</w:t>
                  </w:r>
                  <w:r>
                    <w:rPr>
                      <w:rFonts w:hint="eastAsia"/>
                      <w:color w:val="000000" w:themeColor="text1"/>
                      <w:sz w:val="21"/>
                      <w:szCs w:val="21"/>
                      <w:highlight w:val="none"/>
                      <w14:textFill>
                        <w14:solidFill>
                          <w14:schemeClr w14:val="tx1"/>
                        </w14:solidFill>
                      </w14:textFill>
                    </w:rPr>
                    <w:t>南侧</w:t>
                  </w:r>
                  <w:r>
                    <w:rPr>
                      <w:rFonts w:ascii="Times New Roman" w:hAnsi="Times New Roman"/>
                      <w:color w:val="000000" w:themeColor="text1"/>
                      <w:sz w:val="21"/>
                      <w:szCs w:val="21"/>
                      <w:highlight w:val="none"/>
                      <w14:textFill>
                        <w14:solidFill>
                          <w14:schemeClr w14:val="tx1"/>
                        </w14:solidFill>
                      </w14:textFill>
                    </w:rPr>
                    <w:t>，用于危险废物存放；</w:t>
                  </w:r>
                </w:p>
                <w:p w14:paraId="59DA589C">
                  <w:pPr>
                    <w:adjustRightInd w:val="0"/>
                    <w:spacing w:line="240" w:lineRule="auto"/>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一般固体废物暂存间占地面积</w:t>
                  </w:r>
                  <w:r>
                    <w:rPr>
                      <w:rFonts w:hint="eastAsia"/>
                      <w:color w:val="000000" w:themeColor="text1"/>
                      <w:sz w:val="21"/>
                      <w:szCs w:val="21"/>
                      <w:highlight w:val="none"/>
                      <w14:textFill>
                        <w14:solidFill>
                          <w14:schemeClr w14:val="tx1"/>
                        </w14:solidFill>
                      </w14:textFill>
                    </w:rPr>
                    <w:t>4</w:t>
                  </w:r>
                  <w:r>
                    <w:rPr>
                      <w:rFonts w:ascii="Times New Roman" w:hAnsi="Times New Roman"/>
                      <w:color w:val="000000" w:themeColor="text1"/>
                      <w:sz w:val="21"/>
                      <w:szCs w:val="21"/>
                      <w:highlight w:val="none"/>
                      <w14:textFill>
                        <w14:solidFill>
                          <w14:schemeClr w14:val="tx1"/>
                        </w14:solidFill>
                      </w14:textFill>
                    </w:rPr>
                    <w:t>m</w:t>
                  </w:r>
                  <w:r>
                    <w:rPr>
                      <w:rFonts w:ascii="Times New Roman" w:hAnsi="Times New Roman"/>
                      <w:color w:val="000000" w:themeColor="text1"/>
                      <w:sz w:val="21"/>
                      <w:szCs w:val="21"/>
                      <w:highlight w:val="none"/>
                      <w:vertAlign w:val="superscript"/>
                      <w14:textFill>
                        <w14:solidFill>
                          <w14:schemeClr w14:val="tx1"/>
                        </w14:solidFill>
                      </w14:textFill>
                    </w:rPr>
                    <w:t>2</w:t>
                  </w:r>
                  <w:r>
                    <w:rPr>
                      <w:rFonts w:ascii="Times New Roman" w:hAnsi="Times New Roman"/>
                      <w:color w:val="000000" w:themeColor="text1"/>
                      <w:sz w:val="21"/>
                      <w:szCs w:val="21"/>
                      <w:highlight w:val="none"/>
                      <w14:textFill>
                        <w14:solidFill>
                          <w14:schemeClr w14:val="tx1"/>
                        </w14:solidFill>
                      </w14:textFill>
                    </w:rPr>
                    <w:t>，设置于</w:t>
                  </w:r>
                  <w:r>
                    <w:rPr>
                      <w:rFonts w:hint="eastAsia" w:ascii="Times New Roman" w:hAnsi="Times New Roman"/>
                      <w:color w:val="000000" w:themeColor="text1"/>
                      <w:sz w:val="21"/>
                      <w:szCs w:val="21"/>
                      <w:highlight w:val="none"/>
                      <w14:textFill>
                        <w14:solidFill>
                          <w14:schemeClr w14:val="tx1"/>
                        </w14:solidFill>
                      </w14:textFill>
                    </w:rPr>
                    <w:t>生产厂房</w:t>
                  </w:r>
                  <w:r>
                    <w:rPr>
                      <w:rFonts w:hint="eastAsia"/>
                      <w:color w:val="000000" w:themeColor="text1"/>
                      <w:sz w:val="21"/>
                      <w:szCs w:val="21"/>
                      <w:highlight w:val="none"/>
                      <w:lang w:val="en-US" w:eastAsia="zh-CN"/>
                      <w14:textFill>
                        <w14:solidFill>
                          <w14:schemeClr w14:val="tx1"/>
                        </w14:solidFill>
                      </w14:textFill>
                    </w:rPr>
                    <w:t>西</w:t>
                  </w:r>
                  <w:r>
                    <w:rPr>
                      <w:rFonts w:hint="eastAsia"/>
                      <w:color w:val="000000" w:themeColor="text1"/>
                      <w:sz w:val="21"/>
                      <w:szCs w:val="21"/>
                      <w:highlight w:val="none"/>
                      <w14:textFill>
                        <w14:solidFill>
                          <w14:schemeClr w14:val="tx1"/>
                        </w14:solidFill>
                      </w14:textFill>
                    </w:rPr>
                    <w:t>南侧</w:t>
                  </w:r>
                  <w:r>
                    <w:rPr>
                      <w:rFonts w:ascii="Times New Roman" w:hAnsi="Times New Roman"/>
                      <w:color w:val="000000" w:themeColor="text1"/>
                      <w:sz w:val="21"/>
                      <w:szCs w:val="21"/>
                      <w:highlight w:val="none"/>
                      <w14:textFill>
                        <w14:solidFill>
                          <w14:schemeClr w14:val="tx1"/>
                        </w14:solidFill>
                      </w14:textFill>
                    </w:rPr>
                    <w:t>，用于一般固废暂存</w:t>
                  </w:r>
                  <w:r>
                    <w:rPr>
                      <w:rFonts w:hint="eastAsia"/>
                      <w:color w:val="000000" w:themeColor="text1"/>
                      <w:sz w:val="21"/>
                      <w:szCs w:val="21"/>
                      <w:highlight w:val="none"/>
                      <w14:textFill>
                        <w14:solidFill>
                          <w14:schemeClr w14:val="tx1"/>
                        </w14:solidFill>
                      </w14:textFill>
                    </w:rPr>
                    <w:t>。</w:t>
                  </w:r>
                </w:p>
              </w:tc>
            </w:tr>
          </w:tbl>
          <w:p w14:paraId="58D82245">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产品方案</w:t>
            </w:r>
          </w:p>
          <w:p w14:paraId="4A1CFCF7">
            <w:pPr>
              <w:tabs>
                <w:tab w:val="left" w:pos="6960"/>
              </w:tabs>
              <w:ind w:firstLine="480" w:firstLineChars="20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本项目生产产品见下表。</w:t>
            </w:r>
          </w:p>
          <w:p w14:paraId="78F2C453">
            <w:pPr>
              <w:widowControl/>
              <w:numPr>
                <w:ilvl w:val="0"/>
                <w:numId w:val="8"/>
              </w:numPr>
              <w:spacing w:line="240" w:lineRule="auto"/>
              <w:ind w:left="0" w:leftChars="0" w:firstLine="40" w:firstLine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产品产量一览表</w:t>
            </w:r>
          </w:p>
          <w:tbl>
            <w:tblPr>
              <w:tblStyle w:val="46"/>
              <w:tblW w:w="4998" w:type="pct"/>
              <w:jc w:val="center"/>
              <w:tblLayout w:type="autofit"/>
              <w:tblCellMar>
                <w:top w:w="0" w:type="dxa"/>
                <w:left w:w="57" w:type="dxa"/>
                <w:bottom w:w="0" w:type="dxa"/>
                <w:right w:w="57" w:type="dxa"/>
              </w:tblCellMar>
            </w:tblPr>
            <w:tblGrid>
              <w:gridCol w:w="1284"/>
              <w:gridCol w:w="2735"/>
              <w:gridCol w:w="3838"/>
            </w:tblGrid>
            <w:tr w14:paraId="1B5EB4BB">
              <w:tblPrEx>
                <w:tblCellMar>
                  <w:top w:w="0" w:type="dxa"/>
                  <w:left w:w="57" w:type="dxa"/>
                  <w:bottom w:w="0" w:type="dxa"/>
                  <w:right w:w="57" w:type="dxa"/>
                </w:tblCellMar>
              </w:tblPrEx>
              <w:trPr>
                <w:cantSplit/>
                <w:trHeight w:val="324" w:hRule="atLeast"/>
                <w:jc w:val="center"/>
              </w:trPr>
              <w:tc>
                <w:tcPr>
                  <w:tcW w:w="817" w:type="pct"/>
                  <w:tcBorders>
                    <w:top w:val="single" w:color="auto" w:sz="6" w:space="0"/>
                    <w:left w:val="single" w:color="auto" w:sz="6" w:space="0"/>
                    <w:bottom w:val="single" w:color="auto" w:sz="6" w:space="0"/>
                    <w:right w:val="single" w:color="auto" w:sz="6" w:space="0"/>
                  </w:tcBorders>
                  <w:vAlign w:val="center"/>
                </w:tcPr>
                <w:p w14:paraId="11048D55">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序号</w:t>
                  </w:r>
                </w:p>
              </w:tc>
              <w:tc>
                <w:tcPr>
                  <w:tcW w:w="1740" w:type="pct"/>
                  <w:tcBorders>
                    <w:top w:val="single" w:color="auto" w:sz="6" w:space="0"/>
                    <w:left w:val="nil"/>
                    <w:bottom w:val="single" w:color="auto" w:sz="6" w:space="0"/>
                    <w:right w:val="single" w:color="auto" w:sz="6" w:space="0"/>
                  </w:tcBorders>
                  <w:vAlign w:val="center"/>
                </w:tcPr>
                <w:p w14:paraId="69EDD3F0">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产品名称</w:t>
                  </w:r>
                </w:p>
              </w:tc>
              <w:tc>
                <w:tcPr>
                  <w:tcW w:w="2442" w:type="pct"/>
                  <w:tcBorders>
                    <w:top w:val="single" w:color="auto" w:sz="6" w:space="0"/>
                    <w:left w:val="nil"/>
                    <w:bottom w:val="single" w:color="auto" w:sz="6" w:space="0"/>
                    <w:right w:val="single" w:color="auto" w:sz="4" w:space="0"/>
                  </w:tcBorders>
                  <w:shd w:val="clear" w:color="auto" w:fill="auto"/>
                  <w:vAlign w:val="center"/>
                </w:tcPr>
                <w:p w14:paraId="7F39045E">
                  <w:pPr>
                    <w:spacing w:line="240" w:lineRule="auto"/>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建成投产后</w:t>
                  </w:r>
                </w:p>
              </w:tc>
            </w:tr>
            <w:tr w14:paraId="721331EC">
              <w:tblPrEx>
                <w:tblCellMar>
                  <w:top w:w="0" w:type="dxa"/>
                  <w:left w:w="57" w:type="dxa"/>
                  <w:bottom w:w="0" w:type="dxa"/>
                  <w:right w:w="57" w:type="dxa"/>
                </w:tblCellMar>
              </w:tblPrEx>
              <w:trPr>
                <w:cantSplit/>
                <w:trHeight w:val="380" w:hRule="atLeast"/>
                <w:jc w:val="center"/>
              </w:trPr>
              <w:tc>
                <w:tcPr>
                  <w:tcW w:w="817" w:type="pct"/>
                  <w:tcBorders>
                    <w:top w:val="single" w:color="auto" w:sz="6" w:space="0"/>
                    <w:left w:val="single" w:color="auto" w:sz="6" w:space="0"/>
                    <w:bottom w:val="single" w:color="auto" w:sz="6" w:space="0"/>
                    <w:right w:val="single" w:color="auto" w:sz="6" w:space="0"/>
                  </w:tcBorders>
                  <w:vAlign w:val="center"/>
                </w:tcPr>
                <w:p w14:paraId="38FA0926">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1740" w:type="pct"/>
                  <w:tcBorders>
                    <w:top w:val="single" w:color="auto" w:sz="6" w:space="0"/>
                    <w:left w:val="nil"/>
                    <w:bottom w:val="single" w:color="auto" w:sz="6" w:space="0"/>
                    <w:right w:val="single" w:color="auto" w:sz="6" w:space="0"/>
                  </w:tcBorders>
                  <w:vAlign w:val="center"/>
                </w:tcPr>
                <w:p w14:paraId="3A67C18B">
                  <w:pPr>
                    <w:tabs>
                      <w:tab w:val="left" w:pos="1305"/>
                    </w:tabs>
                    <w:spacing w:line="240" w:lineRule="auto"/>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硅胶按键</w:t>
                  </w:r>
                </w:p>
              </w:tc>
              <w:tc>
                <w:tcPr>
                  <w:tcW w:w="2442" w:type="pct"/>
                  <w:tcBorders>
                    <w:top w:val="single" w:color="auto" w:sz="6" w:space="0"/>
                    <w:left w:val="nil"/>
                    <w:bottom w:val="single" w:color="auto" w:sz="6" w:space="0"/>
                    <w:right w:val="single" w:color="auto" w:sz="4" w:space="0"/>
                  </w:tcBorders>
                  <w:shd w:val="clear" w:color="auto" w:fill="auto"/>
                  <w:vAlign w:val="center"/>
                </w:tcPr>
                <w:p w14:paraId="620B7F0E">
                  <w:pPr>
                    <w:tabs>
                      <w:tab w:val="left" w:pos="1305"/>
                    </w:tabs>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1000万个</w:t>
                  </w:r>
                </w:p>
              </w:tc>
            </w:tr>
          </w:tbl>
          <w:p w14:paraId="64DDD53D">
            <w:pPr>
              <w:pStyle w:val="20"/>
              <w:numPr>
                <w:ilvl w:val="3"/>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原辅材料及用量</w:t>
            </w:r>
          </w:p>
          <w:p w14:paraId="23484CA1">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（1）原辅材料用量</w:t>
            </w:r>
          </w:p>
          <w:p w14:paraId="6FE2A363">
            <w:pPr>
              <w:pStyle w:val="26"/>
              <w:tabs>
                <w:tab w:val="left" w:pos="6556"/>
              </w:tabs>
              <w:ind w:firstLine="48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r>
              <w:rPr>
                <w:rFonts w:hint="eastAsia" w:cs="Times New Roman"/>
                <w:color w:val="000000" w:themeColor="text1"/>
                <w:highlight w:val="none"/>
                <w:lang w:val="en-US" w:eastAsia="zh-CN"/>
                <w14:textFill>
                  <w14:solidFill>
                    <w14:schemeClr w14:val="tx1"/>
                  </w14:solidFill>
                </w14:textFill>
              </w:rPr>
              <w:t>主要</w:t>
            </w:r>
            <w:r>
              <w:rPr>
                <w:rFonts w:hint="default" w:ascii="Times New Roman" w:hAnsi="Times New Roman" w:cs="Times New Roman"/>
                <w:color w:val="000000" w:themeColor="text1"/>
                <w:highlight w:val="none"/>
                <w14:textFill>
                  <w14:solidFill>
                    <w14:schemeClr w14:val="tx1"/>
                  </w14:solidFill>
                </w14:textFill>
              </w:rPr>
              <w:t>原辅材料种类及年用量见下表。</w:t>
            </w:r>
          </w:p>
          <w:p w14:paraId="63A7CD01">
            <w:pPr>
              <w:widowControl/>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主要</w:t>
            </w:r>
            <w:r>
              <w:rPr>
                <w:rFonts w:hint="default" w:ascii="Times New Roman" w:hAnsi="Times New Roman" w:cs="Times New Roman"/>
                <w:b/>
                <w:bCs/>
                <w:color w:val="000000" w:themeColor="text1"/>
                <w:sz w:val="21"/>
                <w:szCs w:val="21"/>
                <w:highlight w:val="none"/>
                <w14:textFill>
                  <w14:solidFill>
                    <w14:schemeClr w14:val="tx1"/>
                  </w14:solidFill>
                </w14:textFill>
              </w:rPr>
              <w:t>原辅材料一览表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0"/>
              <w:gridCol w:w="1179"/>
              <w:gridCol w:w="713"/>
              <w:gridCol w:w="1000"/>
              <w:gridCol w:w="678"/>
              <w:gridCol w:w="1389"/>
              <w:gridCol w:w="917"/>
              <w:gridCol w:w="815"/>
              <w:gridCol w:w="826"/>
            </w:tblGrid>
            <w:tr w14:paraId="13F9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276675C4">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752" w:type="pct"/>
                  <w:tcBorders>
                    <w:top w:val="single" w:color="000000" w:sz="2" w:space="0"/>
                  </w:tcBorders>
                  <w:vAlign w:val="center"/>
                </w:tcPr>
                <w:p w14:paraId="5A586907">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454" w:type="pct"/>
                  <w:tcBorders>
                    <w:top w:val="single" w:color="000000" w:sz="2" w:space="0"/>
                  </w:tcBorders>
                  <w:vAlign w:val="center"/>
                </w:tcPr>
                <w:p w14:paraId="6054780B">
                  <w:pPr>
                    <w:spacing w:line="240" w:lineRule="auto"/>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年用量</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 w:val="21"/>
                      <w:szCs w:val="21"/>
                      <w:highlight w:val="none"/>
                      <w14:textFill>
                        <w14:solidFill>
                          <w14:schemeClr w14:val="tx1"/>
                        </w14:solidFill>
                      </w14:textFill>
                    </w:rPr>
                    <w:t>t/a</w:t>
                  </w:r>
                  <w:r>
                    <w:rPr>
                      <w:rFonts w:hint="default" w:ascii="Times New Roman" w:hAnsi="Times New Roman" w:cs="Times New Roman"/>
                      <w:b/>
                      <w:bCs w:val="0"/>
                      <w:color w:val="000000" w:themeColor="text1"/>
                      <w:sz w:val="21"/>
                      <w:szCs w:val="21"/>
                      <w:highlight w:val="none"/>
                      <w:lang w:eastAsia="zh-CN"/>
                      <w14:textFill>
                        <w14:solidFill>
                          <w14:schemeClr w14:val="tx1"/>
                        </w14:solidFill>
                      </w14:textFill>
                    </w:rPr>
                    <w:t>）</w:t>
                  </w:r>
                </w:p>
              </w:tc>
              <w:tc>
                <w:tcPr>
                  <w:tcW w:w="637" w:type="pct"/>
                  <w:tcBorders>
                    <w:top w:val="single" w:color="000000" w:sz="2" w:space="0"/>
                  </w:tcBorders>
                  <w:vAlign w:val="center"/>
                </w:tcPr>
                <w:p w14:paraId="520BF2C3">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最大贮存量</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 w:val="21"/>
                      <w:szCs w:val="21"/>
                      <w:highlight w:val="none"/>
                      <w14:textFill>
                        <w14:solidFill>
                          <w14:schemeClr w14:val="tx1"/>
                        </w14:solidFill>
                      </w14:textFill>
                    </w:rPr>
                    <w:t>t</w:t>
                  </w:r>
                  <w:r>
                    <w:rPr>
                      <w:rFonts w:hint="default" w:ascii="Times New Roman" w:hAnsi="Times New Roman" w:cs="Times New Roman"/>
                      <w:b/>
                      <w:bCs w:val="0"/>
                      <w:color w:val="000000" w:themeColor="text1"/>
                      <w:sz w:val="21"/>
                      <w:szCs w:val="21"/>
                      <w:highlight w:val="none"/>
                      <w:lang w:eastAsia="zh-CN"/>
                      <w14:textFill>
                        <w14:solidFill>
                          <w14:schemeClr w14:val="tx1"/>
                        </w14:solidFill>
                      </w14:textFill>
                    </w:rPr>
                    <w:t>）</w:t>
                  </w:r>
                </w:p>
              </w:tc>
              <w:tc>
                <w:tcPr>
                  <w:tcW w:w="432" w:type="pct"/>
                  <w:tcBorders>
                    <w:top w:val="single" w:color="000000" w:sz="2" w:space="0"/>
                  </w:tcBorders>
                  <w:vAlign w:val="center"/>
                </w:tcPr>
                <w:p w14:paraId="179E29F2">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形态</w:t>
                  </w:r>
                </w:p>
              </w:tc>
              <w:tc>
                <w:tcPr>
                  <w:tcW w:w="885" w:type="pct"/>
                  <w:tcBorders>
                    <w:top w:val="single" w:color="000000" w:sz="2" w:space="0"/>
                  </w:tcBorders>
                  <w:vAlign w:val="center"/>
                </w:tcPr>
                <w:p w14:paraId="3690522F">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规格</w:t>
                  </w:r>
                </w:p>
              </w:tc>
              <w:tc>
                <w:tcPr>
                  <w:tcW w:w="584" w:type="pct"/>
                  <w:tcBorders>
                    <w:top w:val="single" w:color="000000" w:sz="2" w:space="0"/>
                  </w:tcBorders>
                  <w:vAlign w:val="center"/>
                </w:tcPr>
                <w:p w14:paraId="743D3448">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使用环节</w:t>
                  </w:r>
                </w:p>
              </w:tc>
              <w:tc>
                <w:tcPr>
                  <w:tcW w:w="519" w:type="pct"/>
                  <w:tcBorders>
                    <w:top w:val="single" w:color="000000" w:sz="2" w:space="0"/>
                  </w:tcBorders>
                  <w:vAlign w:val="center"/>
                </w:tcPr>
                <w:p w14:paraId="0B56AA2C">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贮存位置</w:t>
                  </w:r>
                </w:p>
              </w:tc>
              <w:tc>
                <w:tcPr>
                  <w:tcW w:w="523" w:type="pct"/>
                  <w:tcBorders>
                    <w:top w:val="single" w:color="000000" w:sz="2" w:space="0"/>
                  </w:tcBorders>
                  <w:vAlign w:val="center"/>
                </w:tcPr>
                <w:p w14:paraId="72BA2886">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备注</w:t>
                  </w:r>
                </w:p>
              </w:tc>
            </w:tr>
            <w:tr w14:paraId="52B9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7225BCDE">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p>
              </w:tc>
              <w:tc>
                <w:tcPr>
                  <w:tcW w:w="752" w:type="pct"/>
                  <w:tcBorders>
                    <w:top w:val="single" w:color="000000" w:sz="2" w:space="0"/>
                  </w:tcBorders>
                  <w:shd w:val="clear" w:color="auto" w:fill="auto"/>
                  <w:vAlign w:val="center"/>
                </w:tcPr>
                <w:p w14:paraId="55B84095">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硅胶</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橡胶、混炼胶</w:t>
                  </w:r>
                  <w:r>
                    <w:rPr>
                      <w:rFonts w:hint="eastAsia"/>
                      <w:color w:val="000000" w:themeColor="text1"/>
                      <w:sz w:val="21"/>
                      <w:szCs w:val="21"/>
                      <w:lang w:eastAsia="zh-CN"/>
                      <w14:textFill>
                        <w14:solidFill>
                          <w14:schemeClr w14:val="tx1"/>
                        </w14:solidFill>
                      </w14:textFill>
                    </w:rPr>
                    <w:t>）</w:t>
                  </w:r>
                </w:p>
              </w:tc>
              <w:tc>
                <w:tcPr>
                  <w:tcW w:w="454" w:type="pct"/>
                  <w:tcBorders>
                    <w:top w:val="single" w:color="000000" w:sz="2" w:space="0"/>
                  </w:tcBorders>
                  <w:shd w:val="clear" w:color="auto" w:fill="auto"/>
                  <w:vAlign w:val="center"/>
                </w:tcPr>
                <w:p w14:paraId="21340C98">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r>
                    <w:rPr>
                      <w:color w:val="000000" w:themeColor="text1"/>
                      <w:sz w:val="21"/>
                      <w:szCs w:val="21"/>
                      <w14:textFill>
                        <w14:solidFill>
                          <w14:schemeClr w14:val="tx1"/>
                        </w14:solidFill>
                      </w14:textFill>
                    </w:rPr>
                    <w:t>00</w:t>
                  </w:r>
                </w:p>
              </w:tc>
              <w:tc>
                <w:tcPr>
                  <w:tcW w:w="637" w:type="pct"/>
                  <w:tcBorders>
                    <w:top w:val="single" w:color="000000" w:sz="2" w:space="0"/>
                  </w:tcBorders>
                  <w:shd w:val="clear" w:color="auto" w:fill="auto"/>
                  <w:vAlign w:val="center"/>
                </w:tcPr>
                <w:p w14:paraId="4C10B01E">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0</w:t>
                  </w:r>
                </w:p>
              </w:tc>
              <w:tc>
                <w:tcPr>
                  <w:tcW w:w="432" w:type="pct"/>
                  <w:tcBorders>
                    <w:top w:val="single" w:color="000000" w:sz="2" w:space="0"/>
                  </w:tcBorders>
                  <w:vAlign w:val="center"/>
                </w:tcPr>
                <w:p w14:paraId="08BA0A32">
                  <w:pPr>
                    <w:spacing w:line="240" w:lineRule="auto"/>
                    <w:jc w:val="center"/>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固</w:t>
                  </w:r>
                  <w:r>
                    <w:rPr>
                      <w:rFonts w:hint="eastAsia" w:cs="Times New Roman"/>
                      <w:color w:val="000000" w:themeColor="text1"/>
                      <w:sz w:val="21"/>
                      <w:szCs w:val="21"/>
                      <w:highlight w:val="none"/>
                      <w:lang w:val="en-US" w:eastAsia="zh-CN"/>
                      <w14:textFill>
                        <w14:solidFill>
                          <w14:schemeClr w14:val="tx1"/>
                        </w14:solidFill>
                      </w14:textFill>
                    </w:rPr>
                    <w:t>体胶块</w:t>
                  </w:r>
                </w:p>
              </w:tc>
              <w:tc>
                <w:tcPr>
                  <w:tcW w:w="885" w:type="pct"/>
                  <w:tcBorders>
                    <w:top w:val="single" w:color="000000" w:sz="2" w:space="0"/>
                  </w:tcBorders>
                  <w:vAlign w:val="center"/>
                </w:tcPr>
                <w:p w14:paraId="2766CC21">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20kg/桶</w:t>
                  </w:r>
                </w:p>
              </w:tc>
              <w:tc>
                <w:tcPr>
                  <w:tcW w:w="584" w:type="pct"/>
                  <w:tcBorders>
                    <w:top w:val="single" w:color="000000" w:sz="2" w:space="0"/>
                  </w:tcBorders>
                  <w:vAlign w:val="center"/>
                </w:tcPr>
                <w:p w14:paraId="1D099DB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炼胶</w:t>
                  </w:r>
                </w:p>
              </w:tc>
              <w:tc>
                <w:tcPr>
                  <w:tcW w:w="519" w:type="pct"/>
                  <w:vMerge w:val="restart"/>
                  <w:tcBorders>
                    <w:top w:val="single" w:color="000000" w:sz="2" w:space="0"/>
                  </w:tcBorders>
                  <w:vAlign w:val="center"/>
                </w:tcPr>
                <w:p w14:paraId="5341477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仓库</w:t>
                  </w:r>
                </w:p>
              </w:tc>
              <w:tc>
                <w:tcPr>
                  <w:tcW w:w="523" w:type="pct"/>
                  <w:vMerge w:val="restart"/>
                  <w:tcBorders>
                    <w:top w:val="single" w:color="000000" w:sz="2" w:space="0"/>
                  </w:tcBorders>
                  <w:vAlign w:val="center"/>
                </w:tcPr>
                <w:p w14:paraId="15B2CA5C">
                  <w:pPr>
                    <w:spacing w:line="240" w:lineRule="auto"/>
                    <w:jc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外购</w:t>
                  </w:r>
                </w:p>
              </w:tc>
            </w:tr>
            <w:tr w14:paraId="4F0C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11" w:type="pct"/>
                  <w:tcBorders>
                    <w:top w:val="single" w:color="000000" w:sz="2" w:space="0"/>
                  </w:tcBorders>
                  <w:vAlign w:val="center"/>
                </w:tcPr>
                <w:p w14:paraId="1A673AD8">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752" w:type="pct"/>
                  <w:tcBorders>
                    <w:top w:val="single" w:color="000000" w:sz="2" w:space="0"/>
                  </w:tcBorders>
                  <w:shd w:val="clear" w:color="auto" w:fill="auto"/>
                  <w:vAlign w:val="center"/>
                </w:tcPr>
                <w:p w14:paraId="3FAB4F13">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硫化剂</w:t>
                  </w:r>
                </w:p>
              </w:tc>
              <w:tc>
                <w:tcPr>
                  <w:tcW w:w="454" w:type="pct"/>
                  <w:tcBorders>
                    <w:top w:val="single" w:color="000000" w:sz="2" w:space="0"/>
                  </w:tcBorders>
                  <w:shd w:val="clear" w:color="auto" w:fill="auto"/>
                  <w:vAlign w:val="center"/>
                </w:tcPr>
                <w:p w14:paraId="0399E23D">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1</w:t>
                  </w:r>
                </w:p>
              </w:tc>
              <w:tc>
                <w:tcPr>
                  <w:tcW w:w="637" w:type="pct"/>
                  <w:tcBorders>
                    <w:top w:val="single" w:color="000000" w:sz="2" w:space="0"/>
                  </w:tcBorders>
                  <w:shd w:val="clear" w:color="auto" w:fill="auto"/>
                  <w:vAlign w:val="center"/>
                </w:tcPr>
                <w:p w14:paraId="15E4D8B3">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0.2</w:t>
                  </w:r>
                </w:p>
              </w:tc>
              <w:tc>
                <w:tcPr>
                  <w:tcW w:w="432" w:type="pct"/>
                  <w:tcBorders>
                    <w:top w:val="single" w:color="000000" w:sz="2" w:space="0"/>
                  </w:tcBorders>
                  <w:vAlign w:val="center"/>
                </w:tcPr>
                <w:p w14:paraId="3CADA6C0">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胶体</w:t>
                  </w:r>
                </w:p>
              </w:tc>
              <w:tc>
                <w:tcPr>
                  <w:tcW w:w="885" w:type="pct"/>
                  <w:tcBorders>
                    <w:top w:val="single" w:color="000000" w:sz="2" w:space="0"/>
                  </w:tcBorders>
                  <w:vAlign w:val="center"/>
                </w:tcPr>
                <w:p w14:paraId="2E86D4D0">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20kg/桶</w:t>
                  </w:r>
                </w:p>
              </w:tc>
              <w:tc>
                <w:tcPr>
                  <w:tcW w:w="584" w:type="pct"/>
                  <w:tcBorders>
                    <w:top w:val="single" w:color="000000" w:sz="2" w:space="0"/>
                  </w:tcBorders>
                  <w:vAlign w:val="center"/>
                </w:tcPr>
                <w:p w14:paraId="51634555">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炼胶</w:t>
                  </w:r>
                </w:p>
              </w:tc>
              <w:tc>
                <w:tcPr>
                  <w:tcW w:w="519" w:type="pct"/>
                  <w:vMerge w:val="continue"/>
                  <w:vAlign w:val="center"/>
                </w:tcPr>
                <w:p w14:paraId="5EB798AC">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523" w:type="pct"/>
                  <w:vMerge w:val="continue"/>
                  <w:vAlign w:val="center"/>
                </w:tcPr>
                <w:p w14:paraId="5DE71F73">
                  <w:pPr>
                    <w:spacing w:line="240" w:lineRule="auto"/>
                    <w:jc w:val="both"/>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r>
            <w:tr w14:paraId="69DE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47EE3B38">
                  <w:pPr>
                    <w:spacing w:line="240" w:lineRule="auto"/>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3</w:t>
                  </w:r>
                </w:p>
              </w:tc>
              <w:tc>
                <w:tcPr>
                  <w:tcW w:w="752" w:type="pct"/>
                  <w:shd w:val="clear" w:color="auto" w:fill="auto"/>
                  <w:vAlign w:val="center"/>
                </w:tcPr>
                <w:p w14:paraId="1609E16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色母</w:t>
                  </w:r>
                </w:p>
              </w:tc>
              <w:tc>
                <w:tcPr>
                  <w:tcW w:w="454" w:type="pct"/>
                  <w:shd w:val="clear" w:color="auto" w:fill="auto"/>
                  <w:vAlign w:val="center"/>
                </w:tcPr>
                <w:p w14:paraId="0521111B">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0.5</w:t>
                  </w:r>
                </w:p>
              </w:tc>
              <w:tc>
                <w:tcPr>
                  <w:tcW w:w="637" w:type="pct"/>
                  <w:shd w:val="clear" w:color="auto" w:fill="auto"/>
                  <w:vAlign w:val="center"/>
                </w:tcPr>
                <w:p w14:paraId="261BBD9A">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0.05</w:t>
                  </w:r>
                </w:p>
              </w:tc>
              <w:tc>
                <w:tcPr>
                  <w:tcW w:w="432" w:type="pct"/>
                  <w:vAlign w:val="center"/>
                </w:tcPr>
                <w:p w14:paraId="1464D55B">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膏状</w:t>
                  </w:r>
                </w:p>
              </w:tc>
              <w:tc>
                <w:tcPr>
                  <w:tcW w:w="885" w:type="pct"/>
                  <w:vAlign w:val="center"/>
                </w:tcPr>
                <w:p w14:paraId="46BE1D27">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1kg/桶</w:t>
                  </w:r>
                </w:p>
              </w:tc>
              <w:tc>
                <w:tcPr>
                  <w:tcW w:w="584" w:type="pct"/>
                  <w:vAlign w:val="center"/>
                </w:tcPr>
                <w:p w14:paraId="3BA4724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炼胶</w:t>
                  </w:r>
                </w:p>
              </w:tc>
              <w:tc>
                <w:tcPr>
                  <w:tcW w:w="519" w:type="pct"/>
                  <w:vMerge w:val="continue"/>
                  <w:vAlign w:val="center"/>
                </w:tcPr>
                <w:p w14:paraId="32C1E59F">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23" w:type="pct"/>
                  <w:vAlign w:val="center"/>
                </w:tcPr>
                <w:p w14:paraId="10F6DC30">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08EB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740BB42F">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w:t>
                  </w:r>
                </w:p>
              </w:tc>
              <w:tc>
                <w:tcPr>
                  <w:tcW w:w="752" w:type="pct"/>
                  <w:vAlign w:val="center"/>
                </w:tcPr>
                <w:p w14:paraId="06013049">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油墨</w:t>
                  </w:r>
                </w:p>
              </w:tc>
              <w:tc>
                <w:tcPr>
                  <w:tcW w:w="454" w:type="pct"/>
                  <w:shd w:val="clear" w:color="auto" w:fill="auto"/>
                  <w:vAlign w:val="center"/>
                </w:tcPr>
                <w:p w14:paraId="6487CD8F">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w:t>
                  </w:r>
                </w:p>
              </w:tc>
              <w:tc>
                <w:tcPr>
                  <w:tcW w:w="637" w:type="pct"/>
                  <w:shd w:val="clear" w:color="auto" w:fill="auto"/>
                  <w:vAlign w:val="center"/>
                </w:tcPr>
                <w:p w14:paraId="5C1C21FB">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0.00</w:t>
                  </w:r>
                  <w:r>
                    <w:rPr>
                      <w:rFonts w:hint="eastAsia" w:cs="Times New Roman"/>
                      <w:i w:val="0"/>
                      <w:iCs w:val="0"/>
                      <w:color w:val="000000" w:themeColor="text1"/>
                      <w:kern w:val="0"/>
                      <w:sz w:val="21"/>
                      <w:szCs w:val="21"/>
                      <w:u w:val="none"/>
                      <w:lang w:val="en-US" w:eastAsia="zh-CN"/>
                      <w14:textFill>
                        <w14:solidFill>
                          <w14:schemeClr w14:val="tx1"/>
                        </w14:solidFill>
                      </w14:textFill>
                    </w:rPr>
                    <w:t>2</w:t>
                  </w:r>
                </w:p>
              </w:tc>
              <w:tc>
                <w:tcPr>
                  <w:tcW w:w="432" w:type="pct"/>
                  <w:vAlign w:val="center"/>
                </w:tcPr>
                <w:p w14:paraId="79D9196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4768E8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1kg/桶</w:t>
                  </w:r>
                </w:p>
              </w:tc>
              <w:tc>
                <w:tcPr>
                  <w:tcW w:w="584" w:type="pct"/>
                  <w:vAlign w:val="center"/>
                </w:tcPr>
                <w:p w14:paraId="341E3F4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移印</w:t>
                  </w:r>
                </w:p>
              </w:tc>
              <w:tc>
                <w:tcPr>
                  <w:tcW w:w="519" w:type="pct"/>
                  <w:vMerge w:val="continue"/>
                  <w:vAlign w:val="center"/>
                </w:tcPr>
                <w:p w14:paraId="5E6318C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3443C0D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3D71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3D302999">
                  <w:pPr>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5</w:t>
                  </w:r>
                </w:p>
              </w:tc>
              <w:tc>
                <w:tcPr>
                  <w:tcW w:w="752" w:type="pct"/>
                  <w:vAlign w:val="center"/>
                </w:tcPr>
                <w:p w14:paraId="5AEDAE5E">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钢板、胶头清洗剂</w:t>
                  </w:r>
                </w:p>
              </w:tc>
              <w:tc>
                <w:tcPr>
                  <w:tcW w:w="454" w:type="pct"/>
                  <w:shd w:val="clear" w:color="auto" w:fill="auto"/>
                  <w:vAlign w:val="center"/>
                </w:tcPr>
                <w:p w14:paraId="295C10C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0.01</w:t>
                  </w:r>
                </w:p>
              </w:tc>
              <w:tc>
                <w:tcPr>
                  <w:tcW w:w="637" w:type="pct"/>
                  <w:shd w:val="clear" w:color="auto" w:fill="auto"/>
                  <w:vAlign w:val="center"/>
                </w:tcPr>
                <w:p w14:paraId="19FC5DC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0.004</w:t>
                  </w:r>
                </w:p>
              </w:tc>
              <w:tc>
                <w:tcPr>
                  <w:tcW w:w="432" w:type="pct"/>
                  <w:vAlign w:val="center"/>
                </w:tcPr>
                <w:p w14:paraId="43AE8C00">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1F1965C4">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2kg/桶</w:t>
                  </w:r>
                </w:p>
              </w:tc>
              <w:tc>
                <w:tcPr>
                  <w:tcW w:w="584" w:type="pct"/>
                  <w:vAlign w:val="center"/>
                </w:tcPr>
                <w:p w14:paraId="57AE6D2E">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钢板、胶头清洗</w:t>
                  </w:r>
                </w:p>
              </w:tc>
              <w:tc>
                <w:tcPr>
                  <w:tcW w:w="519" w:type="pct"/>
                  <w:vMerge w:val="continue"/>
                  <w:vAlign w:val="center"/>
                </w:tcPr>
                <w:p w14:paraId="4573DFE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7B35CAB3">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2936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11" w:type="pct"/>
                  <w:vAlign w:val="center"/>
                </w:tcPr>
                <w:p w14:paraId="6691A3A1">
                  <w:pPr>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6</w:t>
                  </w:r>
                </w:p>
              </w:tc>
              <w:tc>
                <w:tcPr>
                  <w:tcW w:w="752" w:type="pct"/>
                  <w:vAlign w:val="center"/>
                </w:tcPr>
                <w:p w14:paraId="67FCE8E3">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润滑油</w:t>
                  </w:r>
                </w:p>
              </w:tc>
              <w:tc>
                <w:tcPr>
                  <w:tcW w:w="454" w:type="pct"/>
                  <w:shd w:val="clear" w:color="auto" w:fill="auto"/>
                  <w:vAlign w:val="center"/>
                </w:tcPr>
                <w:p w14:paraId="3A373597">
                  <w:pPr>
                    <w:keepNext w:val="0"/>
                    <w:keepLines w:val="0"/>
                    <w:widowControl/>
                    <w:suppressLineNumbers w:val="0"/>
                    <w:spacing w:line="240" w:lineRule="auto"/>
                    <w:jc w:val="center"/>
                    <w:textAlignment w:val="center"/>
                    <w:rPr>
                      <w:rFonts w:hint="default"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0.72</w:t>
                  </w:r>
                </w:p>
              </w:tc>
              <w:tc>
                <w:tcPr>
                  <w:tcW w:w="637" w:type="pct"/>
                  <w:shd w:val="clear" w:color="auto" w:fill="auto"/>
                  <w:vAlign w:val="center"/>
                </w:tcPr>
                <w:p w14:paraId="317705BC">
                  <w:pPr>
                    <w:keepNext w:val="0"/>
                    <w:keepLines w:val="0"/>
                    <w:widowControl/>
                    <w:suppressLineNumbers w:val="0"/>
                    <w:spacing w:line="240" w:lineRule="auto"/>
                    <w:jc w:val="center"/>
                    <w:textAlignment w:val="center"/>
                    <w:rPr>
                      <w:rFonts w:hint="default"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0.018</w:t>
                  </w:r>
                </w:p>
              </w:tc>
              <w:tc>
                <w:tcPr>
                  <w:tcW w:w="432" w:type="pct"/>
                  <w:vAlign w:val="center"/>
                </w:tcPr>
                <w:p w14:paraId="24DF2729">
                  <w:pP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液态</w:t>
                  </w:r>
                </w:p>
              </w:tc>
              <w:tc>
                <w:tcPr>
                  <w:tcW w:w="885" w:type="pct"/>
                  <w:vAlign w:val="center"/>
                </w:tcPr>
                <w:p w14:paraId="26D6CF4C">
                  <w:pP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200L/桶</w:t>
                  </w:r>
                </w:p>
              </w:tc>
              <w:tc>
                <w:tcPr>
                  <w:tcW w:w="584" w:type="pct"/>
                  <w:vAlign w:val="center"/>
                </w:tcPr>
                <w:p w14:paraId="42FACD8C">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设备维护</w:t>
                  </w:r>
                </w:p>
              </w:tc>
              <w:tc>
                <w:tcPr>
                  <w:tcW w:w="519" w:type="pct"/>
                  <w:vMerge w:val="continue"/>
                  <w:vAlign w:val="center"/>
                </w:tcPr>
                <w:p w14:paraId="4F7337AD">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3" w:type="pct"/>
                  <w:vAlign w:val="center"/>
                </w:tcPr>
                <w:p w14:paraId="6ACAEC3B">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外购</w:t>
                  </w:r>
                </w:p>
              </w:tc>
            </w:tr>
            <w:tr w14:paraId="46E0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5000" w:type="pct"/>
                  <w:gridSpan w:val="9"/>
                  <w:vAlign w:val="center"/>
                </w:tcPr>
                <w:p w14:paraId="20ECEFE1">
                  <w:pPr>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备注：本项目使用油墨为同一种类、不同颜色。混合、调配仅为符合客户订单印刷颜色要求，无需添加稀释剂、固化剂等其他成分。</w:t>
                  </w:r>
                </w:p>
              </w:tc>
            </w:tr>
          </w:tbl>
          <w:p w14:paraId="538B41ED">
            <w:pPr>
              <w:pStyle w:val="2"/>
              <w:spacing w:before="120" w:beforeLines="50"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ascii="Times New Roman" w:cs="Times New Roman"/>
                <w:bCs/>
                <w:color w:val="000000" w:themeColor="text1"/>
                <w:szCs w:val="21"/>
                <w:highlight w:val="none"/>
                <w14:textFill>
                  <w14:solidFill>
                    <w14:schemeClr w14:val="tx1"/>
                  </w14:solidFill>
                </w14:textFill>
              </w:rPr>
              <w:t>本项目主要原辅材料用量汇总如下：</w:t>
            </w:r>
          </w:p>
          <w:p w14:paraId="7CFC9DAC">
            <w:pPr>
              <w:widowControl/>
              <w:numPr>
                <w:ilvl w:val="0"/>
                <w:numId w:val="8"/>
              </w:numPr>
              <w:spacing w:line="240" w:lineRule="auto"/>
              <w:ind w:left="0" w:leftChars="0" w:firstLine="40" w:firstLineChars="0"/>
              <w:jc w:val="center"/>
              <w:rPr>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b/>
                <w:color w:val="000000" w:themeColor="text1"/>
                <w:sz w:val="21"/>
                <w:szCs w:val="21"/>
                <w:highlight w:val="none"/>
                <w14:textFill>
                  <w14:solidFill>
                    <w14:schemeClr w14:val="tx1"/>
                  </w14:solidFill>
                </w14:textFill>
              </w:rPr>
              <w:t>本项目主要原辅材料理化性质一览表</w:t>
            </w:r>
          </w:p>
          <w:tbl>
            <w:tblPr>
              <w:tblStyle w:val="46"/>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6458"/>
            </w:tblGrid>
            <w:tr w14:paraId="2153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1769B6F7">
                  <w:pPr>
                    <w:widowControl/>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18" w:name="_Toc29716"/>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4131" w:type="pct"/>
                  <w:vAlign w:val="center"/>
                </w:tcPr>
                <w:p w14:paraId="24A7FEFE">
                  <w:pPr>
                    <w:widowControl/>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理化性质</w:t>
                  </w:r>
                </w:p>
              </w:tc>
            </w:tr>
            <w:tr w14:paraId="5ADD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60DAA7DC">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橡胶</w:t>
                  </w:r>
                </w:p>
              </w:tc>
              <w:tc>
                <w:tcPr>
                  <w:tcW w:w="4131" w:type="pct"/>
                  <w:vAlign w:val="center"/>
                </w:tcPr>
                <w:p w14:paraId="03BE8E43">
                  <w:pPr>
                    <w:widowControl/>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颜色半透明，</w:t>
                  </w:r>
                  <w:r>
                    <w:rPr>
                      <w:rFonts w:hint="default" w:ascii="Times New Roman" w:hAnsi="Times New Roman" w:cs="Times New Roman"/>
                      <w:color w:val="000000" w:themeColor="text1"/>
                      <w:sz w:val="21"/>
                      <w:szCs w:val="21"/>
                      <w:highlight w:val="none"/>
                      <w14:textFill>
                        <w14:solidFill>
                          <w14:schemeClr w14:val="tx1"/>
                        </w14:solidFill>
                      </w14:textFill>
                    </w:rPr>
                    <w:t>硬度、可塑度：牌号对应硬度30至80，硬度越高，可塑度数值越大；伸长率：硬度越低拉伸伸长率越高，30度产品伸长率最高700%，80度仅200%；力学性能：50度款拉伸强度最高；40~70度撕裂强度均为20KN/m，30度、80度撕裂强度16KN/m；密度：随硬度升高逐步增大，70度、80度胶料密度相同。</w:t>
                  </w:r>
                </w:p>
              </w:tc>
            </w:tr>
            <w:tr w14:paraId="6CAC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7B278666">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混炼胶</w:t>
                  </w:r>
                </w:p>
              </w:tc>
              <w:tc>
                <w:tcPr>
                  <w:tcW w:w="4131" w:type="pct"/>
                  <w:vAlign w:val="center"/>
                </w:tcPr>
                <w:p w14:paraId="72416965">
                  <w:pPr>
                    <w:widowControl/>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甲基乙烯基硅橡胶50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~80%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二氧化硅10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羟基硅油1</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~6%</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硬脂酸0-1%</w:t>
                  </w:r>
                  <w:r>
                    <w:rPr>
                      <w:rFonts w:hint="eastAsia" w:cs="Times New Roman"/>
                      <w:color w:val="000000" w:themeColor="text1"/>
                      <w:sz w:val="21"/>
                      <w:szCs w:val="21"/>
                      <w:highlight w:val="none"/>
                      <w:lang w:eastAsia="zh-CN"/>
                      <w14:textFill>
                        <w14:solidFill>
                          <w14:schemeClr w14:val="tx1"/>
                        </w14:solidFill>
                      </w14:textFill>
                    </w:rPr>
                    <w:t>，形态:固体，外观:半透明。气味:轻微气味。沸点:无数据。蒸气压:无数据。挥发性:不适用。熔点:不适用。闪点:不适用。比重或者毛比重:1.05-1.24(25°C)溶解度(水):不溶解于水。</w:t>
                  </w:r>
                </w:p>
              </w:tc>
            </w:tr>
            <w:tr w14:paraId="44E5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3207B353">
                  <w:pPr>
                    <w:widowControl/>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硫化剂</w:t>
                  </w:r>
                </w:p>
              </w:tc>
              <w:tc>
                <w:tcPr>
                  <w:tcW w:w="4131" w:type="pct"/>
                  <w:vAlign w:val="center"/>
                </w:tcPr>
                <w:p w14:paraId="4FBC88C1">
                  <w:pPr>
                    <w:spacing w:line="240" w:lineRule="auto"/>
                    <w:ind w:right="25"/>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2"/>
                      <w14:textFill>
                        <w14:solidFill>
                          <w14:schemeClr w14:val="tx1"/>
                        </w14:solidFill>
                      </w14:textFill>
                    </w:rPr>
                    <w:t>过氧化物：15-25%</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有机硅化合物：75-85%</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外观：微黄透明胶体</w:t>
                  </w:r>
                  <w:r>
                    <w:rPr>
                      <w:rFonts w:hint="eastAsia"/>
                      <w:color w:val="000000" w:themeColor="text1"/>
                      <w:sz w:val="22"/>
                      <w:lang w:eastAsia="zh-CN"/>
                      <w14:textFill>
                        <w14:solidFill>
                          <w14:schemeClr w14:val="tx1"/>
                        </w14:solidFill>
                      </w14:textFill>
                    </w:rPr>
                    <w:t>，</w:t>
                  </w:r>
                  <w:r>
                    <w:rPr>
                      <w:rFonts w:hint="eastAsia"/>
                      <w:color w:val="000000" w:themeColor="text1"/>
                      <w:sz w:val="22"/>
                      <w14:textFill>
                        <w14:solidFill>
                          <w14:schemeClr w14:val="tx1"/>
                        </w14:solidFill>
                      </w14:textFill>
                    </w:rPr>
                    <w:t>气味：中等刺激性气味。</w:t>
                  </w:r>
                  <w:r>
                    <w:rPr>
                      <w:rFonts w:hint="eastAsia"/>
                      <w:color w:val="000000" w:themeColor="text1"/>
                      <w:sz w:val="22"/>
                      <w:lang w:val="en-US" w:eastAsia="zh-CN"/>
                      <w14:textFill>
                        <w14:solidFill>
                          <w14:schemeClr w14:val="tx1"/>
                        </w14:solidFill>
                      </w14:textFill>
                    </w:rPr>
                    <w:t>p</w:t>
                  </w:r>
                  <w:r>
                    <w:rPr>
                      <w:rFonts w:hint="eastAsia"/>
                      <w:color w:val="000000" w:themeColor="text1"/>
                      <w:sz w:val="22"/>
                      <w14:textFill>
                        <w14:solidFill>
                          <w14:schemeClr w14:val="tx1"/>
                        </w14:solidFill>
                      </w14:textFill>
                    </w:rPr>
                    <w:t>H值：中性。熔点：不适用（分解）。沸点：不适用（分解）。蒸气压：无数据。闪点：＞56℃。水溶性：不溶于水。分解温度：＞80℃。蒸发率：＜2%（25℃，24h）</w:t>
                  </w:r>
                </w:p>
              </w:tc>
            </w:tr>
            <w:tr w14:paraId="366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1A005866">
                  <w:pPr>
                    <w:widowControl/>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色母</w:t>
                  </w:r>
                </w:p>
              </w:tc>
              <w:tc>
                <w:tcPr>
                  <w:tcW w:w="4131" w:type="pct"/>
                  <w:vAlign w:val="center"/>
                </w:tcPr>
                <w:p w14:paraId="058D2F36">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聚硅氧烷20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-30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二氧化硅20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-30</w:t>
                  </w:r>
                  <w:r>
                    <w:rPr>
                      <w:rFonts w:hint="eastAsia" w:cs="Times New Roman"/>
                      <w:color w:val="000000" w:themeColor="text1"/>
                      <w:sz w:val="21"/>
                      <w:szCs w:val="21"/>
                      <w:highlight w:val="none"/>
                      <w:lang w:val="en-US" w:eastAsia="zh-CN"/>
                      <w14:textFill>
                        <w14:solidFill>
                          <w14:schemeClr w14:val="tx1"/>
                        </w14:solidFill>
                      </w14:textFill>
                    </w:rPr>
                    <w:t>%、颜料</w:t>
                  </w: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-60</w:t>
                  </w:r>
                  <w:r>
                    <w:rPr>
                      <w:rFonts w:hint="eastAsia" w:cs="Times New Roman"/>
                      <w:color w:val="000000" w:themeColor="text1"/>
                      <w:sz w:val="21"/>
                      <w:szCs w:val="21"/>
                      <w:highlight w:val="none"/>
                      <w:lang w:val="en-US" w:eastAsia="zh-CN"/>
                      <w14:textFill>
                        <w14:solidFill>
                          <w14:schemeClr w14:val="tx1"/>
                        </w14:solidFill>
                      </w14:textFill>
                    </w:rPr>
                    <w:t>%，</w:t>
                  </w:r>
                  <w:r>
                    <w:rPr>
                      <w:rFonts w:ascii="妤蜂綋" w:hAnsi="妤蜂綋" w:eastAsia="妤蜂綋" w:cs="妤蜂綋"/>
                      <w:color w:val="000000" w:themeColor="text1"/>
                      <w:kern w:val="0"/>
                      <w:sz w:val="21"/>
                      <w:szCs w:val="21"/>
                      <w:lang w:val="en-US" w:eastAsia="zh-CN"/>
                      <w14:textFill>
                        <w14:solidFill>
                          <w14:schemeClr w14:val="tx1"/>
                        </w14:solidFill>
                      </w14:textFill>
                    </w:rPr>
                    <w:t xml:space="preserve">本品为固体膏状物，无味、无熔点和沸点。不溶于水、乙醇，但溶于苯、甲苯、二甲苯和汽油 </w:t>
                  </w:r>
                  <w:r>
                    <w:rPr>
                      <w:rFonts w:hint="default" w:ascii="妤蜂綋" w:hAnsi="妤蜂綋" w:eastAsia="妤蜂綋" w:cs="妤蜂綋"/>
                      <w:color w:val="000000" w:themeColor="text1"/>
                      <w:kern w:val="0"/>
                      <w:sz w:val="21"/>
                      <w:szCs w:val="21"/>
                      <w:lang w:val="en-US" w:eastAsia="zh-CN"/>
                      <w14:textFill>
                        <w14:solidFill>
                          <w14:schemeClr w14:val="tx1"/>
                        </w14:solidFill>
                      </w14:textFill>
                    </w:rPr>
                    <w:t>中。化学性质：在一定条件下能发生交联反应和解聚反应。</w:t>
                  </w:r>
                  <w:r>
                    <w:rPr>
                      <w:rFonts w:hint="eastAsia" w:ascii="妤蜂綋" w:hAnsi="妤蜂綋" w:eastAsia="妤蜂綋" w:cs="妤蜂綋"/>
                      <w:color w:val="000000" w:themeColor="text1"/>
                      <w:kern w:val="0"/>
                      <w:sz w:val="21"/>
                      <w:szCs w:val="21"/>
                      <w:lang w:val="en-US" w:eastAsia="zh-CN"/>
                      <w14:textFill>
                        <w14:solidFill>
                          <w14:schemeClr w14:val="tx1"/>
                        </w14:solidFill>
                      </w14:textFill>
                    </w:rPr>
                    <w:t>常温下稳定</w:t>
                  </w:r>
                </w:p>
              </w:tc>
            </w:tr>
            <w:tr w14:paraId="4AD7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5C2F917A">
                  <w:pPr>
                    <w:widowControl/>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油墨</w:t>
                  </w:r>
                </w:p>
              </w:tc>
              <w:tc>
                <w:tcPr>
                  <w:tcW w:w="4131" w:type="pct"/>
                  <w:vAlign w:val="center"/>
                </w:tcPr>
                <w:p w14:paraId="6A976461">
                  <w:pPr>
                    <w:widowControl/>
                    <w:spacing w:line="240" w:lineRule="auto"/>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主要成分为环状二甲基聚硅氯烷25%~30%，色粉0~8%，二氧化硅67%</w:t>
                  </w:r>
                  <w:r>
                    <w:rPr>
                      <w:rFonts w:hint="default" w:ascii="Times New Roman" w:hAnsi="Times New Roman" w:cs="Times New Roman"/>
                      <w:color w:val="000000" w:themeColor="text1"/>
                      <w:sz w:val="21"/>
                      <w:szCs w:val="21"/>
                      <w:highlight w:val="none"/>
                      <w14:textFill>
                        <w14:solidFill>
                          <w14:schemeClr w14:val="tx1"/>
                        </w14:solidFill>
                      </w14:textFill>
                    </w:rPr>
                    <w:t>。外观：乳白色液体；气味：带有刺激性气味；粘度：属于低粘度液体，25℃环境下，使用 4 号粘度杯检测，流出时长 11-15 秒；沸点：110.63℃；闪点：≥80℃，采用开杯法检测；自燃温度：＞220℃；爆炸下限：1.2%；爆炸上限：7%，按体积占比计算；饱和蒸汽压：20℃条件下约 3kPa；密度：20℃时密度区间为 0.92-1.05g/cm³；水中溶解度：不溶于水；挥发性：易挥发。</w:t>
                  </w:r>
                </w:p>
                <w:p w14:paraId="26ADE035">
                  <w:pPr>
                    <w:pStyle w:val="24"/>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w:t>
                  </w:r>
                  <w:r>
                    <w:rPr>
                      <w:rFonts w:hint="eastAsia" w:cs="Times New Roman"/>
                      <w:color w:val="000000" w:themeColor="text1"/>
                      <w:sz w:val="21"/>
                      <w:szCs w:val="21"/>
                      <w:highlight w:val="none"/>
                      <w:lang w:val="en-US" w:eastAsia="zh-CN"/>
                      <w14:textFill>
                        <w14:solidFill>
                          <w14:schemeClr w14:val="tx1"/>
                        </w14:solidFill>
                      </w14:textFill>
                    </w:rPr>
                    <w:t>建设单位提供资料</w:t>
                  </w:r>
                  <w:r>
                    <w:rPr>
                      <w:rFonts w:hint="default" w:ascii="Times New Roman" w:hAnsi="Times New Roman" w:cs="Times New Roman"/>
                      <w:color w:val="000000" w:themeColor="text1"/>
                      <w:sz w:val="21"/>
                      <w:szCs w:val="21"/>
                      <w:highlight w:val="none"/>
                      <w14:textFill>
                        <w14:solidFill>
                          <w14:schemeClr w14:val="tx1"/>
                        </w14:solidFill>
                      </w14:textFill>
                    </w:rPr>
                    <w:t>，本项目使用的</w:t>
                  </w:r>
                  <w:r>
                    <w:rPr>
                      <w:rFonts w:hint="eastAsia" w:cs="Times New Roman"/>
                      <w:color w:val="000000" w:themeColor="text1"/>
                      <w:sz w:val="21"/>
                      <w:szCs w:val="21"/>
                      <w:highlight w:val="none"/>
                      <w:lang w:val="en-US" w:eastAsia="zh-CN"/>
                      <w14:textFill>
                        <w14:solidFill>
                          <w14:schemeClr w14:val="tx1"/>
                        </w14:solidFill>
                      </w14:textFill>
                    </w:rPr>
                    <w:t>溶剂型</w:t>
                  </w:r>
                  <w:r>
                    <w:rPr>
                      <w:rFonts w:hint="default" w:ascii="Times New Roman" w:hAnsi="Times New Roman" w:cs="Times New Roman"/>
                      <w:color w:val="000000" w:themeColor="text1"/>
                      <w:sz w:val="21"/>
                      <w:szCs w:val="21"/>
                      <w:highlight w:val="none"/>
                      <w14:textFill>
                        <w14:solidFill>
                          <w14:schemeClr w14:val="tx1"/>
                        </w14:solidFill>
                      </w14:textFill>
                    </w:rPr>
                    <w:t>油墨VOCs含量为</w:t>
                  </w:r>
                  <w:r>
                    <w:rPr>
                      <w:rFonts w:hint="eastAsia" w:cs="Times New Roman"/>
                      <w:color w:val="000000" w:themeColor="text1"/>
                      <w:sz w:val="21"/>
                      <w:szCs w:val="21"/>
                      <w:highlight w:val="none"/>
                      <w:lang w:val="en-US" w:eastAsia="zh-CN"/>
                      <w14:textFill>
                        <w14:solidFill>
                          <w14:schemeClr w14:val="tx1"/>
                        </w14:solidFill>
                      </w14:textFill>
                    </w:rPr>
                    <w:t>66.7</w:t>
                  </w:r>
                  <w:r>
                    <w:rPr>
                      <w:rFonts w:hint="default" w:ascii="Times New Roman" w:hAnsi="Times New Roman" w:cs="Times New Roman"/>
                      <w:color w:val="000000" w:themeColor="text1"/>
                      <w:sz w:val="21"/>
                      <w:szCs w:val="21"/>
                      <w:highlight w:val="none"/>
                      <w14:textFill>
                        <w14:solidFill>
                          <w14:schemeClr w14:val="tx1"/>
                        </w14:solidFill>
                      </w14:textFill>
                    </w:rPr>
                    <w:t>%，满足《油墨中可挥发性有机化合物（VOCs）含量的限值》（GB38507-2020）：</w:t>
                  </w:r>
                  <w:r>
                    <w:rPr>
                      <w:rFonts w:hint="eastAsia" w:cs="Times New Roman"/>
                      <w:color w:val="000000" w:themeColor="text1"/>
                      <w:sz w:val="21"/>
                      <w:szCs w:val="21"/>
                      <w:highlight w:val="none"/>
                      <w:lang w:val="en-US" w:eastAsia="zh-CN"/>
                      <w14:textFill>
                        <w14:solidFill>
                          <w14:schemeClr w14:val="tx1"/>
                        </w14:solidFill>
                      </w14:textFill>
                    </w:rPr>
                    <w:t>凹</w:t>
                  </w:r>
                  <w:r>
                    <w:rPr>
                      <w:rFonts w:hint="default" w:ascii="Times New Roman" w:hAnsi="Times New Roman" w:cs="Times New Roman"/>
                      <w:color w:val="000000" w:themeColor="text1"/>
                      <w:sz w:val="21"/>
                      <w:szCs w:val="21"/>
                      <w:highlight w:val="none"/>
                      <w14:textFill>
                        <w14:solidFill>
                          <w14:schemeClr w14:val="tx1"/>
                        </w14:solidFill>
                      </w14:textFill>
                    </w:rPr>
                    <w:t>印油墨 VOCs 限值≤</w:t>
                  </w:r>
                  <w:r>
                    <w:rPr>
                      <w:rFonts w:hint="eastAsia" w:cs="Times New Roman"/>
                      <w:color w:val="000000" w:themeColor="text1"/>
                      <w:sz w:val="21"/>
                      <w:szCs w:val="21"/>
                      <w:highlight w:val="none"/>
                      <w:lang w:val="en-US" w:eastAsia="zh-CN"/>
                      <w14:textFill>
                        <w14:solidFill>
                          <w14:schemeClr w14:val="tx1"/>
                        </w14:solidFill>
                      </w14:textFill>
                    </w:rPr>
                    <w:t>75</w:t>
                  </w: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904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Align w:val="center"/>
                </w:tcPr>
                <w:p w14:paraId="47CCD9E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半水基清洗剂</w:t>
                  </w:r>
                </w:p>
              </w:tc>
              <w:tc>
                <w:tcPr>
                  <w:tcW w:w="4131" w:type="pct"/>
                  <w:vAlign w:val="center"/>
                </w:tcPr>
                <w:p w14:paraId="690892C3">
                  <w:pPr>
                    <w:pStyle w:val="58"/>
                    <w:pageBreakBefore w:val="0"/>
                    <w:wordWrap w:val="0"/>
                    <w:overflowPunct/>
                    <w:bidi w:val="0"/>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lang w:val="en-US" w:eastAsia="zh-CN"/>
                      <w14:textFill>
                        <w14:solidFill>
                          <w14:schemeClr w14:val="tx1"/>
                        </w14:solidFill>
                      </w14:textFill>
                    </w:rPr>
                    <w:t>三丙二醇单甲醚10%、表面活性剂10%、三乙醇胺5%、去离子水75%，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外观与性状：无色至淡黄色液体</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稳定性：3-10℃，无结晶无沉淀，40℃不分层，不混浊，不改变气味</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沸点：101±5℃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闪点：无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密度，g/cm³(20±1℃)：1.01±0.1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 值：12±1</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溶解性：易溶于水</w:t>
                  </w:r>
                </w:p>
              </w:tc>
            </w:tr>
            <w:bookmarkEnd w:id="18"/>
          </w:tbl>
          <w:p w14:paraId="038F5692">
            <w:pPr>
              <w:tabs>
                <w:tab w:val="left" w:pos="0"/>
              </w:tabs>
              <w:adjustRightInd w:val="0"/>
              <w:snapToGrid w:val="0"/>
              <w:spacing w:line="360" w:lineRule="auto"/>
              <w:ind w:firstLine="480"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油墨用量核算：</w:t>
            </w:r>
          </w:p>
          <w:p w14:paraId="3BCA0E8D">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油墨使用量按照下式进行计算：</w:t>
            </w:r>
          </w:p>
          <w:p w14:paraId="30429219">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14:textFill>
                  <w14:solidFill>
                    <w14:schemeClr w14:val="tx1"/>
                  </w14:solidFill>
                </w14:textFill>
              </w:rPr>
              <w:drawing>
                <wp:inline distT="0" distB="0" distL="114300" distR="114300">
                  <wp:extent cx="3996055" cy="450215"/>
                  <wp:effectExtent l="0" t="0" r="4445" b="698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2"/>
                          <a:stretch>
                            <a:fillRect/>
                          </a:stretch>
                        </pic:blipFill>
                        <pic:spPr>
                          <a:xfrm>
                            <a:off x="0" y="0"/>
                            <a:ext cx="3996055" cy="450215"/>
                          </a:xfrm>
                          <a:prstGeom prst="rect">
                            <a:avLst/>
                          </a:prstGeom>
                          <a:noFill/>
                          <a:ln>
                            <a:noFill/>
                          </a:ln>
                        </pic:spPr>
                      </pic:pic>
                    </a:graphicData>
                  </a:graphic>
                </wp:inline>
              </w:drawing>
            </w:r>
          </w:p>
          <w:p w14:paraId="5FEAB20C">
            <w:pPr>
              <w:tabs>
                <w:tab w:val="left" w:pos="0"/>
              </w:tabs>
              <w:adjustRightInd w:val="0"/>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式中：</w:t>
            </w:r>
          </w:p>
          <w:p w14:paraId="100E1C59">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印刷面积：本项目使用移印机在</w:t>
            </w:r>
            <w:r>
              <w:rPr>
                <w:rFonts w:hint="eastAsia"/>
                <w:bCs/>
                <w:color w:val="000000" w:themeColor="text1"/>
                <w:sz w:val="24"/>
                <w:highlight w:val="none"/>
                <w:lang w:val="en-US" w:eastAsia="zh-CN"/>
                <w14:textFill>
                  <w14:solidFill>
                    <w14:schemeClr w14:val="tx1"/>
                  </w14:solidFill>
                </w14:textFill>
              </w:rPr>
              <w:t>硅胶按键</w:t>
            </w:r>
            <w:r>
              <w:rPr>
                <w:bCs/>
                <w:color w:val="000000" w:themeColor="text1"/>
                <w:sz w:val="24"/>
                <w:highlight w:val="none"/>
                <w14:textFill>
                  <w14:solidFill>
                    <w14:schemeClr w14:val="tx1"/>
                  </w14:solidFill>
                </w14:textFill>
              </w:rPr>
              <w:t>表面印刷，年印刷</w:t>
            </w:r>
            <w:r>
              <w:rPr>
                <w:rFonts w:hint="eastAsia"/>
                <w:bCs/>
                <w:color w:val="000000" w:themeColor="text1"/>
                <w:sz w:val="24"/>
                <w:highlight w:val="none"/>
                <w:lang w:val="en-US" w:eastAsia="zh-CN"/>
                <w14:textFill>
                  <w14:solidFill>
                    <w14:schemeClr w14:val="tx1"/>
                  </w14:solidFill>
                </w14:textFill>
              </w:rPr>
              <w:t>产品</w:t>
            </w:r>
            <w:r>
              <w:rPr>
                <w:bCs/>
                <w:color w:val="000000" w:themeColor="text1"/>
                <w:sz w:val="24"/>
                <w:highlight w:val="none"/>
                <w14:textFill>
                  <w14:solidFill>
                    <w14:schemeClr w14:val="tx1"/>
                  </w14:solidFill>
                </w14:textFill>
              </w:rPr>
              <w:t>量约</w:t>
            </w:r>
            <w:r>
              <w:rPr>
                <w:rFonts w:hint="eastAsia"/>
                <w:bCs/>
                <w:color w:val="000000" w:themeColor="text1"/>
                <w:sz w:val="24"/>
                <w:highlight w:val="none"/>
                <w:lang w:val="en-US" w:eastAsia="zh-CN"/>
                <w14:textFill>
                  <w14:solidFill>
                    <w14:schemeClr w14:val="tx1"/>
                  </w14:solidFill>
                </w14:textFill>
              </w:rPr>
              <w:t>1000</w:t>
            </w:r>
            <w:r>
              <w:rPr>
                <w:rFonts w:hint="eastAsia"/>
                <w:bCs/>
                <w:color w:val="000000" w:themeColor="text1"/>
                <w:sz w:val="24"/>
                <w:highlight w:val="none"/>
                <w:lang w:eastAsia="zh-CN"/>
                <w14:textFill>
                  <w14:solidFill>
                    <w14:schemeClr w14:val="tx1"/>
                  </w14:solidFill>
                </w14:textFill>
              </w:rPr>
              <w:t>万个</w:t>
            </w:r>
            <w:r>
              <w:rPr>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单个硅胶按键印刷面积约0.529cm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vertAlign w:val="baseline"/>
                <w:lang w:val="en-US" w:eastAsia="zh-CN"/>
                <w14:textFill>
                  <w14:solidFill>
                    <w14:schemeClr w14:val="tx1"/>
                  </w14:solidFill>
                </w14:textFill>
              </w:rPr>
              <w:t>/只</w:t>
            </w:r>
            <w:r>
              <w:rPr>
                <w:rFonts w:hint="eastAsia"/>
                <w:bCs/>
                <w:color w:val="000000" w:themeColor="text1"/>
                <w:sz w:val="24"/>
                <w:highlight w:val="none"/>
                <w:lang w:val="en-US" w:eastAsia="zh-CN"/>
                <w14:textFill>
                  <w14:solidFill>
                    <w14:schemeClr w14:val="tx1"/>
                  </w14:solidFill>
                </w14:textFill>
              </w:rPr>
              <w:t>，</w:t>
            </w:r>
            <w:r>
              <w:rPr>
                <w:bCs/>
                <w:color w:val="000000" w:themeColor="text1"/>
                <w:sz w:val="24"/>
                <w:highlight w:val="none"/>
                <w14:textFill>
                  <w14:solidFill>
                    <w14:schemeClr w14:val="tx1"/>
                  </w14:solidFill>
                </w14:textFill>
              </w:rPr>
              <w:t>移印印刷面积约为</w:t>
            </w:r>
            <w:r>
              <w:rPr>
                <w:rFonts w:hint="eastAsia"/>
                <w:bCs/>
                <w:color w:val="000000" w:themeColor="text1"/>
                <w:sz w:val="24"/>
                <w:highlight w:val="none"/>
                <w:lang w:val="en-US" w:eastAsia="zh-CN"/>
                <w14:textFill>
                  <w14:solidFill>
                    <w14:schemeClr w14:val="tx1"/>
                  </w14:solidFill>
                </w14:textFill>
              </w:rPr>
              <w:t>528.57</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w:t>
            </w:r>
          </w:p>
          <w:p w14:paraId="249FD54A">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油墨覆盖率：移印印刷产品需印刷的图案总面积占实际印刷面积的比例约为50%；</w:t>
            </w:r>
          </w:p>
          <w:p w14:paraId="20A77E3E">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油墨厚度：印刷机油墨印刷厚度，项目印刷物的墨层厚度在2~4μm之间，本评价取</w:t>
            </w:r>
            <w:r>
              <w:rPr>
                <w:rFonts w:hint="eastAsia"/>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μm，即0.00000</w:t>
            </w:r>
            <w:r>
              <w:rPr>
                <w:rFonts w:hint="eastAsia"/>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m；</w:t>
            </w:r>
          </w:p>
          <w:p w14:paraId="6F003932">
            <w:pPr>
              <w:tabs>
                <w:tab w:val="left" w:pos="0"/>
              </w:tabs>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密度：油墨密度约为</w:t>
            </w:r>
            <w:r>
              <w:rPr>
                <w:rFonts w:hint="default" w:ascii="Times New Roman" w:hAnsi="Times New Roman" w:cs="Times New Roman"/>
                <w:color w:val="000000" w:themeColor="text1"/>
                <w:sz w:val="24"/>
                <w:szCs w:val="24"/>
                <w:highlight w:val="none"/>
                <w14:textFill>
                  <w14:solidFill>
                    <w14:schemeClr w14:val="tx1"/>
                  </w14:solidFill>
                </w14:textFill>
              </w:rPr>
              <w:t>0.92-1.05g/cm³</w:t>
            </w:r>
            <w:r>
              <w:rPr>
                <w:bCs/>
                <w:color w:val="000000" w:themeColor="text1"/>
                <w:sz w:val="24"/>
                <w:highlight w:val="none"/>
                <w14:textFill>
                  <w14:solidFill>
                    <w14:schemeClr w14:val="tx1"/>
                  </w14:solidFill>
                </w14:textFill>
              </w:rPr>
              <w:t>，本评价取1.</w:t>
            </w:r>
            <w:r>
              <w:rPr>
                <w:rFonts w:hint="eastAsia"/>
                <w:bCs/>
                <w:color w:val="000000" w:themeColor="text1"/>
                <w:sz w:val="24"/>
                <w:highlight w:val="none"/>
                <w:lang w:val="en-US" w:eastAsia="zh-CN"/>
                <w14:textFill>
                  <w14:solidFill>
                    <w14:schemeClr w14:val="tx1"/>
                  </w14:solidFill>
                </w14:textFill>
              </w:rPr>
              <w:t>05</w:t>
            </w:r>
            <w:r>
              <w:rPr>
                <w:bCs/>
                <w:color w:val="000000" w:themeColor="text1"/>
                <w:sz w:val="24"/>
                <w:highlight w:val="none"/>
                <w14:textFill>
                  <w14:solidFill>
                    <w14:schemeClr w14:val="tx1"/>
                  </w14:solidFill>
                </w14:textFill>
              </w:rPr>
              <w:t>g/cm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p>
          <w:p w14:paraId="6D14DFDD">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固含量：本项目油墨</w:t>
            </w:r>
            <w:r>
              <w:rPr>
                <w:rFonts w:hint="eastAsia"/>
                <w:bCs/>
                <w:color w:val="000000" w:themeColor="text1"/>
                <w:sz w:val="24"/>
                <w:highlight w:val="none"/>
                <w:lang w:val="en-US" w:eastAsia="zh-CN"/>
                <w14:textFill>
                  <w14:solidFill>
                    <w14:schemeClr w14:val="tx1"/>
                  </w14:solidFill>
                </w14:textFill>
              </w:rPr>
              <w:t>挥发性有机物含量为66.7%</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则</w:t>
            </w:r>
            <w:r>
              <w:rPr>
                <w:color w:val="000000" w:themeColor="text1"/>
                <w:sz w:val="24"/>
                <w:highlight w:val="none"/>
                <w14:textFill>
                  <w14:solidFill>
                    <w14:schemeClr w14:val="tx1"/>
                  </w14:solidFill>
                </w14:textFill>
              </w:rPr>
              <w:t>固含量为</w:t>
            </w:r>
            <w:r>
              <w:rPr>
                <w:rFonts w:hint="eastAsia"/>
                <w:color w:val="000000" w:themeColor="text1"/>
                <w:sz w:val="24"/>
                <w:highlight w:val="none"/>
                <w:lang w:val="en-US" w:eastAsia="zh-CN"/>
                <w14:textFill>
                  <w14:solidFill>
                    <w14:schemeClr w14:val="tx1"/>
                  </w14:solidFill>
                </w14:textFill>
              </w:rPr>
              <w:t>33.3</w:t>
            </w:r>
            <w:r>
              <w:rPr>
                <w:color w:val="000000" w:themeColor="text1"/>
                <w:sz w:val="24"/>
                <w:highlight w:val="none"/>
                <w14:textFill>
                  <w14:solidFill>
                    <w14:schemeClr w14:val="tx1"/>
                  </w14:solidFill>
                </w14:textFill>
              </w:rPr>
              <w:t>%。</w:t>
            </w:r>
          </w:p>
          <w:p w14:paraId="6B711567">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油墨利用率：本项目油墨利用率以50%计。</w:t>
            </w:r>
          </w:p>
          <w:p w14:paraId="30CBEF08">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经计算，项目油墨使用量约为0.</w:t>
            </w:r>
            <w:r>
              <w:rPr>
                <w:rFonts w:hint="eastAsia"/>
                <w:bCs/>
                <w:color w:val="000000" w:themeColor="text1"/>
                <w:sz w:val="24"/>
                <w:highlight w:val="none"/>
                <w:lang w:val="en-US" w:eastAsia="zh-CN"/>
                <w14:textFill>
                  <w14:solidFill>
                    <w14:schemeClr w14:val="tx1"/>
                  </w14:solidFill>
                </w14:textFill>
              </w:rPr>
              <w:t>005</w:t>
            </w:r>
            <w:r>
              <w:rPr>
                <w:bCs/>
                <w:color w:val="000000" w:themeColor="text1"/>
                <w:sz w:val="24"/>
                <w:highlight w:val="none"/>
                <w14:textFill>
                  <w14:solidFill>
                    <w14:schemeClr w14:val="tx1"/>
                  </w14:solidFill>
                </w14:textFill>
              </w:rPr>
              <w:t>t/a。</w:t>
            </w:r>
          </w:p>
          <w:p w14:paraId="37676AC1">
            <w:pPr>
              <w:tabs>
                <w:tab w:val="left" w:pos="0"/>
              </w:tabs>
              <w:adjustRightInd w:val="0"/>
              <w:snapToGrid w:val="0"/>
              <w:spacing w:line="360" w:lineRule="auto"/>
              <w:ind w:firstLine="480" w:firstLineChars="200"/>
              <w:rPr>
                <w:rFonts w:hint="eastAsia" w:ascii="Times New Roman" w:hAnsi="Times New Roman" w:cs="Times New Roman"/>
                <w:b/>
                <w:color w:val="000000" w:themeColor="text1"/>
                <w:sz w:val="21"/>
                <w:szCs w:val="21"/>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物料平衡</w:t>
            </w:r>
            <w:r>
              <w:rPr>
                <w:rFonts w:hint="eastAsia"/>
                <w:b/>
                <w:color w:val="000000" w:themeColor="text1"/>
                <w:sz w:val="24"/>
                <w:highlight w:val="none"/>
                <w:lang w:eastAsia="zh-CN"/>
                <w14:textFill>
                  <w14:solidFill>
                    <w14:schemeClr w14:val="tx1"/>
                  </w14:solidFill>
                </w14:textFill>
              </w:rPr>
              <w:t>一览表</w:t>
            </w:r>
            <w:r>
              <w:rPr>
                <w:rFonts w:hint="eastAsia"/>
                <w:b/>
                <w:color w:val="000000" w:themeColor="text1"/>
                <w:sz w:val="24"/>
                <w:highlight w:val="none"/>
                <w14:textFill>
                  <w14:solidFill>
                    <w14:schemeClr w14:val="tx1"/>
                  </w14:solidFill>
                </w14:textFill>
              </w:rPr>
              <w:t>：</w:t>
            </w:r>
          </w:p>
          <w:p w14:paraId="65F30151">
            <w:pPr>
              <w:widowControl/>
              <w:numPr>
                <w:ilvl w:val="0"/>
                <w:numId w:val="8"/>
              </w:numPr>
              <w:spacing w:line="240" w:lineRule="auto"/>
              <w:ind w:left="0" w:leftChars="0" w:firstLine="40" w:firstLineChars="0"/>
              <w:jc w:val="center"/>
              <w:rPr>
                <w:rFonts w:hint="default" w:eastAsia="宋体"/>
                <w:b/>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eastAsia"/>
                <w:b/>
                <w:color w:val="000000" w:themeColor="text1"/>
                <w:sz w:val="21"/>
                <w:szCs w:val="21"/>
                <w:highlight w:val="none"/>
                <w14:textFill>
                  <w14:solidFill>
                    <w14:schemeClr w14:val="tx1"/>
                  </w14:solidFill>
                </w14:textFill>
              </w:rPr>
              <w:t>物料平衡</w:t>
            </w:r>
            <w:r>
              <w:rPr>
                <w:rFonts w:hint="eastAsia"/>
                <w:b/>
                <w:color w:val="000000" w:themeColor="text1"/>
                <w:sz w:val="21"/>
                <w:szCs w:val="21"/>
                <w:highlight w:val="none"/>
                <w:lang w:eastAsia="zh-CN"/>
                <w14:textFill>
                  <w14:solidFill>
                    <w14:schemeClr w14:val="tx1"/>
                  </w14:solidFill>
                </w14:textFill>
              </w:rPr>
              <w:t>一览表</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8"/>
              <w:gridCol w:w="1246"/>
              <w:gridCol w:w="1245"/>
              <w:gridCol w:w="1444"/>
              <w:gridCol w:w="1957"/>
            </w:tblGrid>
            <w:tr w14:paraId="152D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0A78BE6A">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输入</w:t>
                  </w:r>
                </w:p>
              </w:tc>
              <w:tc>
                <w:tcPr>
                  <w:tcW w:w="1246" w:type="dxa"/>
                  <w:vAlign w:val="center"/>
                </w:tcPr>
                <w:p w14:paraId="1D8097E2">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重量（</w:t>
                  </w:r>
                  <w:r>
                    <w:rPr>
                      <w:rFonts w:hint="eastAsia"/>
                      <w:b/>
                      <w:color w:val="000000" w:themeColor="text1"/>
                      <w:sz w:val="21"/>
                      <w:szCs w:val="21"/>
                      <w:highlight w:val="none"/>
                      <w:vertAlign w:val="baseline"/>
                      <w:lang w:val="en-US" w:eastAsia="zh-CN"/>
                      <w14:textFill>
                        <w14:solidFill>
                          <w14:schemeClr w14:val="tx1"/>
                        </w14:solidFill>
                      </w14:textFill>
                    </w:rPr>
                    <w:t>t/a</w:t>
                  </w:r>
                  <w:r>
                    <w:rPr>
                      <w:rFonts w:hint="eastAsia"/>
                      <w:b/>
                      <w:color w:val="000000" w:themeColor="text1"/>
                      <w:sz w:val="21"/>
                      <w:szCs w:val="21"/>
                      <w:highlight w:val="none"/>
                      <w:vertAlign w:val="baseline"/>
                      <w:lang w:eastAsia="zh-CN"/>
                      <w14:textFill>
                        <w14:solidFill>
                          <w14:schemeClr w14:val="tx1"/>
                        </w14:solidFill>
                      </w14:textFill>
                    </w:rPr>
                    <w:t>）</w:t>
                  </w:r>
                </w:p>
              </w:tc>
              <w:tc>
                <w:tcPr>
                  <w:tcW w:w="2689" w:type="dxa"/>
                  <w:gridSpan w:val="2"/>
                  <w:vAlign w:val="center"/>
                </w:tcPr>
                <w:p w14:paraId="68E620B9">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输出</w:t>
                  </w:r>
                </w:p>
              </w:tc>
              <w:tc>
                <w:tcPr>
                  <w:tcW w:w="1957" w:type="dxa"/>
                  <w:vAlign w:val="center"/>
                </w:tcPr>
                <w:p w14:paraId="0C839F42">
                  <w:pPr>
                    <w:tabs>
                      <w:tab w:val="left" w:pos="0"/>
                    </w:tabs>
                    <w:adjustRightInd w:val="0"/>
                    <w:snapToGrid w:val="0"/>
                    <w:spacing w:line="240" w:lineRule="auto"/>
                    <w:jc w:val="center"/>
                    <w:rPr>
                      <w:rFonts w:hint="eastAsia" w:eastAsia="宋体"/>
                      <w:b/>
                      <w:color w:val="000000" w:themeColor="text1"/>
                      <w:sz w:val="21"/>
                      <w:szCs w:val="21"/>
                      <w:highlight w:val="none"/>
                      <w:vertAlign w:val="baseline"/>
                      <w:lang w:eastAsia="zh-CN"/>
                      <w14:textFill>
                        <w14:solidFill>
                          <w14:schemeClr w14:val="tx1"/>
                        </w14:solidFill>
                      </w14:textFill>
                    </w:rPr>
                  </w:pPr>
                  <w:r>
                    <w:rPr>
                      <w:rFonts w:hint="eastAsia"/>
                      <w:b/>
                      <w:color w:val="000000" w:themeColor="text1"/>
                      <w:sz w:val="21"/>
                      <w:szCs w:val="21"/>
                      <w:highlight w:val="none"/>
                      <w:vertAlign w:val="baseline"/>
                      <w:lang w:eastAsia="zh-CN"/>
                      <w14:textFill>
                        <w14:solidFill>
                          <w14:schemeClr w14:val="tx1"/>
                        </w14:solidFill>
                      </w14:textFill>
                    </w:rPr>
                    <w:t>重量（</w:t>
                  </w:r>
                  <w:r>
                    <w:rPr>
                      <w:rFonts w:hint="eastAsia"/>
                      <w:b/>
                      <w:color w:val="000000" w:themeColor="text1"/>
                      <w:sz w:val="21"/>
                      <w:szCs w:val="21"/>
                      <w:highlight w:val="none"/>
                      <w:vertAlign w:val="baseline"/>
                      <w:lang w:val="en-US" w:eastAsia="zh-CN"/>
                      <w14:textFill>
                        <w14:solidFill>
                          <w14:schemeClr w14:val="tx1"/>
                        </w14:solidFill>
                      </w14:textFill>
                    </w:rPr>
                    <w:t>t/a</w:t>
                  </w:r>
                  <w:r>
                    <w:rPr>
                      <w:rFonts w:hint="eastAsia"/>
                      <w:b/>
                      <w:color w:val="000000" w:themeColor="text1"/>
                      <w:sz w:val="21"/>
                      <w:szCs w:val="21"/>
                      <w:highlight w:val="none"/>
                      <w:vertAlign w:val="baseline"/>
                      <w:lang w:eastAsia="zh-CN"/>
                      <w14:textFill>
                        <w14:solidFill>
                          <w14:schemeClr w14:val="tx1"/>
                        </w14:solidFill>
                      </w14:textFill>
                    </w:rPr>
                    <w:t>）</w:t>
                  </w:r>
                </w:p>
              </w:tc>
            </w:tr>
            <w:tr w14:paraId="7391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63619F8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硅胶</w:t>
                  </w:r>
                </w:p>
              </w:tc>
              <w:tc>
                <w:tcPr>
                  <w:tcW w:w="1246" w:type="dxa"/>
                  <w:vAlign w:val="center"/>
                </w:tcPr>
                <w:p w14:paraId="4D3CAD2C">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2689" w:type="dxa"/>
                  <w:gridSpan w:val="2"/>
                  <w:vAlign w:val="center"/>
                </w:tcPr>
                <w:p w14:paraId="41231EBC">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进入产品</w:t>
                  </w:r>
                </w:p>
              </w:tc>
              <w:tc>
                <w:tcPr>
                  <w:tcW w:w="1957" w:type="dxa"/>
                  <w:vAlign w:val="center"/>
                </w:tcPr>
                <w:p w14:paraId="42C04B8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90.585 </w:t>
                  </w:r>
                </w:p>
              </w:tc>
            </w:tr>
            <w:tr w14:paraId="5C37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586AF19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硫化剂</w:t>
                  </w:r>
                </w:p>
              </w:tc>
              <w:tc>
                <w:tcPr>
                  <w:tcW w:w="1246" w:type="dxa"/>
                  <w:vAlign w:val="center"/>
                </w:tcPr>
                <w:p w14:paraId="35442CD2">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689" w:type="dxa"/>
                  <w:gridSpan w:val="2"/>
                  <w:vAlign w:val="center"/>
                </w:tcPr>
                <w:p w14:paraId="46ABD48C">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二级活性炭装置吸附</w:t>
                  </w:r>
                </w:p>
              </w:tc>
              <w:tc>
                <w:tcPr>
                  <w:tcW w:w="1957" w:type="dxa"/>
                  <w:vAlign w:val="center"/>
                </w:tcPr>
                <w:p w14:paraId="2E0AC66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0.242 </w:t>
                  </w:r>
                </w:p>
              </w:tc>
            </w:tr>
            <w:tr w14:paraId="145C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44AC3016">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色母</w:t>
                  </w:r>
                </w:p>
              </w:tc>
              <w:tc>
                <w:tcPr>
                  <w:tcW w:w="1246" w:type="dxa"/>
                  <w:vAlign w:val="center"/>
                </w:tcPr>
                <w:p w14:paraId="5F836F67">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245" w:type="dxa"/>
                  <w:vMerge w:val="restart"/>
                  <w:vAlign w:val="center"/>
                </w:tcPr>
                <w:p w14:paraId="77A432F8">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VOCs</w:t>
                  </w:r>
                </w:p>
              </w:tc>
              <w:tc>
                <w:tcPr>
                  <w:tcW w:w="1444" w:type="dxa"/>
                  <w:vAlign w:val="center"/>
                </w:tcPr>
                <w:p w14:paraId="6DC95379">
                  <w:pPr>
                    <w:keepNext w:val="0"/>
                    <w:keepLines w:val="0"/>
                    <w:widowControl/>
                    <w:suppressLineNumbers w:val="0"/>
                    <w:jc w:val="center"/>
                    <w:textAlignment w:val="center"/>
                    <w:rPr>
                      <w:rFonts w:hint="eastAsia"/>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w:t>
                  </w:r>
                </w:p>
              </w:tc>
              <w:tc>
                <w:tcPr>
                  <w:tcW w:w="1957" w:type="dxa"/>
                  <w:vAlign w:val="center"/>
                </w:tcPr>
                <w:p w14:paraId="1E9CCC0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r>
            <w:tr w14:paraId="1E40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61F6DA36">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油墨</w:t>
                  </w:r>
                </w:p>
              </w:tc>
              <w:tc>
                <w:tcPr>
                  <w:tcW w:w="1246" w:type="dxa"/>
                  <w:vAlign w:val="center"/>
                </w:tcPr>
                <w:p w14:paraId="5495304B">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w:t>
                  </w:r>
                </w:p>
              </w:tc>
              <w:tc>
                <w:tcPr>
                  <w:tcW w:w="1245" w:type="dxa"/>
                  <w:vMerge w:val="continue"/>
                  <w:vAlign w:val="center"/>
                </w:tcPr>
                <w:p w14:paraId="627246F3">
                  <w:pPr>
                    <w:jc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p>
              </w:tc>
              <w:tc>
                <w:tcPr>
                  <w:tcW w:w="1444" w:type="dxa"/>
                  <w:vAlign w:val="center"/>
                </w:tcPr>
                <w:p w14:paraId="6AF8A43C">
                  <w:pPr>
                    <w:keepNext w:val="0"/>
                    <w:keepLines w:val="0"/>
                    <w:widowControl/>
                    <w:suppressLineNumbers w:val="0"/>
                    <w:jc w:val="center"/>
                    <w:textAlignment w:val="center"/>
                    <w:rPr>
                      <w:rFonts w:hint="eastAsia"/>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w:t>
                  </w:r>
                </w:p>
              </w:tc>
              <w:tc>
                <w:tcPr>
                  <w:tcW w:w="1957" w:type="dxa"/>
                  <w:vAlign w:val="center"/>
                </w:tcPr>
                <w:p w14:paraId="5B0F27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r>
            <w:tr w14:paraId="6438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2716437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钢板、胶头清洗剂</w:t>
                  </w:r>
                </w:p>
              </w:tc>
              <w:tc>
                <w:tcPr>
                  <w:tcW w:w="1246" w:type="dxa"/>
                  <w:vAlign w:val="center"/>
                </w:tcPr>
                <w:p w14:paraId="0653063F">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2689" w:type="dxa"/>
                  <w:gridSpan w:val="2"/>
                  <w:vAlign w:val="center"/>
                </w:tcPr>
                <w:p w14:paraId="3B3D50F7">
                  <w:pPr>
                    <w:keepNext w:val="0"/>
                    <w:keepLines w:val="0"/>
                    <w:widowControl/>
                    <w:suppressLineNumbers w:val="0"/>
                    <w:jc w:val="center"/>
                    <w:textAlignment w:val="center"/>
                    <w:rPr>
                      <w:rFonts w:hint="default"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边角料</w:t>
                  </w:r>
                  <w:r>
                    <w:rPr>
                      <w:rFonts w:hint="eastAsia" w:ascii="宋体" w:hAnsi="宋体" w:cs="宋体"/>
                      <w:i w:val="0"/>
                      <w:iCs w:val="0"/>
                      <w:color w:val="000000" w:themeColor="text1"/>
                      <w:kern w:val="0"/>
                      <w:sz w:val="21"/>
                      <w:szCs w:val="21"/>
                      <w:u w:val="none"/>
                      <w:lang w:val="en-US" w:eastAsia="zh-CN"/>
                      <w14:textFill>
                        <w14:solidFill>
                          <w14:schemeClr w14:val="tx1"/>
                        </w14:solidFill>
                      </w14:textFill>
                    </w:rPr>
                    <w:t>及不合格品</w:t>
                  </w:r>
                </w:p>
              </w:tc>
              <w:tc>
                <w:tcPr>
                  <w:tcW w:w="1957" w:type="dxa"/>
                  <w:vAlign w:val="center"/>
                </w:tcPr>
                <w:p w14:paraId="2253A22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r>
            <w:tr w14:paraId="4CC7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51888BB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246" w:type="dxa"/>
                  <w:vAlign w:val="center"/>
                </w:tcPr>
                <w:p w14:paraId="4304C08D">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89" w:type="dxa"/>
                  <w:gridSpan w:val="2"/>
                  <w:vAlign w:val="center"/>
                </w:tcPr>
                <w:p w14:paraId="677C88D7">
                  <w:pPr>
                    <w:keepNext w:val="0"/>
                    <w:keepLines w:val="0"/>
                    <w:widowControl/>
                    <w:suppressLineNumbers w:val="0"/>
                    <w:jc w:val="center"/>
                    <w:textAlignment w:val="center"/>
                    <w:rPr>
                      <w:rFonts w:hint="eastAsia"/>
                      <w:b w:val="0"/>
                      <w:bCs w:val="0"/>
                      <w:color w:val="000000" w:themeColor="text1"/>
                      <w:sz w:val="21"/>
                      <w:szCs w:val="21"/>
                      <w:highlight w:val="none"/>
                      <w:vertAlign w:val="baseli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进入危险废物</w:t>
                  </w:r>
                </w:p>
              </w:tc>
              <w:tc>
                <w:tcPr>
                  <w:tcW w:w="1957" w:type="dxa"/>
                  <w:vAlign w:val="center"/>
                </w:tcPr>
                <w:p w14:paraId="79AF28A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0.594</w:t>
                  </w:r>
                </w:p>
              </w:tc>
            </w:tr>
            <w:tr w14:paraId="1296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58" w:type="dxa"/>
                  <w:vAlign w:val="center"/>
                </w:tcPr>
                <w:p w14:paraId="724FE458">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1246" w:type="dxa"/>
                  <w:vAlign w:val="center"/>
                </w:tcPr>
                <w:p w14:paraId="5EB730AF">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101.515</w:t>
                  </w:r>
                </w:p>
              </w:tc>
              <w:tc>
                <w:tcPr>
                  <w:tcW w:w="2689" w:type="dxa"/>
                  <w:gridSpan w:val="2"/>
                  <w:vAlign w:val="center"/>
                </w:tcPr>
                <w:p w14:paraId="20E49501">
                  <w:pPr>
                    <w:keepNext w:val="0"/>
                    <w:keepLines w:val="0"/>
                    <w:widowControl/>
                    <w:suppressLineNumbers w:val="0"/>
                    <w:jc w:val="center"/>
                    <w:textAlignment w:val="center"/>
                    <w:rPr>
                      <w:rFonts w:hint="eastAsia" w:eastAsia="宋体"/>
                      <w:b w:val="0"/>
                      <w:bCs w:val="0"/>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1957" w:type="dxa"/>
                  <w:vAlign w:val="center"/>
                </w:tcPr>
                <w:p w14:paraId="1EDCBE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101.515 </w:t>
                  </w:r>
                </w:p>
              </w:tc>
            </w:tr>
          </w:tbl>
          <w:p w14:paraId="18243D9D">
            <w:pPr>
              <w:pStyle w:val="20"/>
              <w:numPr>
                <w:ilvl w:val="3"/>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生产设备</w:t>
            </w:r>
          </w:p>
          <w:p w14:paraId="332C3D5B">
            <w:pPr>
              <w:pStyle w:val="26"/>
              <w:ind w:firstLine="48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本项目生产设备见下表。</w:t>
            </w:r>
          </w:p>
          <w:p w14:paraId="63C35691">
            <w:pPr>
              <w:widowControl/>
              <w:numPr>
                <w:ilvl w:val="0"/>
                <w:numId w:val="8"/>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生产</w:t>
            </w:r>
            <w:r>
              <w:rPr>
                <w:rFonts w:hint="default" w:ascii="Times New Roman" w:hAnsi="Times New Roman" w:cs="Times New Roman"/>
                <w:b/>
                <w:bCs/>
                <w:color w:val="000000" w:themeColor="text1"/>
                <w:sz w:val="21"/>
                <w:szCs w:val="21"/>
                <w:highlight w:val="none"/>
                <w14:textFill>
                  <w14:solidFill>
                    <w14:schemeClr w14:val="tx1"/>
                  </w14:solidFill>
                </w14:textFill>
              </w:rPr>
              <w:t>设备一览表</w:t>
            </w:r>
          </w:p>
          <w:tbl>
            <w:tblPr>
              <w:tblStyle w:val="4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36"/>
              <w:gridCol w:w="1112"/>
              <w:gridCol w:w="958"/>
              <w:gridCol w:w="536"/>
              <w:gridCol w:w="1237"/>
              <w:gridCol w:w="2424"/>
              <w:gridCol w:w="1041"/>
            </w:tblGrid>
            <w:tr w14:paraId="55F10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3BDBFED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序号</w:t>
                  </w:r>
                </w:p>
              </w:tc>
              <w:tc>
                <w:tcPr>
                  <w:tcW w:w="906" w:type="pct"/>
                  <w:tcBorders>
                    <w:tl2br w:val="nil"/>
                    <w:tr2bl w:val="nil"/>
                  </w:tcBorders>
                  <w:shd w:val="clear" w:color="auto" w:fill="auto"/>
                  <w:noWrap/>
                  <w:vAlign w:val="center"/>
                </w:tcPr>
                <w:p w14:paraId="12F554A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生产环节</w:t>
                  </w:r>
                </w:p>
              </w:tc>
              <w:tc>
                <w:tcPr>
                  <w:tcW w:w="662" w:type="pct"/>
                  <w:tcBorders>
                    <w:tl2br w:val="nil"/>
                    <w:tr2bl w:val="nil"/>
                  </w:tcBorders>
                  <w:shd w:val="clear" w:color="auto" w:fill="auto"/>
                  <w:noWrap/>
                  <w:vAlign w:val="center"/>
                </w:tcPr>
                <w:p w14:paraId="5C0AD5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设备名称</w:t>
                  </w:r>
                </w:p>
              </w:tc>
              <w:tc>
                <w:tcPr>
                  <w:tcW w:w="474" w:type="pct"/>
                  <w:tcBorders>
                    <w:tl2br w:val="nil"/>
                    <w:tr2bl w:val="nil"/>
                  </w:tcBorders>
                  <w:shd w:val="clear" w:color="auto" w:fill="auto"/>
                  <w:noWrap/>
                  <w:vAlign w:val="center"/>
                </w:tcPr>
                <w:p w14:paraId="55029D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数量</w:t>
                  </w:r>
                </w:p>
              </w:tc>
              <w:tc>
                <w:tcPr>
                  <w:tcW w:w="942" w:type="pct"/>
                  <w:tcBorders>
                    <w:tl2br w:val="nil"/>
                    <w:tr2bl w:val="nil"/>
                  </w:tcBorders>
                  <w:shd w:val="clear" w:color="auto" w:fill="auto"/>
                  <w:noWrap/>
                  <w:vAlign w:val="center"/>
                </w:tcPr>
                <w:p w14:paraId="655E055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规格型号</w:t>
                  </w:r>
                </w:p>
              </w:tc>
              <w:tc>
                <w:tcPr>
                  <w:tcW w:w="867" w:type="pct"/>
                  <w:tcBorders>
                    <w:tl2br w:val="nil"/>
                    <w:tr2bl w:val="nil"/>
                  </w:tcBorders>
                  <w:shd w:val="clear" w:color="auto" w:fill="auto"/>
                  <w:noWrap/>
                  <w:vAlign w:val="center"/>
                </w:tcPr>
                <w:p w14:paraId="65FFB20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用途</w:t>
                  </w:r>
                </w:p>
              </w:tc>
              <w:tc>
                <w:tcPr>
                  <w:tcW w:w="776" w:type="pct"/>
                  <w:tcBorders>
                    <w:tl2br w:val="nil"/>
                    <w:tr2bl w:val="nil"/>
                  </w:tcBorders>
                  <w:shd w:val="clear" w:color="auto" w:fill="auto"/>
                  <w:noWrap/>
                  <w:vAlign w:val="center"/>
                </w:tcPr>
                <w:p w14:paraId="5F8229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所在厂房</w:t>
                  </w:r>
                </w:p>
              </w:tc>
            </w:tr>
            <w:tr w14:paraId="6CDA8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A24B0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w:t>
                  </w:r>
                </w:p>
              </w:tc>
              <w:tc>
                <w:tcPr>
                  <w:tcW w:w="906" w:type="pct"/>
                  <w:tcBorders>
                    <w:tl2br w:val="nil"/>
                    <w:tr2bl w:val="nil"/>
                  </w:tcBorders>
                  <w:shd w:val="clear" w:color="auto" w:fill="auto"/>
                  <w:noWrap/>
                  <w:vAlign w:val="center"/>
                </w:tcPr>
                <w:p w14:paraId="74D84DAE">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炼胶</w:t>
                  </w:r>
                </w:p>
              </w:tc>
              <w:tc>
                <w:tcPr>
                  <w:tcW w:w="662" w:type="pct"/>
                  <w:tcBorders>
                    <w:tl2br w:val="nil"/>
                    <w:tr2bl w:val="nil"/>
                  </w:tcBorders>
                  <w:shd w:val="clear" w:color="auto" w:fill="auto"/>
                  <w:noWrap/>
                  <w:vAlign w:val="center"/>
                </w:tcPr>
                <w:p w14:paraId="316AFB12">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炼胶机</w:t>
                  </w:r>
                </w:p>
              </w:tc>
              <w:tc>
                <w:tcPr>
                  <w:tcW w:w="474" w:type="pct"/>
                  <w:tcBorders>
                    <w:tl2br w:val="nil"/>
                    <w:tr2bl w:val="nil"/>
                  </w:tcBorders>
                  <w:shd w:val="clear" w:color="auto" w:fill="auto"/>
                  <w:noWrap/>
                  <w:vAlign w:val="center"/>
                </w:tcPr>
                <w:p w14:paraId="15DF62B8">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1</w:t>
                  </w:r>
                </w:p>
              </w:tc>
              <w:tc>
                <w:tcPr>
                  <w:tcW w:w="942" w:type="pct"/>
                  <w:tcBorders>
                    <w:tl2br w:val="nil"/>
                    <w:tr2bl w:val="nil"/>
                  </w:tcBorders>
                  <w:shd w:val="clear" w:color="auto" w:fill="auto"/>
                  <w:noWrap/>
                  <w:vAlign w:val="center"/>
                </w:tcPr>
                <w:p w14:paraId="4D8AF39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72D4B225">
                  <w:pPr>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w:t>
                  </w:r>
                </w:p>
              </w:tc>
              <w:tc>
                <w:tcPr>
                  <w:tcW w:w="776" w:type="pct"/>
                  <w:tcBorders>
                    <w:tl2br w:val="nil"/>
                    <w:tr2bl w:val="nil"/>
                  </w:tcBorders>
                  <w:shd w:val="clear" w:color="auto" w:fill="auto"/>
                  <w:noWrap/>
                  <w:vAlign w:val="center"/>
                </w:tcPr>
                <w:p w14:paraId="3E364A75">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炼胶车间</w:t>
                  </w:r>
                </w:p>
              </w:tc>
            </w:tr>
            <w:tr w14:paraId="55A91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6DD53D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906" w:type="pct"/>
                  <w:tcBorders>
                    <w:tl2br w:val="nil"/>
                    <w:tr2bl w:val="nil"/>
                  </w:tcBorders>
                  <w:shd w:val="clear" w:color="auto" w:fill="auto"/>
                  <w:noWrap/>
                  <w:vAlign w:val="center"/>
                </w:tcPr>
                <w:p w14:paraId="7D9790EB">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切料</w:t>
                  </w:r>
                </w:p>
              </w:tc>
              <w:tc>
                <w:tcPr>
                  <w:tcW w:w="662" w:type="pct"/>
                  <w:tcBorders>
                    <w:tl2br w:val="nil"/>
                    <w:tr2bl w:val="nil"/>
                  </w:tcBorders>
                  <w:shd w:val="clear" w:color="auto" w:fill="auto"/>
                  <w:vAlign w:val="center"/>
                </w:tcPr>
                <w:p w14:paraId="4226A7EB">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切料机</w:t>
                  </w:r>
                </w:p>
              </w:tc>
              <w:tc>
                <w:tcPr>
                  <w:tcW w:w="474" w:type="pct"/>
                  <w:tcBorders>
                    <w:tl2br w:val="nil"/>
                    <w:tr2bl w:val="nil"/>
                  </w:tcBorders>
                  <w:shd w:val="clear" w:color="auto" w:fill="auto"/>
                  <w:vAlign w:val="center"/>
                </w:tcPr>
                <w:p w14:paraId="2F5B6CE5">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2</w:t>
                  </w:r>
                </w:p>
              </w:tc>
              <w:tc>
                <w:tcPr>
                  <w:tcW w:w="942" w:type="pct"/>
                  <w:tcBorders>
                    <w:tl2br w:val="nil"/>
                    <w:tr2bl w:val="nil"/>
                  </w:tcBorders>
                  <w:shd w:val="clear" w:color="auto" w:fill="auto"/>
                  <w:vAlign w:val="center"/>
                </w:tcPr>
                <w:p w14:paraId="2FC11B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44C6BE6F">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切条</w:t>
                  </w:r>
                </w:p>
              </w:tc>
              <w:tc>
                <w:tcPr>
                  <w:tcW w:w="776" w:type="pct"/>
                  <w:tcBorders>
                    <w:tl2br w:val="nil"/>
                    <w:tr2bl w:val="nil"/>
                  </w:tcBorders>
                  <w:shd w:val="clear" w:color="auto" w:fill="auto"/>
                  <w:noWrap/>
                  <w:vAlign w:val="center"/>
                </w:tcPr>
                <w:p w14:paraId="7E996566">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炼胶车间</w:t>
                  </w:r>
                </w:p>
              </w:tc>
            </w:tr>
            <w:tr w14:paraId="2E016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3E75DEA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c>
                <w:tcPr>
                  <w:tcW w:w="906" w:type="pct"/>
                  <w:tcBorders>
                    <w:tl2br w:val="nil"/>
                    <w:tr2bl w:val="nil"/>
                  </w:tcBorders>
                  <w:shd w:val="clear" w:color="auto" w:fill="auto"/>
                  <w:noWrap/>
                  <w:vAlign w:val="center"/>
                </w:tcPr>
                <w:p w14:paraId="535C527A">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硫化成型</w:t>
                  </w:r>
                </w:p>
              </w:tc>
              <w:tc>
                <w:tcPr>
                  <w:tcW w:w="662" w:type="pct"/>
                  <w:tcBorders>
                    <w:tl2br w:val="nil"/>
                    <w:tr2bl w:val="nil"/>
                  </w:tcBorders>
                  <w:shd w:val="clear" w:color="auto" w:fill="auto"/>
                  <w:vAlign w:val="center"/>
                </w:tcPr>
                <w:p w14:paraId="534F6A91">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14:textFill>
                        <w14:solidFill>
                          <w14:schemeClr w14:val="tx1"/>
                        </w14:solidFill>
                      </w14:textFill>
                    </w:rPr>
                    <w:t>成型机</w:t>
                  </w:r>
                </w:p>
              </w:tc>
              <w:tc>
                <w:tcPr>
                  <w:tcW w:w="474" w:type="pct"/>
                  <w:tcBorders>
                    <w:tl2br w:val="nil"/>
                    <w:tr2bl w:val="nil"/>
                  </w:tcBorders>
                  <w:shd w:val="clear" w:color="auto" w:fill="auto"/>
                  <w:vAlign w:val="center"/>
                </w:tcPr>
                <w:p w14:paraId="6E65CC8C">
                  <w:pPr>
                    <w:widowControl/>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1</w:t>
                  </w:r>
                  <w:r>
                    <w:rPr>
                      <w:color w:val="000000" w:themeColor="text1"/>
                      <w:kern w:val="0"/>
                      <w:sz w:val="21"/>
                      <w:szCs w:val="21"/>
                      <w14:textFill>
                        <w14:solidFill>
                          <w14:schemeClr w14:val="tx1"/>
                        </w14:solidFill>
                      </w14:textFill>
                    </w:rPr>
                    <w:t>0</w:t>
                  </w:r>
                </w:p>
              </w:tc>
              <w:tc>
                <w:tcPr>
                  <w:tcW w:w="942" w:type="pct"/>
                  <w:tcBorders>
                    <w:tl2br w:val="nil"/>
                    <w:tr2bl w:val="nil"/>
                  </w:tcBorders>
                  <w:shd w:val="clear" w:color="auto" w:fill="auto"/>
                  <w:vAlign w:val="center"/>
                </w:tcPr>
                <w:p w14:paraId="323D85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0A498F87">
                  <w:pPr>
                    <w:spacing w:line="36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硫化</w:t>
                  </w:r>
                  <w:r>
                    <w:rPr>
                      <w:rFonts w:hint="eastAsia"/>
                      <w:color w:val="000000" w:themeColor="text1"/>
                      <w:kern w:val="0"/>
                      <w:sz w:val="21"/>
                      <w:szCs w:val="21"/>
                      <w14:textFill>
                        <w14:solidFill>
                          <w14:schemeClr w14:val="tx1"/>
                        </w14:solidFill>
                      </w14:textFill>
                    </w:rPr>
                    <w:t>成型</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含二次硫化</w:t>
                  </w:r>
                  <w:r>
                    <w:rPr>
                      <w:rFonts w:hint="eastAsia"/>
                      <w:color w:val="000000" w:themeColor="text1"/>
                      <w:kern w:val="0"/>
                      <w:sz w:val="21"/>
                      <w:szCs w:val="21"/>
                      <w:lang w:eastAsia="zh-CN"/>
                      <w14:textFill>
                        <w14:solidFill>
                          <w14:schemeClr w14:val="tx1"/>
                        </w14:solidFill>
                      </w14:textFill>
                    </w:rPr>
                    <w:t>）</w:t>
                  </w:r>
                </w:p>
              </w:tc>
              <w:tc>
                <w:tcPr>
                  <w:tcW w:w="776" w:type="pct"/>
                  <w:tcBorders>
                    <w:tl2br w:val="nil"/>
                    <w:tr2bl w:val="nil"/>
                  </w:tcBorders>
                  <w:shd w:val="clear" w:color="auto" w:fill="auto"/>
                  <w:noWrap/>
                  <w:vAlign w:val="center"/>
                </w:tcPr>
                <w:p w14:paraId="490734D5">
                  <w:pPr>
                    <w:spacing w:line="36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成型车间</w:t>
                  </w:r>
                </w:p>
              </w:tc>
            </w:tr>
            <w:tr w14:paraId="78FBA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10B8301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906" w:type="pct"/>
                  <w:tcBorders>
                    <w:tl2br w:val="nil"/>
                    <w:tr2bl w:val="nil"/>
                  </w:tcBorders>
                  <w:shd w:val="clear" w:color="auto" w:fill="auto"/>
                  <w:noWrap/>
                  <w:vAlign w:val="center"/>
                </w:tcPr>
                <w:p w14:paraId="1C1A37C4">
                  <w:pPr>
                    <w:spacing w:line="360" w:lineRule="auto"/>
                    <w:jc w:val="center"/>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移印</w:t>
                  </w:r>
                </w:p>
              </w:tc>
              <w:tc>
                <w:tcPr>
                  <w:tcW w:w="662" w:type="pct"/>
                  <w:tcBorders>
                    <w:tl2br w:val="nil"/>
                    <w:tr2bl w:val="nil"/>
                  </w:tcBorders>
                  <w:shd w:val="clear" w:color="auto" w:fill="auto"/>
                  <w:vAlign w:val="center"/>
                </w:tcPr>
                <w:p w14:paraId="2C187F0F">
                  <w:pPr>
                    <w:widowControl/>
                    <w:spacing w:line="36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机</w:t>
                  </w:r>
                </w:p>
              </w:tc>
              <w:tc>
                <w:tcPr>
                  <w:tcW w:w="474" w:type="pct"/>
                  <w:tcBorders>
                    <w:tl2br w:val="nil"/>
                    <w:tr2bl w:val="nil"/>
                  </w:tcBorders>
                  <w:shd w:val="clear" w:color="auto" w:fill="auto"/>
                  <w:vAlign w:val="center"/>
                </w:tcPr>
                <w:p w14:paraId="4791ACEC">
                  <w:pPr>
                    <w:widowControl/>
                    <w:spacing w:line="360" w:lineRule="auto"/>
                    <w:jc w:val="center"/>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4</w:t>
                  </w:r>
                </w:p>
              </w:tc>
              <w:tc>
                <w:tcPr>
                  <w:tcW w:w="942" w:type="pct"/>
                  <w:tcBorders>
                    <w:tl2br w:val="nil"/>
                    <w:tr2bl w:val="nil"/>
                  </w:tcBorders>
                  <w:shd w:val="clear" w:color="auto" w:fill="auto"/>
                  <w:vAlign w:val="center"/>
                </w:tcPr>
                <w:p w14:paraId="13F770F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电力和气动</w:t>
                  </w:r>
                </w:p>
              </w:tc>
              <w:tc>
                <w:tcPr>
                  <w:tcW w:w="867" w:type="pct"/>
                  <w:tcBorders>
                    <w:tl2br w:val="nil"/>
                    <w:tr2bl w:val="nil"/>
                  </w:tcBorders>
                  <w:shd w:val="clear" w:color="auto" w:fill="auto"/>
                  <w:noWrap/>
                  <w:vAlign w:val="center"/>
                </w:tcPr>
                <w:p w14:paraId="5D384372">
                  <w:pPr>
                    <w:spacing w:line="36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字体</w:t>
                  </w:r>
                </w:p>
              </w:tc>
              <w:tc>
                <w:tcPr>
                  <w:tcW w:w="776" w:type="pct"/>
                  <w:tcBorders>
                    <w:tl2br w:val="nil"/>
                    <w:tr2bl w:val="nil"/>
                  </w:tcBorders>
                  <w:shd w:val="clear" w:color="auto" w:fill="auto"/>
                  <w:noWrap/>
                  <w:vAlign w:val="center"/>
                </w:tcPr>
                <w:p w14:paraId="7B6B5765">
                  <w:pPr>
                    <w:spacing w:line="36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lang w:eastAsia="zh-CN"/>
                      <w14:textFill>
                        <w14:solidFill>
                          <w14:schemeClr w14:val="tx1"/>
                        </w14:solidFill>
                      </w14:textFill>
                    </w:rPr>
                    <w:t>移印</w:t>
                  </w:r>
                  <w:r>
                    <w:rPr>
                      <w:rFonts w:hint="eastAsia"/>
                      <w:color w:val="000000" w:themeColor="text1"/>
                      <w:kern w:val="0"/>
                      <w:sz w:val="21"/>
                      <w:szCs w:val="21"/>
                      <w14:textFill>
                        <w14:solidFill>
                          <w14:schemeClr w14:val="tx1"/>
                        </w14:solidFill>
                      </w14:textFill>
                    </w:rPr>
                    <w:t>车间</w:t>
                  </w:r>
                </w:p>
              </w:tc>
            </w:tr>
            <w:tr w14:paraId="6A3A6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6B837C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906" w:type="pct"/>
                  <w:tcBorders>
                    <w:tl2br w:val="nil"/>
                    <w:tr2bl w:val="nil"/>
                  </w:tcBorders>
                  <w:shd w:val="clear" w:color="auto" w:fill="auto"/>
                  <w:noWrap/>
                  <w:vAlign w:val="center"/>
                </w:tcPr>
                <w:p w14:paraId="239AD4AD">
                  <w:pPr>
                    <w:spacing w:line="360" w:lineRule="auto"/>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c>
                <w:tcPr>
                  <w:tcW w:w="662" w:type="pct"/>
                  <w:tcBorders>
                    <w:tl2br w:val="nil"/>
                    <w:tr2bl w:val="nil"/>
                  </w:tcBorders>
                  <w:shd w:val="clear" w:color="auto" w:fill="auto"/>
                  <w:vAlign w:val="center"/>
                </w:tcPr>
                <w:p w14:paraId="52B79A29">
                  <w:pPr>
                    <w:widowControl/>
                    <w:spacing w:line="360" w:lineRule="auto"/>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空压机</w:t>
                  </w:r>
                </w:p>
              </w:tc>
              <w:tc>
                <w:tcPr>
                  <w:tcW w:w="474" w:type="pct"/>
                  <w:tcBorders>
                    <w:tl2br w:val="nil"/>
                    <w:tr2bl w:val="nil"/>
                  </w:tcBorders>
                  <w:shd w:val="clear" w:color="auto" w:fill="auto"/>
                  <w:vAlign w:val="center"/>
                </w:tcPr>
                <w:p w14:paraId="03018F7C">
                  <w:pPr>
                    <w:widowControl/>
                    <w:spacing w:line="360" w:lineRule="auto"/>
                    <w:jc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w:t>
                  </w:r>
                </w:p>
              </w:tc>
              <w:tc>
                <w:tcPr>
                  <w:tcW w:w="942" w:type="pct"/>
                  <w:tcBorders>
                    <w:tl2br w:val="nil"/>
                    <w:tr2bl w:val="nil"/>
                  </w:tcBorders>
                  <w:shd w:val="clear" w:color="auto" w:fill="auto"/>
                  <w:vAlign w:val="center"/>
                </w:tcPr>
                <w:p w14:paraId="173EE7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5C0B7C64">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c>
                <w:tcPr>
                  <w:tcW w:w="776" w:type="pct"/>
                  <w:tcBorders>
                    <w:tl2br w:val="nil"/>
                    <w:tr2bl w:val="nil"/>
                  </w:tcBorders>
                  <w:shd w:val="clear" w:color="auto" w:fill="auto"/>
                  <w:noWrap/>
                  <w:vAlign w:val="center"/>
                </w:tcPr>
                <w:p w14:paraId="4178B058">
                  <w:pPr>
                    <w:spacing w:line="360" w:lineRule="auto"/>
                    <w:jc w:val="center"/>
                    <w:rPr>
                      <w:rFonts w:hint="eastAsia" w:eastAsia="宋体"/>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w:t>
                  </w:r>
                </w:p>
              </w:tc>
            </w:tr>
            <w:tr w14:paraId="14CE3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370" w:type="pct"/>
                  <w:tcBorders>
                    <w:tl2br w:val="nil"/>
                    <w:tr2bl w:val="nil"/>
                  </w:tcBorders>
                  <w:shd w:val="clear" w:color="auto" w:fill="auto"/>
                  <w:noWrap/>
                  <w:vAlign w:val="center"/>
                </w:tcPr>
                <w:p w14:paraId="485FB2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c>
                <w:tcPr>
                  <w:tcW w:w="906" w:type="pct"/>
                  <w:tcBorders>
                    <w:tl2br w:val="nil"/>
                    <w:tr2bl w:val="nil"/>
                  </w:tcBorders>
                  <w:shd w:val="clear" w:color="auto" w:fill="auto"/>
                  <w:noWrap/>
                  <w:vAlign w:val="center"/>
                </w:tcPr>
                <w:p w14:paraId="4B3E503A">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移印烘烤</w:t>
                  </w:r>
                </w:p>
              </w:tc>
              <w:tc>
                <w:tcPr>
                  <w:tcW w:w="662" w:type="pct"/>
                  <w:tcBorders>
                    <w:tl2br w:val="nil"/>
                    <w:tr2bl w:val="nil"/>
                  </w:tcBorders>
                  <w:shd w:val="clear" w:color="auto" w:fill="auto"/>
                  <w:vAlign w:val="center"/>
                </w:tcPr>
                <w:p w14:paraId="278CF155">
                  <w:pPr>
                    <w:widowControl/>
                    <w:spacing w:line="360" w:lineRule="auto"/>
                    <w:jc w:val="center"/>
                    <w:rPr>
                      <w:rFonts w:hint="eastAsia"/>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烤炉</w:t>
                  </w:r>
                </w:p>
              </w:tc>
              <w:tc>
                <w:tcPr>
                  <w:tcW w:w="474" w:type="pct"/>
                  <w:tcBorders>
                    <w:tl2br w:val="nil"/>
                    <w:tr2bl w:val="nil"/>
                  </w:tcBorders>
                  <w:shd w:val="clear" w:color="auto" w:fill="auto"/>
                  <w:vAlign w:val="center"/>
                </w:tcPr>
                <w:p w14:paraId="27F58B05">
                  <w:pPr>
                    <w:widowControl/>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w:t>
                  </w:r>
                </w:p>
              </w:tc>
              <w:tc>
                <w:tcPr>
                  <w:tcW w:w="942" w:type="pct"/>
                  <w:tcBorders>
                    <w:tl2br w:val="nil"/>
                    <w:tr2bl w:val="nil"/>
                  </w:tcBorders>
                  <w:shd w:val="clear" w:color="auto" w:fill="auto"/>
                  <w:vAlign w:val="center"/>
                </w:tcPr>
                <w:p w14:paraId="1DF0ED5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电力能源</w:t>
                  </w:r>
                </w:p>
              </w:tc>
              <w:tc>
                <w:tcPr>
                  <w:tcW w:w="867" w:type="pct"/>
                  <w:tcBorders>
                    <w:tl2br w:val="nil"/>
                    <w:tr2bl w:val="nil"/>
                  </w:tcBorders>
                  <w:shd w:val="clear" w:color="auto" w:fill="auto"/>
                  <w:noWrap/>
                  <w:vAlign w:val="center"/>
                </w:tcPr>
                <w:p w14:paraId="4001EB97">
                  <w:pPr>
                    <w:spacing w:line="360" w:lineRule="auto"/>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烘烤</w:t>
                  </w:r>
                </w:p>
              </w:tc>
              <w:tc>
                <w:tcPr>
                  <w:tcW w:w="776" w:type="pct"/>
                  <w:tcBorders>
                    <w:tl2br w:val="nil"/>
                    <w:tr2bl w:val="nil"/>
                  </w:tcBorders>
                  <w:shd w:val="clear" w:color="auto" w:fill="auto"/>
                  <w:noWrap/>
                  <w:vAlign w:val="center"/>
                </w:tcPr>
                <w:p w14:paraId="35EDDBE9">
                  <w:pPr>
                    <w:spacing w:line="360" w:lineRule="auto"/>
                    <w:jc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移印车间</w:t>
                  </w:r>
                </w:p>
              </w:tc>
            </w:tr>
          </w:tbl>
          <w:p w14:paraId="0D2C86E3">
            <w:pPr>
              <w:numPr>
                <w:ilvl w:val="0"/>
                <w:numId w:val="8"/>
              </w:numPr>
              <w:ind w:left="0" w:leftChars="0" w:firstLine="4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主要生产设备产能分析</w:t>
            </w:r>
            <w:r>
              <w:rPr>
                <w:rFonts w:hint="default" w:ascii="Times New Roman" w:hAnsi="Times New Roman" w:cs="Times New Roman"/>
                <w:b/>
                <w:bCs/>
                <w:color w:val="000000" w:themeColor="text1"/>
                <w:sz w:val="22"/>
                <w:szCs w:val="22"/>
                <w:highlight w:val="none"/>
                <w14:textFill>
                  <w14:solidFill>
                    <w14:schemeClr w14:val="tx1"/>
                  </w14:solidFill>
                </w14:textFill>
              </w:rPr>
              <w:t>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726"/>
              <w:gridCol w:w="1325"/>
              <w:gridCol w:w="1057"/>
              <w:gridCol w:w="1019"/>
              <w:gridCol w:w="1034"/>
              <w:gridCol w:w="1026"/>
              <w:gridCol w:w="936"/>
              <w:gridCol w:w="727"/>
            </w:tblGrid>
            <w:tr w14:paraId="16D1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726" w:type="dxa"/>
                  <w:shd w:val="clear" w:color="auto" w:fill="auto"/>
                  <w:tcMar>
                    <w:top w:w="120" w:type="dxa"/>
                    <w:left w:w="120" w:type="dxa"/>
                    <w:bottom w:w="120" w:type="dxa"/>
                    <w:right w:w="120" w:type="dxa"/>
                  </w:tcMar>
                  <w:vAlign w:val="center"/>
                </w:tcPr>
                <w:p w14:paraId="12F6A8A9">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设备名称</w:t>
                  </w:r>
                </w:p>
              </w:tc>
              <w:tc>
                <w:tcPr>
                  <w:tcW w:w="1325" w:type="dxa"/>
                  <w:shd w:val="clear" w:color="auto" w:fill="auto"/>
                  <w:tcMar>
                    <w:top w:w="120" w:type="dxa"/>
                    <w:left w:w="120" w:type="dxa"/>
                    <w:bottom w:w="120" w:type="dxa"/>
                    <w:right w:w="120" w:type="dxa"/>
                  </w:tcMar>
                  <w:vAlign w:val="center"/>
                </w:tcPr>
                <w:p w14:paraId="06FECA05">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设施参数（个/h）</w:t>
                  </w:r>
                </w:p>
              </w:tc>
              <w:tc>
                <w:tcPr>
                  <w:tcW w:w="1057" w:type="dxa"/>
                  <w:shd w:val="clear" w:color="auto" w:fill="auto"/>
                  <w:tcMar>
                    <w:top w:w="120" w:type="dxa"/>
                    <w:left w:w="120" w:type="dxa"/>
                    <w:bottom w:w="120" w:type="dxa"/>
                    <w:right w:w="120" w:type="dxa"/>
                  </w:tcMar>
                  <w:vAlign w:val="center"/>
                </w:tcPr>
                <w:p w14:paraId="57109806">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数量（台）</w:t>
                  </w:r>
                </w:p>
              </w:tc>
              <w:tc>
                <w:tcPr>
                  <w:tcW w:w="1019" w:type="dxa"/>
                  <w:shd w:val="clear" w:color="auto" w:fill="auto"/>
                  <w:tcMar>
                    <w:top w:w="120" w:type="dxa"/>
                    <w:left w:w="120" w:type="dxa"/>
                    <w:bottom w:w="120" w:type="dxa"/>
                    <w:right w:w="120" w:type="dxa"/>
                  </w:tcMar>
                  <w:vAlign w:val="center"/>
                </w:tcPr>
                <w:p w14:paraId="44A709D3">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单台产能（个/d）</w:t>
                  </w:r>
                </w:p>
              </w:tc>
              <w:tc>
                <w:tcPr>
                  <w:tcW w:w="1034" w:type="dxa"/>
                  <w:shd w:val="clear" w:color="auto" w:fill="auto"/>
                  <w:tcMar>
                    <w:top w:w="120" w:type="dxa"/>
                    <w:left w:w="120" w:type="dxa"/>
                    <w:bottom w:w="120" w:type="dxa"/>
                    <w:right w:w="120" w:type="dxa"/>
                  </w:tcMar>
                  <w:vAlign w:val="center"/>
                </w:tcPr>
                <w:p w14:paraId="24560A93">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年工作时间</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 xml:space="preserve"> (d)</w:t>
                  </w:r>
                </w:p>
              </w:tc>
              <w:tc>
                <w:tcPr>
                  <w:tcW w:w="1026" w:type="dxa"/>
                  <w:shd w:val="clear" w:color="auto" w:fill="auto"/>
                  <w:tcMar>
                    <w:top w:w="120" w:type="dxa"/>
                    <w:left w:w="120" w:type="dxa"/>
                    <w:bottom w:w="120" w:type="dxa"/>
                    <w:right w:w="120" w:type="dxa"/>
                  </w:tcMar>
                  <w:vAlign w:val="center"/>
                </w:tcPr>
                <w:p w14:paraId="7699E16A">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最大年产量（万个）</w:t>
                  </w:r>
                </w:p>
              </w:tc>
              <w:tc>
                <w:tcPr>
                  <w:tcW w:w="936" w:type="dxa"/>
                  <w:shd w:val="clear" w:color="auto" w:fill="auto"/>
                  <w:tcMar>
                    <w:top w:w="120" w:type="dxa"/>
                    <w:left w:w="120" w:type="dxa"/>
                    <w:bottom w:w="120" w:type="dxa"/>
                    <w:right w:w="120" w:type="dxa"/>
                  </w:tcMar>
                  <w:vAlign w:val="center"/>
                </w:tcPr>
                <w:p w14:paraId="5CCA407D">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实际年产量（万个）</w:t>
                  </w:r>
                </w:p>
              </w:tc>
              <w:tc>
                <w:tcPr>
                  <w:tcW w:w="727" w:type="dxa"/>
                  <w:shd w:val="clear" w:color="auto" w:fill="auto"/>
                  <w:tcMar>
                    <w:top w:w="120" w:type="dxa"/>
                    <w:left w:w="120" w:type="dxa"/>
                    <w:bottom w:w="120" w:type="dxa"/>
                    <w:right w:w="120" w:type="dxa"/>
                  </w:tcMar>
                  <w:vAlign w:val="center"/>
                </w:tcPr>
                <w:p w14:paraId="4A661DD0">
                  <w:pPr>
                    <w:keepNext w:val="0"/>
                    <w:keepLines w:val="0"/>
                    <w:widowControl/>
                    <w:suppressLineNumbers w:val="0"/>
                    <w:spacing w:line="240" w:lineRule="auto"/>
                    <w:jc w:val="left"/>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匹配情况</w:t>
                  </w:r>
                </w:p>
              </w:tc>
            </w:tr>
            <w:tr w14:paraId="5A5A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26" w:type="dxa"/>
                  <w:shd w:val="clear" w:color="auto" w:fill="auto"/>
                  <w:tcMar>
                    <w:top w:w="120" w:type="dxa"/>
                    <w:left w:w="120" w:type="dxa"/>
                    <w:bottom w:w="120" w:type="dxa"/>
                    <w:right w:w="120" w:type="dxa"/>
                  </w:tcMar>
                  <w:vAlign w:val="center"/>
                </w:tcPr>
                <w:p w14:paraId="21E8D3AB">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移印机</w:t>
                  </w:r>
                </w:p>
              </w:tc>
              <w:tc>
                <w:tcPr>
                  <w:tcW w:w="1325" w:type="dxa"/>
                  <w:shd w:val="clear" w:color="auto" w:fill="auto"/>
                  <w:tcMar>
                    <w:top w:w="120" w:type="dxa"/>
                    <w:left w:w="120" w:type="dxa"/>
                    <w:bottom w:w="120" w:type="dxa"/>
                    <w:right w:w="120" w:type="dxa"/>
                  </w:tcMar>
                  <w:vAlign w:val="center"/>
                </w:tcPr>
                <w:p w14:paraId="01241052">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500</w:t>
                  </w:r>
                </w:p>
              </w:tc>
              <w:tc>
                <w:tcPr>
                  <w:tcW w:w="1057" w:type="dxa"/>
                  <w:shd w:val="clear" w:color="auto" w:fill="auto"/>
                  <w:tcMar>
                    <w:top w:w="120" w:type="dxa"/>
                    <w:left w:w="120" w:type="dxa"/>
                    <w:bottom w:w="120" w:type="dxa"/>
                    <w:right w:w="120" w:type="dxa"/>
                  </w:tcMar>
                  <w:vAlign w:val="center"/>
                </w:tcPr>
                <w:p w14:paraId="194EE745">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019" w:type="dxa"/>
                  <w:shd w:val="clear" w:color="auto" w:fill="auto"/>
                  <w:tcMar>
                    <w:top w:w="120" w:type="dxa"/>
                    <w:left w:w="120" w:type="dxa"/>
                    <w:bottom w:w="120" w:type="dxa"/>
                    <w:right w:w="120" w:type="dxa"/>
                  </w:tcMar>
                  <w:vAlign w:val="center"/>
                </w:tcPr>
                <w:p w14:paraId="075188AD">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12000</w:t>
                  </w:r>
                </w:p>
              </w:tc>
              <w:tc>
                <w:tcPr>
                  <w:tcW w:w="1034" w:type="dxa"/>
                  <w:shd w:val="clear" w:color="auto" w:fill="auto"/>
                  <w:tcMar>
                    <w:top w:w="120" w:type="dxa"/>
                    <w:left w:w="120" w:type="dxa"/>
                    <w:bottom w:w="120" w:type="dxa"/>
                    <w:right w:w="120" w:type="dxa"/>
                  </w:tcMar>
                  <w:vAlign w:val="center"/>
                </w:tcPr>
                <w:p w14:paraId="13149EC0">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w:t>
                  </w:r>
                </w:p>
              </w:tc>
              <w:tc>
                <w:tcPr>
                  <w:tcW w:w="1026" w:type="dxa"/>
                  <w:shd w:val="clear" w:color="auto" w:fill="auto"/>
                  <w:tcMar>
                    <w:top w:w="120" w:type="dxa"/>
                    <w:left w:w="120" w:type="dxa"/>
                    <w:bottom w:w="120" w:type="dxa"/>
                    <w:right w:w="120" w:type="dxa"/>
                  </w:tcMar>
                  <w:vAlign w:val="center"/>
                </w:tcPr>
                <w:p w14:paraId="2B160988">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1267.2</w:t>
                  </w:r>
                </w:p>
              </w:tc>
              <w:tc>
                <w:tcPr>
                  <w:tcW w:w="936" w:type="dxa"/>
                  <w:shd w:val="clear" w:color="auto" w:fill="auto"/>
                  <w:tcMar>
                    <w:top w:w="120" w:type="dxa"/>
                    <w:left w:w="120" w:type="dxa"/>
                    <w:bottom w:w="120" w:type="dxa"/>
                    <w:right w:w="120" w:type="dxa"/>
                  </w:tcMar>
                  <w:vAlign w:val="center"/>
                </w:tcPr>
                <w:p w14:paraId="7DC6DC66">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727" w:type="dxa"/>
                  <w:shd w:val="clear" w:color="auto" w:fill="auto"/>
                  <w:tcMar>
                    <w:top w:w="120" w:type="dxa"/>
                    <w:left w:w="120" w:type="dxa"/>
                    <w:bottom w:w="120" w:type="dxa"/>
                    <w:right w:w="120" w:type="dxa"/>
                  </w:tcMar>
                  <w:vAlign w:val="center"/>
                </w:tcPr>
                <w:p w14:paraId="31C202CC">
                  <w:pPr>
                    <w:keepNext w:val="0"/>
                    <w:keepLines w:val="0"/>
                    <w:widowControl/>
                    <w:suppressLineNumbers w:val="0"/>
                    <w:spacing w:line="240" w:lineRule="auto"/>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匹配</w:t>
                  </w:r>
                </w:p>
              </w:tc>
            </w:tr>
          </w:tbl>
          <w:p w14:paraId="2031CF0B">
            <w:pPr>
              <w:pStyle w:val="20"/>
              <w:numPr>
                <w:ilvl w:val="3"/>
                <w:numId w:val="0"/>
              </w:num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5、</w:t>
            </w:r>
            <w:r>
              <w:rPr>
                <w:rFonts w:hint="default" w:ascii="Times New Roman" w:hAnsi="Times New Roman" w:eastAsia="宋体" w:cs="Times New Roman"/>
                <w:color w:val="000000" w:themeColor="text1"/>
                <w:highlight w:val="none"/>
                <w14:textFill>
                  <w14:solidFill>
                    <w14:schemeClr w14:val="tx1"/>
                  </w14:solidFill>
                </w14:textFill>
              </w:rPr>
              <w:t>劳动定员和工作制度</w:t>
            </w:r>
          </w:p>
          <w:p w14:paraId="35C1A702">
            <w:pPr>
              <w:ind w:firstLine="48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本项目劳动定员40人，住宿人员20人，不设食堂，年工作时间264天，3班制，每班8小时。</w:t>
            </w:r>
          </w:p>
          <w:p w14:paraId="39E81B39">
            <w:pPr>
              <w:numPr>
                <w:ilvl w:val="0"/>
                <w:numId w:val="8"/>
              </w:numPr>
              <w:ind w:left="0" w:leftChars="0" w:firstLine="4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劳动</w:t>
            </w:r>
            <w:r>
              <w:rPr>
                <w:rFonts w:hint="default" w:ascii="Times New Roman" w:hAnsi="Times New Roman" w:cs="Times New Roman"/>
                <w:b/>
                <w:bCs/>
                <w:color w:val="000000" w:themeColor="text1"/>
                <w:sz w:val="22"/>
                <w:szCs w:val="22"/>
                <w:highlight w:val="none"/>
                <w14:textFill>
                  <w14:solidFill>
                    <w14:schemeClr w14:val="tx1"/>
                  </w14:solidFill>
                </w14:textFill>
              </w:rPr>
              <w:t>定员与工作制度一览表</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4"/>
              <w:gridCol w:w="2614"/>
              <w:gridCol w:w="1394"/>
              <w:gridCol w:w="2545"/>
            </w:tblGrid>
            <w:tr w14:paraId="4463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2D395B26">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项目</w:t>
                  </w:r>
                </w:p>
              </w:tc>
              <w:tc>
                <w:tcPr>
                  <w:tcW w:w="1665" w:type="pct"/>
                  <w:vAlign w:val="center"/>
                </w:tcPr>
                <w:p w14:paraId="7A33DC65">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内容</w:t>
                  </w:r>
                </w:p>
              </w:tc>
              <w:tc>
                <w:tcPr>
                  <w:tcW w:w="888" w:type="pct"/>
                  <w:vAlign w:val="center"/>
                </w:tcPr>
                <w:p w14:paraId="0E9374A0">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项目</w:t>
                  </w:r>
                </w:p>
              </w:tc>
              <w:tc>
                <w:tcPr>
                  <w:tcW w:w="1621" w:type="pct"/>
                  <w:vAlign w:val="center"/>
                </w:tcPr>
                <w:p w14:paraId="0125C2A3">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内容</w:t>
                  </w:r>
                </w:p>
              </w:tc>
            </w:tr>
            <w:tr w14:paraId="33036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3683051F">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劳动定员</w:t>
                  </w:r>
                </w:p>
              </w:tc>
              <w:tc>
                <w:tcPr>
                  <w:tcW w:w="1665" w:type="pct"/>
                  <w:vAlign w:val="center"/>
                </w:tcPr>
                <w:p w14:paraId="58B63221">
                  <w:pPr>
                    <w:pStyle w:val="58"/>
                    <w:spacing w:line="360" w:lineRule="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w:t>
                  </w:r>
                  <w:r>
                    <w:rPr>
                      <w:rFonts w:hint="default" w:ascii="Times New Roman" w:hAnsi="Times New Roman" w:cs="Times New Roman"/>
                      <w:color w:val="000000" w:themeColor="text1"/>
                      <w:sz w:val="21"/>
                      <w:szCs w:val="21"/>
                      <w:highlight w:val="none"/>
                      <w:lang w:eastAsia="zh-CN"/>
                      <w14:textFill>
                        <w14:solidFill>
                          <w14:schemeClr w14:val="tx1"/>
                        </w14:solidFill>
                      </w14:textFill>
                    </w:rPr>
                    <w:t>人</w:t>
                  </w:r>
                </w:p>
              </w:tc>
              <w:tc>
                <w:tcPr>
                  <w:tcW w:w="888" w:type="pct"/>
                  <w:vAlign w:val="center"/>
                </w:tcPr>
                <w:p w14:paraId="529FAA50">
                  <w:pPr>
                    <w:pStyle w:val="58"/>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食宿</w:t>
                  </w:r>
                  <w:r>
                    <w:rPr>
                      <w:rFonts w:hint="default" w:ascii="Times New Roman" w:hAnsi="Times New Roman" w:cs="Times New Roman"/>
                      <w:b/>
                      <w:bCs/>
                      <w:color w:val="000000" w:themeColor="text1"/>
                      <w:highlight w:val="none"/>
                      <w:lang w:val="en-US" w:eastAsia="zh-CN"/>
                      <w14:textFill>
                        <w14:solidFill>
                          <w14:schemeClr w14:val="tx1"/>
                        </w14:solidFill>
                      </w14:textFill>
                    </w:rPr>
                    <w:t>情况</w:t>
                  </w:r>
                </w:p>
              </w:tc>
              <w:tc>
                <w:tcPr>
                  <w:tcW w:w="1621" w:type="pct"/>
                  <w:vAlign w:val="center"/>
                </w:tcPr>
                <w:p w14:paraId="10E3B8D8">
                  <w:pPr>
                    <w:pStyle w:val="58"/>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w:t>
                  </w:r>
                  <w:r>
                    <w:rPr>
                      <w:rFonts w:hint="default" w:ascii="Times New Roman" w:hAnsi="Times New Roman" w:cs="Times New Roman"/>
                      <w:color w:val="000000" w:themeColor="text1"/>
                      <w:highlight w:val="none"/>
                      <w14:textFill>
                        <w14:solidFill>
                          <w14:schemeClr w14:val="tx1"/>
                        </w14:solidFill>
                      </w14:textFill>
                    </w:rPr>
                    <w:t>食堂、</w:t>
                  </w:r>
                  <w:r>
                    <w:rPr>
                      <w:rFonts w:hint="eastAsia" w:cs="Times New Roman"/>
                      <w:color w:val="000000" w:themeColor="text1"/>
                      <w:highlight w:val="none"/>
                      <w:lang w:val="en-US" w:eastAsia="zh-CN"/>
                      <w14:textFill>
                        <w14:solidFill>
                          <w14:schemeClr w14:val="tx1"/>
                        </w14:solidFill>
                      </w14:textFill>
                    </w:rPr>
                    <w:t>有</w:t>
                  </w:r>
                  <w:r>
                    <w:rPr>
                      <w:rFonts w:hint="default" w:ascii="Times New Roman" w:hAnsi="Times New Roman" w:cs="Times New Roman"/>
                      <w:color w:val="000000" w:themeColor="text1"/>
                      <w:highlight w:val="none"/>
                      <w:lang w:eastAsia="zh-CN"/>
                      <w14:textFill>
                        <w14:solidFill>
                          <w14:schemeClr w14:val="tx1"/>
                        </w14:solidFill>
                      </w14:textFill>
                    </w:rPr>
                    <w:t>住宿</w:t>
                  </w:r>
                </w:p>
              </w:tc>
            </w:tr>
            <w:tr w14:paraId="35605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3642A16C">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工作时间</w:t>
                  </w:r>
                </w:p>
              </w:tc>
              <w:tc>
                <w:tcPr>
                  <w:tcW w:w="1665" w:type="pct"/>
                  <w:vAlign w:val="center"/>
                </w:tcPr>
                <w:p w14:paraId="5F3C1A87">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年生产</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cs="Times New Roman"/>
                      <w:color w:val="000000" w:themeColor="text1"/>
                      <w:highlight w:val="none"/>
                      <w:lang w:val="en-US" w:eastAsia="zh-CN"/>
                      <w14:textFill>
                        <w14:solidFill>
                          <w14:schemeClr w14:val="tx1"/>
                        </w14:solidFill>
                      </w14:textFill>
                    </w:rPr>
                    <w:t>天</w:t>
                  </w:r>
                </w:p>
              </w:tc>
              <w:tc>
                <w:tcPr>
                  <w:tcW w:w="888" w:type="pct"/>
                  <w:vAlign w:val="center"/>
                </w:tcPr>
                <w:p w14:paraId="2787D858">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夜间生产</w:t>
                  </w:r>
                </w:p>
              </w:tc>
              <w:tc>
                <w:tcPr>
                  <w:tcW w:w="1621" w:type="pct"/>
                  <w:vAlign w:val="center"/>
                </w:tcPr>
                <w:p w14:paraId="200C2345">
                  <w:pPr>
                    <w:pStyle w:val="58"/>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有</w:t>
                  </w:r>
                </w:p>
              </w:tc>
            </w:tr>
            <w:tr w14:paraId="42763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24" w:type="pct"/>
                  <w:vAlign w:val="center"/>
                </w:tcPr>
                <w:p w14:paraId="20E08ED8">
                  <w:pPr>
                    <w:pStyle w:val="58"/>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工作班制</w:t>
                  </w:r>
                </w:p>
              </w:tc>
              <w:tc>
                <w:tcPr>
                  <w:tcW w:w="1665" w:type="pct"/>
                  <w:vAlign w:val="center"/>
                </w:tcPr>
                <w:p w14:paraId="6A1AB378">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每天</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小时，实行</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班制</w:t>
                  </w:r>
                </w:p>
              </w:tc>
              <w:tc>
                <w:tcPr>
                  <w:tcW w:w="888" w:type="pct"/>
                  <w:vAlign w:val="center"/>
                </w:tcPr>
                <w:p w14:paraId="504C03E4">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1621" w:type="pct"/>
                  <w:vAlign w:val="center"/>
                </w:tcPr>
                <w:p w14:paraId="5BC2A57D">
                  <w:pPr>
                    <w:pStyle w:val="58"/>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r>
          </w:tbl>
          <w:p w14:paraId="51DF4FDD">
            <w:pPr>
              <w:pStyle w:val="20"/>
              <w:numPr>
                <w:ilvl w:val="3"/>
                <w:numId w:val="0"/>
              </w:numPr>
              <w:ind w:left="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6、能源和资源消耗</w:t>
            </w:r>
          </w:p>
          <w:p w14:paraId="47A839DE">
            <w:pPr>
              <w:pStyle w:val="21"/>
              <w:numPr>
                <w:ilvl w:val="4"/>
                <w:numId w:val="0"/>
              </w:numPr>
              <w:ind w:left="-960" w:firstLine="1440"/>
              <w:rPr>
                <w:rFonts w:hint="default" w:ascii="Times New Roman" w:hAnsi="Times New Roman" w:cs="Times New Roman"/>
                <w:color w:val="000000" w:themeColor="text1"/>
                <w:szCs w:val="32"/>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（1）供电</w:t>
            </w:r>
          </w:p>
          <w:p w14:paraId="626CF375">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本项目用电由市政供电网提供，年用电量约</w:t>
            </w:r>
            <w:r>
              <w:rPr>
                <w:rFonts w:hint="eastAsia" w:cs="Times New Roman"/>
                <w:color w:val="000000" w:themeColor="text1"/>
                <w:highlight w:val="none"/>
                <w:lang w:val="en-US" w:eastAsia="zh-CN"/>
                <w14:textFill>
                  <w14:solidFill>
                    <w14:schemeClr w14:val="tx1"/>
                  </w14:solidFill>
                </w14:textFill>
              </w:rPr>
              <w:t>100</w:t>
            </w:r>
            <w:r>
              <w:rPr>
                <w:rFonts w:hint="default" w:ascii="Times New Roman" w:hAnsi="Times New Roman" w:cs="Times New Roman"/>
                <w:color w:val="000000" w:themeColor="text1"/>
                <w:highlight w:val="none"/>
                <w14:textFill>
                  <w14:solidFill>
                    <w14:schemeClr w14:val="tx1"/>
                  </w14:solidFill>
                </w14:textFill>
              </w:rPr>
              <w:t>万千瓦·时，不设备用发电机或锅炉。</w:t>
            </w:r>
          </w:p>
          <w:p w14:paraId="34F6F48E">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（2）给水</w:t>
            </w:r>
          </w:p>
          <w:p w14:paraId="4148BB09">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本项目用水主要为生活用水</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冷却</w:t>
            </w:r>
            <w:r>
              <w:rPr>
                <w:rFonts w:hint="default" w:ascii="Times New Roman" w:hAnsi="Times New Roman" w:cs="Times New Roman"/>
                <w:color w:val="000000" w:themeColor="text1"/>
                <w:highlight w:val="none"/>
                <w:lang w:eastAsia="zh-CN"/>
                <w14:textFill>
                  <w14:solidFill>
                    <w14:schemeClr w14:val="tx1"/>
                  </w14:solidFill>
                </w14:textFill>
              </w:rPr>
              <w:t>用水</w:t>
            </w:r>
            <w:r>
              <w:rPr>
                <w:rFonts w:hint="eastAsia" w:cs="Times New Roman"/>
                <w:color w:val="000000" w:themeColor="text1"/>
                <w:highlight w:val="none"/>
                <w:lang w:val="en-US" w:eastAsia="zh-CN"/>
                <w14:textFill>
                  <w14:solidFill>
                    <w14:schemeClr w14:val="tx1"/>
                  </w14:solidFill>
                </w14:textFill>
              </w:rPr>
              <w:t>和钢板、胶头清洗用水</w:t>
            </w:r>
            <w:r>
              <w:rPr>
                <w:rFonts w:hint="default" w:ascii="Times New Roman" w:hAnsi="Times New Roman" w:cs="Times New Roman"/>
                <w:color w:val="000000" w:themeColor="text1"/>
                <w:highlight w:val="none"/>
                <w:lang w:eastAsia="zh-CN"/>
                <w14:textFill>
                  <w14:solidFill>
                    <w14:schemeClr w14:val="tx1"/>
                  </w14:solidFill>
                </w14:textFill>
              </w:rPr>
              <w:t>。</w:t>
            </w:r>
          </w:p>
          <w:p w14:paraId="3DE04756">
            <w:pPr>
              <w:pStyle w:val="26"/>
              <w:ind w:firstLine="480"/>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①生活用水：本项目</w:t>
            </w:r>
            <w:r>
              <w:rPr>
                <w:rFonts w:hint="default" w:ascii="Times New Roman" w:hAnsi="Times New Roman" w:cs="Times New Roman"/>
                <w:color w:val="000000" w:themeColor="text1"/>
                <w:highlight w:val="none"/>
                <w:lang w:val="en-US" w:eastAsia="zh-CN"/>
                <w14:textFill>
                  <w14:solidFill>
                    <w14:schemeClr w14:val="tx1"/>
                  </w14:solidFill>
                </w14:textFill>
              </w:rPr>
              <w:t>设置</w:t>
            </w:r>
            <w:r>
              <w:rPr>
                <w:rFonts w:hint="default" w:ascii="Times New Roman" w:hAnsi="Times New Roman" w:cs="Times New Roman"/>
                <w:color w:val="000000" w:themeColor="text1"/>
                <w:highlight w:val="none"/>
                <w14:textFill>
                  <w14:solidFill>
                    <w14:schemeClr w14:val="tx1"/>
                  </w14:solidFill>
                </w14:textFill>
              </w:rPr>
              <w:t>职工宿舍，劳动定员</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cs="Times New Roman"/>
                <w:color w:val="000000" w:themeColor="text1"/>
                <w:highlight w:val="none"/>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住宿人员为20人，无食堂。</w:t>
            </w:r>
            <w:r>
              <w:rPr>
                <w:rFonts w:hint="default" w:ascii="Times New Roman" w:hAnsi="Times New Roman" w:cs="Times New Roman"/>
                <w:color w:val="000000" w:themeColor="text1"/>
                <w:highlight w:val="none"/>
                <w14:textFill>
                  <w14:solidFill>
                    <w14:schemeClr w14:val="tx1"/>
                  </w14:solidFill>
                </w14:textFill>
              </w:rPr>
              <w:t>年工作时间为</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cs="Times New Roman"/>
                <w:color w:val="000000" w:themeColor="text1"/>
                <w:highlight w:val="none"/>
                <w14:textFill>
                  <w14:solidFill>
                    <w14:schemeClr w14:val="tx1"/>
                  </w14:solidFill>
                </w14:textFill>
              </w:rPr>
              <w:t>天，</w:t>
            </w:r>
            <w:r>
              <w:rPr>
                <w:rFonts w:hint="default" w:ascii="Times New Roman" w:hAnsi="Times New Roman" w:cs="Times New Roman"/>
                <w:color w:val="000000" w:themeColor="text1"/>
                <w:kern w:val="0"/>
                <w:sz w:val="24"/>
                <w:szCs w:val="24"/>
                <w:highlight w:val="none"/>
                <w14:textFill>
                  <w14:solidFill>
                    <w14:schemeClr w14:val="tx1"/>
                  </w14:solidFill>
                </w14:textFill>
              </w:rPr>
              <w:t>不住宿</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住宿</w:t>
            </w:r>
            <w:r>
              <w:rPr>
                <w:rFonts w:hint="default" w:ascii="Times New Roman" w:hAnsi="Times New Roman" w:cs="Times New Roman"/>
                <w:color w:val="000000" w:themeColor="text1"/>
                <w:kern w:val="0"/>
                <w:sz w:val="24"/>
                <w:szCs w:val="24"/>
                <w:highlight w:val="none"/>
                <w14:textFill>
                  <w14:solidFill>
                    <w14:schemeClr w14:val="tx1"/>
                  </w14:solidFill>
                </w14:textFill>
              </w:rPr>
              <w:t>员工生活用水</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分别</w:t>
            </w:r>
            <w:r>
              <w:rPr>
                <w:rFonts w:hint="default" w:ascii="Times New Roman" w:hAnsi="Times New Roman" w:eastAsia="宋体" w:cs="Times New Roman"/>
                <w:bCs/>
                <w:color w:val="000000" w:themeColor="text1"/>
                <w:sz w:val="24"/>
                <w:szCs w:val="24"/>
                <w:highlight w:val="none"/>
                <w14:textFill>
                  <w14:solidFill>
                    <w14:schemeClr w14:val="tx1"/>
                  </w14:solidFill>
                </w14:textFill>
              </w:rPr>
              <w:t>参照</w:t>
            </w:r>
            <w:r>
              <w:rPr>
                <w:rFonts w:hint="eastAsia" w:cs="Times New Roman"/>
                <w:bCs/>
                <w:color w:val="000000" w:themeColor="text1"/>
                <w:sz w:val="24"/>
                <w:szCs w:val="24"/>
                <w:highlight w:val="none"/>
                <w:lang w:val="en-US" w:eastAsia="zh-CN"/>
                <w14:textFill>
                  <w14:solidFill>
                    <w14:schemeClr w14:val="tx1"/>
                  </w14:solidFill>
                </w14:textFill>
              </w:rPr>
              <w:t>广东省</w:t>
            </w:r>
            <w:r>
              <w:rPr>
                <w:rFonts w:hint="default" w:ascii="Times New Roman" w:hAnsi="Times New Roman" w:eastAsia="宋体" w:cs="Times New Roman"/>
                <w:bCs/>
                <w:color w:val="000000" w:themeColor="text1"/>
                <w:sz w:val="24"/>
                <w:szCs w:val="24"/>
                <w:highlight w:val="none"/>
                <w14:textFill>
                  <w14:solidFill>
                    <w14:schemeClr w14:val="tx1"/>
                  </w14:solidFill>
                </w14:textFill>
              </w:rPr>
              <w:t>《用水定额 第3部分：生活》（DB44/T</w:t>
            </w:r>
            <w:r>
              <w:rPr>
                <w:rFonts w:hint="eastAsia" w:cs="Times New Roman"/>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Cs/>
                <w:color w:val="000000" w:themeColor="text1"/>
                <w:sz w:val="24"/>
                <w:szCs w:val="24"/>
                <w:highlight w:val="none"/>
                <w14:textFill>
                  <w14:solidFill>
                    <w14:schemeClr w14:val="tx1"/>
                  </w14:solidFill>
                </w14:textFill>
              </w:rPr>
              <w:t>1461</w:t>
            </w:r>
            <w:r>
              <w:rPr>
                <w:rFonts w:hint="eastAsia" w:cs="Times New Roman"/>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-2021）中国家行政机构（无食堂无浴室）中的先进值10</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Cs/>
                <w:color w:val="000000" w:themeColor="text1"/>
                <w:sz w:val="24"/>
                <w:szCs w:val="24"/>
                <w:highlight w:val="none"/>
                <w14:textFill>
                  <w14:solidFill>
                    <w14:schemeClr w14:val="tx1"/>
                  </w14:solidFill>
                </w14:textFill>
              </w:rPr>
              <w:t>国家行政机构（</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有</w:t>
            </w:r>
            <w:r>
              <w:rPr>
                <w:rFonts w:hint="default" w:ascii="Times New Roman" w:hAnsi="Times New Roman" w:eastAsia="宋体" w:cs="Times New Roman"/>
                <w:bCs/>
                <w:color w:val="000000" w:themeColor="text1"/>
                <w:sz w:val="24"/>
                <w:szCs w:val="24"/>
                <w:highlight w:val="none"/>
                <w14:textFill>
                  <w14:solidFill>
                    <w14:schemeClr w14:val="tx1"/>
                  </w14:solidFill>
                </w14:textFill>
              </w:rPr>
              <w:t>食堂</w:t>
            </w:r>
            <w:r>
              <w:rPr>
                <w:rFonts w:hint="eastAsia" w:cs="Times New Roman"/>
                <w:bCs/>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Cs/>
                <w:color w:val="000000" w:themeColor="text1"/>
                <w:sz w:val="24"/>
                <w:szCs w:val="24"/>
                <w:highlight w:val="none"/>
                <w14:textFill>
                  <w14:solidFill>
                    <w14:schemeClr w14:val="tx1"/>
                  </w14:solidFill>
                </w14:textFill>
              </w:rPr>
              <w:t>浴室）中的先进值</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/人·年计算</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因此本项目生活用水量为</w:t>
            </w:r>
            <w:r>
              <w:rPr>
                <w:rFonts w:hint="eastAsia" w:cs="Times New Roman"/>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人×</w:t>
            </w:r>
            <w:r>
              <w:rPr>
                <w:rFonts w:hint="eastAsia" w:cs="Times New Roman"/>
                <w:color w:val="000000" w:themeColor="text1"/>
                <w:ker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+20人×15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500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vertAlign w:val="baseline"/>
                <w:lang w:val="en-US" w:eastAsia="zh-CN"/>
                <w14:textFill>
                  <w14:solidFill>
                    <w14:schemeClr w14:val="tx1"/>
                  </w14:solidFill>
                </w14:textFill>
              </w:rPr>
              <w:t>。</w:t>
            </w:r>
          </w:p>
          <w:p w14:paraId="19123159">
            <w:pPr>
              <w:pStyle w:val="26"/>
              <w:ind w:firstLine="48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冷却用水</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本项目冷却塔循环水量5t/h，循环用水量为</w:t>
            </w:r>
            <w:r>
              <w:rPr>
                <w:rFonts w:hint="eastAsia"/>
                <w:b w:val="0"/>
                <w:bCs w:val="0"/>
                <w:color w:val="000000" w:themeColor="text1"/>
                <w:highlight w:val="none"/>
                <w:lang w:val="en-US" w:eastAsia="zh-CN"/>
                <w14:textFill>
                  <w14:solidFill>
                    <w14:schemeClr w14:val="tx1"/>
                  </w14:solidFill>
                </w14:textFill>
              </w:rPr>
              <w:t>31680</w:t>
            </w:r>
            <w:r>
              <w:rPr>
                <w:rFonts w:hint="eastAsia" w:cs="Times New Roman"/>
                <w:color w:val="000000" w:themeColor="text1"/>
                <w:highlight w:val="none"/>
                <w:lang w:val="en-US" w:eastAsia="zh-CN"/>
                <w14:textFill>
                  <w14:solidFill>
                    <w14:schemeClr w14:val="tx1"/>
                  </w14:solidFill>
                </w14:textFill>
              </w:rPr>
              <w:t>t/a，新鲜用水量为231.68t/a，损耗量为229.68t/a。</w:t>
            </w:r>
          </w:p>
          <w:p w14:paraId="0384DFFB">
            <w:pPr>
              <w:pStyle w:val="26"/>
              <w:ind w:firstLine="480"/>
              <w:rPr>
                <w:rFonts w:hint="eastAsia"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③钢板、胶头清洗用水：</w:t>
            </w:r>
            <w:r>
              <w:rPr>
                <w:rFonts w:hint="eastAsia" w:cs="Times New Roman"/>
                <w:b w:val="0"/>
                <w:bCs w:val="0"/>
                <w:color w:val="000000" w:themeColor="text1"/>
                <w:highlight w:val="none"/>
                <w:lang w:val="en-US" w:eastAsia="zh-CN"/>
                <w14:textFill>
                  <w14:solidFill>
                    <w14:schemeClr w14:val="tx1"/>
                  </w14:solidFill>
                </w14:textFill>
              </w:rPr>
              <w:t>本项目移印工序需对钢板、胶头清洗维护，</w:t>
            </w:r>
            <w:r>
              <w:rPr>
                <w:rFonts w:hint="eastAsia"/>
                <w:bCs/>
                <w:color w:val="000000" w:themeColor="text1"/>
                <w:spacing w:val="-10"/>
                <w:sz w:val="24"/>
                <w:highlight w:val="none"/>
                <w14:textFill>
                  <w14:solidFill>
                    <w14:schemeClr w14:val="tx1"/>
                  </w14:solidFill>
                </w14:textFill>
              </w:rPr>
              <w:t>根据企业提供的资料，</w:t>
            </w:r>
            <w:r>
              <w:rPr>
                <w:rFonts w:hint="eastAsia"/>
                <w:bCs/>
                <w:color w:val="000000" w:themeColor="text1"/>
                <w:spacing w:val="-10"/>
                <w:sz w:val="24"/>
                <w:highlight w:val="none"/>
                <w:lang w:val="en-US" w:eastAsia="zh-CN"/>
                <w14:textFill>
                  <w14:solidFill>
                    <w14:schemeClr w14:val="tx1"/>
                  </w14:solidFill>
                </w14:textFill>
              </w:rPr>
              <w:t>需</w:t>
            </w:r>
            <w:r>
              <w:rPr>
                <w:rFonts w:hint="eastAsia"/>
                <w:bCs/>
                <w:color w:val="000000" w:themeColor="text1"/>
                <w:spacing w:val="-10"/>
                <w:sz w:val="24"/>
                <w:highlight w:val="none"/>
                <w14:textFill>
                  <w14:solidFill>
                    <w14:schemeClr w14:val="tx1"/>
                  </w14:solidFill>
                </w14:textFill>
              </w:rPr>
              <w:t>每天清洗一次（本项目共设有1个清洗池，清洗池配置1支流量为</w:t>
            </w:r>
            <w:r>
              <w:rPr>
                <w:rFonts w:hint="eastAsia"/>
                <w:bCs/>
                <w:color w:val="000000" w:themeColor="text1"/>
                <w:spacing w:val="-10"/>
                <w:sz w:val="24"/>
                <w:highlight w:val="none"/>
                <w:lang w:val="en-US" w:eastAsia="zh-CN"/>
                <w14:textFill>
                  <w14:solidFill>
                    <w14:schemeClr w14:val="tx1"/>
                  </w14:solidFill>
                </w14:textFill>
              </w:rPr>
              <w:t>5</w:t>
            </w:r>
            <w:r>
              <w:rPr>
                <w:rFonts w:hint="eastAsia"/>
                <w:bCs/>
                <w:color w:val="000000" w:themeColor="text1"/>
                <w:spacing w:val="-10"/>
                <w:sz w:val="24"/>
                <w:highlight w:val="none"/>
                <w14:textFill>
                  <w14:solidFill>
                    <w14:schemeClr w14:val="tx1"/>
                  </w14:solidFill>
                </w14:textFill>
              </w:rPr>
              <w:t>L/min的清洗枪），每次最多为</w:t>
            </w:r>
            <w:r>
              <w:rPr>
                <w:rFonts w:hint="eastAsia"/>
                <w:bCs/>
                <w:color w:val="000000" w:themeColor="text1"/>
                <w:spacing w:val="-10"/>
                <w:sz w:val="24"/>
                <w:highlight w:val="none"/>
                <w:lang w:val="en-US" w:eastAsia="zh-CN"/>
                <w14:textFill>
                  <w14:solidFill>
                    <w14:schemeClr w14:val="tx1"/>
                  </w14:solidFill>
                </w14:textFill>
              </w:rPr>
              <w:t>3套钢板、胶头</w:t>
            </w:r>
            <w:r>
              <w:rPr>
                <w:rFonts w:hint="eastAsia"/>
                <w:bCs/>
                <w:color w:val="000000" w:themeColor="text1"/>
                <w:spacing w:val="-10"/>
                <w:sz w:val="24"/>
                <w:highlight w:val="none"/>
                <w14:textFill>
                  <w14:solidFill>
                    <w14:schemeClr w14:val="tx1"/>
                  </w14:solidFill>
                </w14:textFill>
              </w:rPr>
              <w:t>，单</w:t>
            </w:r>
            <w:r>
              <w:rPr>
                <w:rFonts w:hint="eastAsia"/>
                <w:bCs/>
                <w:color w:val="000000" w:themeColor="text1"/>
                <w:spacing w:val="-10"/>
                <w:sz w:val="24"/>
                <w:highlight w:val="none"/>
                <w:lang w:val="en-US" w:eastAsia="zh-CN"/>
                <w14:textFill>
                  <w14:solidFill>
                    <w14:schemeClr w14:val="tx1"/>
                  </w14:solidFill>
                </w14:textFill>
              </w:rPr>
              <w:t>次</w:t>
            </w:r>
            <w:r>
              <w:rPr>
                <w:rFonts w:hint="eastAsia"/>
                <w:bCs/>
                <w:color w:val="000000" w:themeColor="text1"/>
                <w:spacing w:val="-10"/>
                <w:sz w:val="24"/>
                <w:highlight w:val="none"/>
                <w14:textFill>
                  <w14:solidFill>
                    <w14:schemeClr w14:val="tx1"/>
                  </w14:solidFill>
                </w14:textFill>
              </w:rPr>
              <w:t>冲洗时间为</w:t>
            </w:r>
            <w:r>
              <w:rPr>
                <w:rFonts w:hint="eastAsia"/>
                <w:bCs/>
                <w:color w:val="000000" w:themeColor="text1"/>
                <w:spacing w:val="-10"/>
                <w:sz w:val="24"/>
                <w:highlight w:val="none"/>
                <w:lang w:val="en-US" w:eastAsia="zh-CN"/>
                <w14:textFill>
                  <w14:solidFill>
                    <w14:schemeClr w14:val="tx1"/>
                  </w14:solidFill>
                </w14:textFill>
              </w:rPr>
              <w:t>10</w:t>
            </w:r>
            <w:r>
              <w:rPr>
                <w:rFonts w:hint="eastAsia"/>
                <w:bCs/>
                <w:color w:val="000000" w:themeColor="text1"/>
                <w:spacing w:val="-10"/>
                <w:sz w:val="24"/>
                <w:highlight w:val="none"/>
                <w14:textFill>
                  <w14:solidFill>
                    <w14:schemeClr w14:val="tx1"/>
                  </w14:solidFill>
                </w14:textFill>
              </w:rPr>
              <w:t>s，年工作</w:t>
            </w:r>
            <w:r>
              <w:rPr>
                <w:rFonts w:hint="eastAsia"/>
                <w:bCs/>
                <w:color w:val="000000" w:themeColor="text1"/>
                <w:spacing w:val="-10"/>
                <w:sz w:val="24"/>
                <w:highlight w:val="none"/>
                <w:lang w:val="en-US" w:eastAsia="zh-CN"/>
                <w14:textFill>
                  <w14:solidFill>
                    <w14:schemeClr w14:val="tx1"/>
                  </w14:solidFill>
                </w14:textFill>
              </w:rPr>
              <w:t>264</w:t>
            </w:r>
            <w:r>
              <w:rPr>
                <w:rFonts w:hint="eastAsia"/>
                <w:bCs/>
                <w:color w:val="000000" w:themeColor="text1"/>
                <w:spacing w:val="-10"/>
                <w:sz w:val="24"/>
                <w:highlight w:val="none"/>
                <w14:textFill>
                  <w14:solidFill>
                    <w14:schemeClr w14:val="tx1"/>
                  </w14:solidFill>
                </w14:textFill>
              </w:rPr>
              <w:t>天，则</w:t>
            </w:r>
            <w:r>
              <w:rPr>
                <w:rFonts w:hint="eastAsia"/>
                <w:color w:val="000000" w:themeColor="text1"/>
                <w:sz w:val="24"/>
                <w:highlight w:val="none"/>
                <w:lang w:eastAsia="zh-CN"/>
                <w14:textFill>
                  <w14:solidFill>
                    <w14:schemeClr w14:val="tx1"/>
                  </w14:solidFill>
                </w14:textFill>
              </w:rPr>
              <w:t>钢板、胶头清洗</w:t>
            </w:r>
            <w:r>
              <w:rPr>
                <w:rFonts w:hint="eastAsia"/>
                <w:color w:val="000000" w:themeColor="text1"/>
                <w:sz w:val="24"/>
                <w:highlight w:val="none"/>
                <w14:textFill>
                  <w14:solidFill>
                    <w14:schemeClr w14:val="tx1"/>
                  </w14:solidFill>
                </w14:textFill>
              </w:rPr>
              <w:t>用水量为</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3套</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1</w:t>
            </w:r>
            <w:r>
              <w:rPr>
                <w:rFonts w:hint="eastAsia"/>
                <w:bCs/>
                <w:color w:val="000000" w:themeColor="text1"/>
                <w:spacing w:val="-10"/>
                <w:sz w:val="24"/>
                <w:highlight w:val="none"/>
                <w14:textFill>
                  <w14:solidFill>
                    <w14:schemeClr w14:val="tx1"/>
                  </w14:solidFill>
                </w14:textFill>
              </w:rPr>
              <w:t>0s）÷60</w:t>
            </w:r>
            <w:r>
              <w:rPr>
                <w:rFonts w:hint="eastAsia"/>
                <w:bCs/>
                <w:color w:val="000000" w:themeColor="text1"/>
                <w:spacing w:val="-10"/>
                <w:sz w:val="24"/>
                <w:highlight w:val="none"/>
                <w:lang w:val="en-US" w:eastAsia="zh-CN"/>
                <w14:textFill>
                  <w14:solidFill>
                    <w14:schemeClr w14:val="tx1"/>
                  </w14:solidFill>
                </w14:textFill>
              </w:rPr>
              <w:t xml:space="preserve"> </w:t>
            </w:r>
            <w:r>
              <w:rPr>
                <w:rFonts w:hint="eastAsia"/>
                <w:bCs/>
                <w:color w:val="000000" w:themeColor="text1"/>
                <w:spacing w:val="-10"/>
                <w:sz w:val="24"/>
                <w:highlight w:val="none"/>
                <w14:textFill>
                  <w14:solidFill>
                    <w14:schemeClr w14:val="tx1"/>
                  </w14:solidFill>
                </w14:textFill>
              </w:rPr>
              <w:t>s×</w:t>
            </w:r>
            <w:r>
              <w:rPr>
                <w:rFonts w:hint="eastAsia"/>
                <w:bCs/>
                <w:color w:val="000000" w:themeColor="text1"/>
                <w:spacing w:val="-10"/>
                <w:sz w:val="24"/>
                <w:highlight w:val="none"/>
                <w:lang w:val="en-US" w:eastAsia="zh-CN"/>
                <w14:textFill>
                  <w14:solidFill>
                    <w14:schemeClr w14:val="tx1"/>
                  </w14:solidFill>
                </w14:textFill>
              </w:rPr>
              <w:t>5</w:t>
            </w:r>
            <w:r>
              <w:rPr>
                <w:rFonts w:hint="eastAsia"/>
                <w:bCs/>
                <w:color w:val="000000" w:themeColor="text1"/>
                <w:spacing w:val="-10"/>
                <w:sz w:val="24"/>
                <w:highlight w:val="none"/>
                <w14:textFill>
                  <w14:solidFill>
                    <w14:schemeClr w14:val="tx1"/>
                  </w14:solidFill>
                </w14:textFill>
              </w:rPr>
              <w:t>L/min=</w:t>
            </w:r>
            <w:r>
              <w:rPr>
                <w:rFonts w:hint="eastAsia"/>
                <w:bCs/>
                <w:color w:val="000000" w:themeColor="text1"/>
                <w:spacing w:val="-10"/>
                <w:sz w:val="24"/>
                <w:highlight w:val="none"/>
                <w:lang w:val="en-US" w:eastAsia="zh-CN"/>
                <w14:textFill>
                  <w14:solidFill>
                    <w14:schemeClr w14:val="tx1"/>
                  </w14:solidFill>
                </w14:textFill>
              </w:rPr>
              <w:t>2.5</w:t>
            </w:r>
            <w:r>
              <w:rPr>
                <w:rFonts w:hint="eastAsia"/>
                <w:bCs/>
                <w:color w:val="000000" w:themeColor="text1"/>
                <w:spacing w:val="-10"/>
                <w:sz w:val="24"/>
                <w:highlight w:val="none"/>
                <w14:textFill>
                  <w14:solidFill>
                    <w14:schemeClr w14:val="tx1"/>
                  </w14:solidFill>
                </w14:textFill>
              </w:rPr>
              <w:t>L/次，</w:t>
            </w:r>
            <w:r>
              <w:rPr>
                <w:rFonts w:hint="eastAsia"/>
                <w:bCs/>
                <w:color w:val="000000" w:themeColor="text1"/>
                <w:spacing w:val="-10"/>
                <w:sz w:val="24"/>
                <w:highlight w:val="none"/>
                <w:lang w:val="en-US" w:eastAsia="zh-CN"/>
                <w14:textFill>
                  <w14:solidFill>
                    <w14:schemeClr w14:val="tx1"/>
                  </w14:solidFill>
                </w14:textFill>
              </w:rPr>
              <w:t>2.5</w:t>
            </w:r>
            <w:r>
              <w:rPr>
                <w:rFonts w:hint="eastAsia"/>
                <w:bCs/>
                <w:color w:val="000000" w:themeColor="text1"/>
                <w:spacing w:val="-10"/>
                <w:sz w:val="24"/>
                <w:highlight w:val="none"/>
                <w14:textFill>
                  <w14:solidFill>
                    <w14:schemeClr w14:val="tx1"/>
                  </w14:solidFill>
                </w14:textFill>
              </w:rPr>
              <w:t>L/次</w:t>
            </w:r>
            <w:r>
              <w:rPr>
                <w:rFonts w:hint="eastAsia"/>
                <w:bCs/>
                <w:color w:val="000000" w:themeColor="text1"/>
                <w:spacing w:val="-10"/>
                <w:sz w:val="24"/>
                <w:highlight w:val="none"/>
                <w:lang w:val="en-US" w:eastAsia="zh-CN"/>
                <w14:textFill>
                  <w14:solidFill>
                    <w14:schemeClr w14:val="tx1"/>
                  </w14:solidFill>
                </w14:textFill>
              </w:rPr>
              <w:t>×1次/天×264天</w:t>
            </w:r>
            <w:r>
              <w:rPr>
                <w:rFonts w:hint="eastAsia"/>
                <w:bCs/>
                <w:color w:val="000000" w:themeColor="text1"/>
                <w:spacing w:val="-10"/>
                <w:sz w:val="24"/>
                <w:highlight w:val="none"/>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1000=0.66t/a，</w:t>
            </w:r>
            <w:r>
              <w:rPr>
                <w:rFonts w:hint="eastAsia"/>
                <w:bCs/>
                <w:color w:val="000000" w:themeColor="text1"/>
                <w:spacing w:val="-10"/>
                <w:sz w:val="24"/>
                <w:highlight w:val="none"/>
                <w14:textFill>
                  <w14:solidFill>
                    <w14:schemeClr w14:val="tx1"/>
                  </w14:solidFill>
                </w14:textFill>
              </w:rPr>
              <w:t>则年</w:t>
            </w:r>
            <w:r>
              <w:rPr>
                <w:rFonts w:hint="eastAsia"/>
                <w:color w:val="000000" w:themeColor="text1"/>
                <w:sz w:val="24"/>
                <w:highlight w:val="none"/>
                <w14:textFill>
                  <w14:solidFill>
                    <w14:schemeClr w14:val="tx1"/>
                  </w14:solidFill>
                </w14:textFill>
              </w:rPr>
              <w:t>用水量为</w:t>
            </w:r>
            <w:r>
              <w:rPr>
                <w:rFonts w:hint="eastAsia"/>
                <w:color w:val="000000" w:themeColor="text1"/>
                <w:sz w:val="24"/>
                <w:highlight w:val="none"/>
                <w:lang w:val="en-US" w:eastAsia="zh-CN"/>
                <w14:textFill>
                  <w14:solidFill>
                    <w14:schemeClr w14:val="tx1"/>
                  </w14:solidFill>
                </w14:textFill>
              </w:rPr>
              <w:t>0.66</w:t>
            </w:r>
            <w:r>
              <w:rPr>
                <w:rFonts w:hint="eastAsia"/>
                <w:bCs/>
                <w:color w:val="000000" w:themeColor="text1"/>
                <w:spacing w:val="-10"/>
                <w:sz w:val="24"/>
                <w:highlight w:val="none"/>
                <w14:textFill>
                  <w14:solidFill>
                    <w14:schemeClr w14:val="tx1"/>
                  </w14:solidFill>
                </w14:textFill>
              </w:rPr>
              <w:t>t/a</w:t>
            </w:r>
            <w:r>
              <w:rPr>
                <w:rFonts w:hint="eastAsia"/>
                <w:bCs/>
                <w:color w:val="000000" w:themeColor="text1"/>
                <w:spacing w:val="-10"/>
                <w:sz w:val="24"/>
                <w:highlight w:val="none"/>
                <w:lang w:eastAsia="zh-CN"/>
                <w14:textFill>
                  <w14:solidFill>
                    <w14:schemeClr w14:val="tx1"/>
                  </w14:solidFill>
                </w14:textFill>
              </w:rPr>
              <w:t>。</w:t>
            </w:r>
          </w:p>
          <w:p w14:paraId="0CF8945B">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（3）排水</w:t>
            </w:r>
          </w:p>
          <w:p w14:paraId="71625921">
            <w:pPr>
              <w:adjustRightInd w:val="0"/>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本项目实行雨污分流制的排水体制</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雨水经厂区雨水管网收集后，排入市政雨水管网</w:t>
            </w:r>
            <w:r>
              <w:rPr>
                <w:rFonts w:hint="default" w:ascii="Times New Roman" w:hAnsi="Times New Roman" w:cs="Times New Roman"/>
                <w:color w:val="000000" w:themeColor="text1"/>
                <w:highlight w:val="none"/>
                <w:lang w:eastAsia="zh-CN"/>
                <w14:textFill>
                  <w14:solidFill>
                    <w14:schemeClr w14:val="tx1"/>
                  </w14:solidFill>
                </w14:textFill>
              </w:rPr>
              <w:t>。</w:t>
            </w:r>
          </w:p>
          <w:p w14:paraId="503A03E6">
            <w:pPr>
              <w:pStyle w:val="26"/>
              <w:ind w:firstLine="48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w:t>
            </w:r>
            <w:r>
              <w:rPr>
                <w:rFonts w:hint="default" w:ascii="Times New Roman" w:hAnsi="Times New Roman" w:cs="Times New Roman"/>
                <w:color w:val="000000" w:themeColor="text1"/>
                <w:highlight w:val="none"/>
                <w14:textFill>
                  <w14:solidFill>
                    <w14:schemeClr w14:val="tx1"/>
                  </w14:solidFill>
                </w14:textFill>
              </w:rPr>
              <w:t>生活污水：本项目生活污水排放</w:t>
            </w:r>
            <w:r>
              <w:rPr>
                <w:rFonts w:hint="eastAsia" w:cs="Times New Roman"/>
                <w:color w:val="000000" w:themeColor="text1"/>
                <w:highlight w:val="none"/>
                <w:lang w:val="en-US" w:eastAsia="zh-CN"/>
                <w14:textFill>
                  <w14:solidFill>
                    <w14:schemeClr w14:val="tx1"/>
                  </w14:solidFill>
                </w14:textFill>
              </w:rPr>
              <w:t>系数取0.9，则生活污水排放</w:t>
            </w:r>
            <w:r>
              <w:rPr>
                <w:rFonts w:hint="default" w:ascii="Times New Roman" w:hAnsi="Times New Roman" w:cs="Times New Roman"/>
                <w:color w:val="000000" w:themeColor="text1"/>
                <w:highlight w:val="none"/>
                <w14:textFill>
                  <w14:solidFill>
                    <w14:schemeClr w14:val="tx1"/>
                  </w14:solidFill>
                </w14:textFill>
              </w:rPr>
              <w:t>量</w:t>
            </w:r>
            <w:r>
              <w:rPr>
                <w:rFonts w:hint="eastAsia" w:cs="Times New Roman"/>
                <w:color w:val="000000" w:themeColor="text1"/>
                <w:highlight w:val="none"/>
                <w:lang w:val="en-US" w:eastAsia="zh-CN"/>
                <w14:textFill>
                  <w14:solidFill>
                    <w14:schemeClr w14:val="tx1"/>
                  </w14:solidFill>
                </w14:textFill>
              </w:rPr>
              <w:t>=500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a</w:t>
            </w:r>
            <w:r>
              <w:rPr>
                <w:rFonts w:hint="eastAsia" w:ascii="Times New Roman" w:hAnsi="Times New Roman" w:cs="Times New Roman"/>
                <w:color w:val="000000" w:themeColor="text1"/>
                <w:highlight w:val="none"/>
                <w:lang w:val="en-US" w:eastAsia="zh-CN"/>
                <w14:textFill>
                  <w14:solidFill>
                    <w14:schemeClr w14:val="tx1"/>
                  </w14:solidFill>
                </w14:textFill>
              </w:rPr>
              <w:t>×0.9=</w:t>
            </w:r>
            <w:r>
              <w:rPr>
                <w:rFonts w:hint="eastAsia" w:cs="Times New Roman"/>
                <w:color w:val="000000" w:themeColor="text1"/>
                <w:highlight w:val="none"/>
                <w:lang w:val="en-US" w:eastAsia="zh-CN"/>
                <w14:textFill>
                  <w14:solidFill>
                    <w14:schemeClr w14:val="tx1"/>
                  </w14:solidFill>
                </w14:textFill>
              </w:rPr>
              <w:t>450</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vertAlign w:val="baseline"/>
                <w:lang w:val="en-US" w:eastAsia="zh-CN"/>
                <w14:textFill>
                  <w14:solidFill>
                    <w14:schemeClr w14:val="tx1"/>
                  </w14:solidFill>
                </w14:textFill>
              </w:rPr>
              <w:t>。</w:t>
            </w:r>
          </w:p>
          <w:p w14:paraId="1986BED8">
            <w:pPr>
              <w:pStyle w:val="26"/>
              <w:ind w:firstLine="480"/>
              <w:rPr>
                <w:rFonts w:hint="default" w:ascii="Times New Roman" w:hAnsi="Times New Roman"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生活污水经</w:t>
            </w:r>
            <w:r>
              <w:rPr>
                <w:rFonts w:hint="eastAsia" w:cs="Times New Roman"/>
                <w:color w:val="000000" w:themeColor="text1"/>
                <w:highlight w:val="none"/>
                <w:lang w:eastAsia="zh-CN"/>
                <w14:textFill>
                  <w14:solidFill>
                    <w14:schemeClr w14:val="tx1"/>
                  </w14:solidFill>
                </w14:textFill>
              </w:rPr>
              <w:t>三级化粪池</w:t>
            </w:r>
            <w:r>
              <w:rPr>
                <w:rFonts w:hint="default" w:ascii="Times New Roman" w:hAnsi="Times New Roman" w:cs="Times New Roman"/>
                <w:color w:val="000000" w:themeColor="text1"/>
                <w:highlight w:val="none"/>
                <w14:textFill>
                  <w14:solidFill>
                    <w14:schemeClr w14:val="tx1"/>
                  </w14:solidFill>
                </w14:textFill>
              </w:rPr>
              <w:t>预处理后，排入园区污水处理厂进一步处理，达标后排放至武江（乐昌城-犁市河段）</w:t>
            </w:r>
            <w:r>
              <w:rPr>
                <w:rFonts w:hint="eastAsia" w:cs="Times New Roman"/>
                <w:color w:val="000000" w:themeColor="text1"/>
                <w:highlight w:val="none"/>
                <w:lang w:eastAsia="zh-CN"/>
                <w14:textFill>
                  <w14:solidFill>
                    <w14:schemeClr w14:val="tx1"/>
                  </w14:solidFill>
                </w14:textFill>
              </w:rPr>
              <w:t>。</w:t>
            </w:r>
          </w:p>
          <w:p w14:paraId="39D03384">
            <w:pPr>
              <w:adjustRightInd w:val="0"/>
              <w:ind w:firstLine="480" w:firstLineChars="20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冷却塔更换水</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循环过程补充新鲜用水、定期捞渣，不外排，每年更换一次，则每年产生的冷却塔废</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eastAsia" w:cs="Times New Roman"/>
                <w:color w:val="000000" w:themeColor="text1"/>
                <w:highlight w:val="none"/>
                <w:lang w:val="en-US" w:eastAsia="zh-CN"/>
                <w14:textFill>
                  <w14:solidFill>
                    <w14:schemeClr w14:val="tx1"/>
                  </w14:solidFill>
                </w14:textFill>
              </w:rPr>
              <w:t>为2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，该废水成分简单，主要为COD、SS等，用于厂区绿化浇灌，不外排。</w:t>
            </w:r>
          </w:p>
          <w:p w14:paraId="6DC4C170">
            <w:pPr>
              <w:adjustRightInd w:val="0"/>
              <w:ind w:firstLine="480"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③钢板、胶头清洗废水：产生的0.594</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清洗废水作为危险废物交由有资质的危废单位处置，不外排。</w:t>
            </w:r>
          </w:p>
          <w:p w14:paraId="642F3C03">
            <w:pPr>
              <w:pStyle w:val="2"/>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25" o:spt="75" type="#_x0000_t75" style="height:191.45pt;width:394.6pt;" o:ole="t" filled="f" stroked="f" coordsize="21600,21600">
                  <v:path/>
                  <v:fill on="f" focussize="0,0"/>
                  <v:stroke on="f"/>
                  <v:imagedata r:id="rId14" embosscolor="#FFFFFF" o:title=""/>
                  <o:lock v:ext="edit" aspectratio="t"/>
                  <w10:wrap type="none"/>
                  <w10:anchorlock/>
                </v:shape>
                <o:OLEObject Type="Embed" ProgID="Visio.Drawing.15" ShapeID="_x0000_i1025" DrawAspect="Content" ObjectID="_1468075725" r:id="rId13">
                  <o:LockedField>false</o:LockedField>
                </o:OLEObject>
              </w:object>
            </w:r>
            <w: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图2-1 本项目用水平衡图</w:t>
            </w:r>
          </w:p>
          <w:p w14:paraId="5969D46E">
            <w:pPr>
              <w:widowControl/>
              <w:numPr>
                <w:ilvl w:val="0"/>
                <w:numId w:val="8"/>
              </w:numPr>
              <w:spacing w:line="240" w:lineRule="auto"/>
              <w:ind w:left="0" w:leftChars="0" w:firstLine="4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val="0"/>
                <w:color w:val="000000" w:themeColor="text1"/>
                <w:sz w:val="21"/>
                <w:szCs w:val="21"/>
                <w:highlight w:val="none"/>
                <w:lang w:val="en-US" w:eastAsia="zh-CN"/>
                <w14:textFill>
                  <w14:solidFill>
                    <w14:schemeClr w14:val="tx1"/>
                  </w14:solidFill>
                </w14:textFill>
              </w:rPr>
              <w:t>本</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b/>
                <w:bCs w:val="0"/>
                <w:color w:val="000000" w:themeColor="text1"/>
                <w:sz w:val="21"/>
                <w:szCs w:val="21"/>
                <w:highlight w:val="none"/>
                <w14:textFill>
                  <w14:solidFill>
                    <w14:schemeClr w14:val="tx1"/>
                  </w14:solidFill>
                </w14:textFill>
              </w:rPr>
              <w:t>用量</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情况</w:t>
            </w:r>
            <w:r>
              <w:rPr>
                <w:rFonts w:hint="default" w:ascii="Times New Roman" w:hAnsi="Times New Roman" w:cs="Times New Roman"/>
                <w:b/>
                <w:bCs w:val="0"/>
                <w:color w:val="000000" w:themeColor="text1"/>
                <w:sz w:val="21"/>
                <w:szCs w:val="21"/>
                <w:highlight w:val="none"/>
                <w14:textFill>
                  <w14:solidFill>
                    <w14:schemeClr w14:val="tx1"/>
                  </w14:solidFill>
                </w14:textFill>
              </w:rPr>
              <w:t>一览表</w:t>
            </w: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 xml:space="preserve">  单位：t/a</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68" w:type="dxa"/>
                <w:bottom w:w="0" w:type="dxa"/>
                <w:right w:w="68" w:type="dxa"/>
              </w:tblCellMar>
            </w:tblPr>
            <w:tblGrid>
              <w:gridCol w:w="1405"/>
              <w:gridCol w:w="884"/>
              <w:gridCol w:w="819"/>
              <w:gridCol w:w="899"/>
              <w:gridCol w:w="829"/>
              <w:gridCol w:w="820"/>
              <w:gridCol w:w="2191"/>
            </w:tblGrid>
            <w:tr w14:paraId="452AD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21A9AE6E">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用水情形</w:t>
                  </w:r>
                </w:p>
              </w:tc>
              <w:tc>
                <w:tcPr>
                  <w:tcW w:w="884" w:type="dxa"/>
                  <w:vAlign w:val="center"/>
                </w:tcPr>
                <w:p w14:paraId="54B34E36">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新鲜水</w:t>
                  </w:r>
                </w:p>
              </w:tc>
              <w:tc>
                <w:tcPr>
                  <w:tcW w:w="819" w:type="dxa"/>
                  <w:vAlign w:val="center"/>
                </w:tcPr>
                <w:p w14:paraId="2CE86F0B">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损耗</w:t>
                  </w:r>
                </w:p>
              </w:tc>
              <w:tc>
                <w:tcPr>
                  <w:tcW w:w="899" w:type="dxa"/>
                  <w:vAlign w:val="center"/>
                </w:tcPr>
                <w:p w14:paraId="23C879E1">
                  <w:pPr>
                    <w:keepNext w:val="0"/>
                    <w:keepLines w:val="0"/>
                    <w:widowControl/>
                    <w:suppressLineNumbers w:val="0"/>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循环水量</w:t>
                  </w:r>
                </w:p>
              </w:tc>
              <w:tc>
                <w:tcPr>
                  <w:tcW w:w="829" w:type="dxa"/>
                  <w:vAlign w:val="center"/>
                </w:tcPr>
                <w:p w14:paraId="435AF7D3">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废水产生量</w:t>
                  </w:r>
                </w:p>
              </w:tc>
              <w:tc>
                <w:tcPr>
                  <w:tcW w:w="820" w:type="dxa"/>
                  <w:vAlign w:val="center"/>
                </w:tcPr>
                <w:p w14:paraId="54E77576">
                  <w:pPr>
                    <w:keepNext w:val="0"/>
                    <w:keepLines w:val="0"/>
                    <w:widowControl/>
                    <w:suppressLineNumbers w:val="0"/>
                    <w:jc w:val="center"/>
                    <w:textAlignment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废水排放量</w:t>
                  </w:r>
                </w:p>
              </w:tc>
              <w:tc>
                <w:tcPr>
                  <w:tcW w:w="2191" w:type="dxa"/>
                  <w:vAlign w:val="center"/>
                </w:tcPr>
                <w:p w14:paraId="4ABFBC62">
                  <w:pPr>
                    <w:pStyle w:val="58"/>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备注</w:t>
                  </w:r>
                </w:p>
              </w:tc>
            </w:tr>
            <w:tr w14:paraId="319B3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374B793B">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生活用水</w:t>
                  </w:r>
                </w:p>
              </w:tc>
              <w:tc>
                <w:tcPr>
                  <w:tcW w:w="884" w:type="dxa"/>
                  <w:vAlign w:val="center"/>
                </w:tcPr>
                <w:p w14:paraId="0F4972F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500</w:t>
                  </w:r>
                </w:p>
              </w:tc>
              <w:tc>
                <w:tcPr>
                  <w:tcW w:w="819" w:type="dxa"/>
                  <w:vAlign w:val="center"/>
                </w:tcPr>
                <w:p w14:paraId="26779C4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w:t>
                  </w:r>
                </w:p>
              </w:tc>
              <w:tc>
                <w:tcPr>
                  <w:tcW w:w="899" w:type="dxa"/>
                  <w:vAlign w:val="center"/>
                </w:tcPr>
                <w:p w14:paraId="14DB24B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829" w:type="dxa"/>
                  <w:vAlign w:val="center"/>
                </w:tcPr>
                <w:p w14:paraId="6E25BBD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820" w:type="dxa"/>
                  <w:vAlign w:val="center"/>
                </w:tcPr>
                <w:p w14:paraId="5A6E1DA4">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2191" w:type="dxa"/>
                  <w:vAlign w:val="center"/>
                </w:tcPr>
                <w:p w14:paraId="3EE627F0">
                  <w:pPr>
                    <w:spacing w:line="240" w:lineRule="auto"/>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三级化粪池</w:t>
                  </w:r>
                  <w:r>
                    <w:rPr>
                      <w:rFonts w:hint="default" w:ascii="Times New Roman" w:hAnsi="Times New Roman" w:cs="Times New Roman"/>
                      <w:bCs/>
                      <w:color w:val="000000" w:themeColor="text1"/>
                      <w:sz w:val="21"/>
                      <w:szCs w:val="21"/>
                      <w:highlight w:val="none"/>
                      <w14:textFill>
                        <w14:solidFill>
                          <w14:schemeClr w14:val="tx1"/>
                        </w14:solidFill>
                      </w14:textFill>
                    </w:rPr>
                    <w:t>处理→园区污水处理厂→武江</w:t>
                  </w:r>
                </w:p>
              </w:tc>
            </w:tr>
            <w:tr w14:paraId="31B1D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04C564B5">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冷却用水</w:t>
                  </w:r>
                </w:p>
              </w:tc>
              <w:tc>
                <w:tcPr>
                  <w:tcW w:w="884" w:type="dxa"/>
                  <w:vAlign w:val="center"/>
                </w:tcPr>
                <w:p w14:paraId="0C0021F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231.68</w:t>
                  </w:r>
                </w:p>
              </w:tc>
              <w:tc>
                <w:tcPr>
                  <w:tcW w:w="819" w:type="dxa"/>
                  <w:vAlign w:val="center"/>
                </w:tcPr>
                <w:p w14:paraId="6DAC481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229.68</w:t>
                  </w:r>
                </w:p>
              </w:tc>
              <w:tc>
                <w:tcPr>
                  <w:tcW w:w="899" w:type="dxa"/>
                  <w:vAlign w:val="center"/>
                </w:tcPr>
                <w:p w14:paraId="7D0466EA">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31680</w:t>
                  </w:r>
                </w:p>
              </w:tc>
              <w:tc>
                <w:tcPr>
                  <w:tcW w:w="829" w:type="dxa"/>
                  <w:vAlign w:val="center"/>
                </w:tcPr>
                <w:p w14:paraId="054C7E3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820" w:type="dxa"/>
                  <w:vAlign w:val="center"/>
                </w:tcPr>
                <w:p w14:paraId="0EDF089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2191" w:type="dxa"/>
                  <w:vAlign w:val="center"/>
                </w:tcPr>
                <w:p w14:paraId="68C1D357">
                  <w:pPr>
                    <w:spacing w:line="240" w:lineRule="auto"/>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循环使用，定期补充损耗，不外排，每年更换一次，用于厂区绿化浇灌</w:t>
                  </w:r>
                </w:p>
              </w:tc>
            </w:tr>
            <w:tr w14:paraId="5869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450F71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pPr>
                  <w:r>
                    <w:rPr>
                      <w:rFonts w:hint="eastAsia" w:ascii="宋体" w:hAnsi="宋体" w:cs="宋体"/>
                      <w:i w:val="0"/>
                      <w:iCs w:val="0"/>
                      <w:color w:val="000000" w:themeColor="text1"/>
                      <w:kern w:val="0"/>
                      <w:sz w:val="21"/>
                      <w:szCs w:val="21"/>
                      <w:u w:val="none"/>
                      <w:lang w:val="en-US" w:eastAsia="zh-CN"/>
                      <w14:textFill>
                        <w14:solidFill>
                          <w14:schemeClr w14:val="tx1"/>
                        </w14:solidFill>
                      </w14:textFill>
                    </w:rPr>
                    <w:t>钢板、胶头清洗</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用水</w:t>
                  </w:r>
                </w:p>
              </w:tc>
              <w:tc>
                <w:tcPr>
                  <w:tcW w:w="884" w:type="dxa"/>
                  <w:vAlign w:val="center"/>
                </w:tcPr>
                <w:p w14:paraId="4C19DD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0.66</w:t>
                  </w:r>
                </w:p>
              </w:tc>
              <w:tc>
                <w:tcPr>
                  <w:tcW w:w="819" w:type="dxa"/>
                  <w:vAlign w:val="center"/>
                </w:tcPr>
                <w:p w14:paraId="7AF926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0.066</w:t>
                  </w:r>
                </w:p>
              </w:tc>
              <w:tc>
                <w:tcPr>
                  <w:tcW w:w="899" w:type="dxa"/>
                  <w:vAlign w:val="center"/>
                </w:tcPr>
                <w:p w14:paraId="0F9C08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829" w:type="dxa"/>
                  <w:vAlign w:val="center"/>
                </w:tcPr>
                <w:p w14:paraId="7791CE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0.594</w:t>
                  </w:r>
                </w:p>
              </w:tc>
              <w:tc>
                <w:tcPr>
                  <w:tcW w:w="820" w:type="dxa"/>
                  <w:vAlign w:val="center"/>
                </w:tcPr>
                <w:p w14:paraId="734206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p>
              </w:tc>
              <w:tc>
                <w:tcPr>
                  <w:tcW w:w="2191" w:type="dxa"/>
                  <w:vAlign w:val="center"/>
                </w:tcPr>
                <w:p w14:paraId="4DBBB139">
                  <w:pPr>
                    <w:spacing w:line="240" w:lineRule="auto"/>
                    <w:jc w:val="center"/>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作为危险废物，交由有资质的危废单位处置</w:t>
                  </w:r>
                </w:p>
              </w:tc>
            </w:tr>
            <w:tr w14:paraId="3BC9F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8" w:type="dxa"/>
                  <w:bottom w:w="0" w:type="dxa"/>
                  <w:right w:w="68" w:type="dxa"/>
                </w:tblCellMar>
              </w:tblPrEx>
              <w:trPr>
                <w:trHeight w:val="397" w:hRule="atLeast"/>
                <w:jc w:val="center"/>
              </w:trPr>
              <w:tc>
                <w:tcPr>
                  <w:tcW w:w="1405" w:type="dxa"/>
                  <w:vAlign w:val="center"/>
                </w:tcPr>
                <w:p w14:paraId="26D42F5E">
                  <w:pPr>
                    <w:keepNext w:val="0"/>
                    <w:keepLines w:val="0"/>
                    <w:widowControl/>
                    <w:suppressLineNumbers w:val="0"/>
                    <w:jc w:val="center"/>
                    <w:textAlignment w:val="center"/>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合计</w:t>
                  </w:r>
                </w:p>
              </w:tc>
              <w:tc>
                <w:tcPr>
                  <w:tcW w:w="884" w:type="dxa"/>
                  <w:vAlign w:val="center"/>
                </w:tcPr>
                <w:p w14:paraId="548FC4CE">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732.34</w:t>
                  </w:r>
                </w:p>
              </w:tc>
              <w:tc>
                <w:tcPr>
                  <w:tcW w:w="819" w:type="dxa"/>
                  <w:vAlign w:val="center"/>
                </w:tcPr>
                <w:p w14:paraId="68E023E2">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279.746</w:t>
                  </w:r>
                </w:p>
              </w:tc>
              <w:tc>
                <w:tcPr>
                  <w:tcW w:w="899" w:type="dxa"/>
                  <w:vAlign w:val="center"/>
                </w:tcPr>
                <w:p w14:paraId="1C0FB1D7">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31680</w:t>
                  </w:r>
                </w:p>
              </w:tc>
              <w:tc>
                <w:tcPr>
                  <w:tcW w:w="829" w:type="dxa"/>
                  <w:vAlign w:val="center"/>
                </w:tcPr>
                <w:p w14:paraId="64D9797F">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452.594</w:t>
                  </w:r>
                </w:p>
              </w:tc>
              <w:tc>
                <w:tcPr>
                  <w:tcW w:w="820" w:type="dxa"/>
                  <w:vAlign w:val="center"/>
                </w:tcPr>
                <w:p w14:paraId="12E452A6">
                  <w:pPr>
                    <w:keepNext w:val="0"/>
                    <w:keepLines w:val="0"/>
                    <w:widowControl/>
                    <w:suppressLineNumbers w:val="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2191" w:type="dxa"/>
                  <w:vAlign w:val="center"/>
                </w:tcPr>
                <w:p w14:paraId="79CE9F1B">
                  <w:pPr>
                    <w:spacing w:line="240" w:lineRule="auto"/>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6C897C6A">
            <w:pPr>
              <w:pStyle w:val="16"/>
              <w:spacing w:line="240" w:lineRule="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p>
          <w:p w14:paraId="6C70910F">
            <w:pPr>
              <w:pStyle w:val="21"/>
              <w:numPr>
                <w:ilvl w:val="4"/>
                <w:numId w:val="0"/>
              </w:numPr>
              <w:ind w:left="-960" w:firstLine="144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（4）通风系统</w:t>
            </w:r>
          </w:p>
          <w:p w14:paraId="49EF7644">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本项目主要采用自然通风或设置抽排风机进行通风，不设中央空调。</w:t>
            </w:r>
          </w:p>
          <w:p w14:paraId="43F7A5CD">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三、总平面布局合理性分析</w:t>
            </w:r>
          </w:p>
          <w:p w14:paraId="6E1A10C3">
            <w:pPr>
              <w:pStyle w:val="20"/>
              <w:numPr>
                <w:ilvl w:val="3"/>
                <w:numId w:val="0"/>
              </w:numPr>
              <w:ind w:left="480" w:left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1、用地合</w:t>
            </w:r>
            <w:r>
              <w:rPr>
                <w:rFonts w:hint="eastAsia" w:cs="Times New Roman"/>
                <w:color w:val="000000" w:themeColor="text1"/>
                <w:highlight w:val="none"/>
                <w:lang w:eastAsia="zh-CN"/>
                <w14:textFill>
                  <w14:solidFill>
                    <w14:schemeClr w14:val="tx1"/>
                  </w14:solidFill>
                </w14:textFill>
              </w:rPr>
              <w:t>理性</w:t>
            </w:r>
            <w:r>
              <w:rPr>
                <w:rFonts w:hint="default" w:ascii="Times New Roman" w:hAnsi="Times New Roman" w:cs="Times New Roman"/>
                <w:color w:val="000000" w:themeColor="text1"/>
                <w:highlight w:val="none"/>
                <w14:textFill>
                  <w14:solidFill>
                    <w14:schemeClr w14:val="tx1"/>
                  </w14:solidFill>
                </w14:textFill>
              </w:rPr>
              <w:t>、合法性分析</w:t>
            </w:r>
          </w:p>
          <w:p w14:paraId="68F569BB">
            <w:pPr>
              <w:pStyle w:val="20"/>
              <w:numPr>
                <w:ilvl w:val="3"/>
                <w:numId w:val="0"/>
              </w:numPr>
              <w:ind w:firstLine="480" w:firstLineChars="200"/>
              <w:rPr>
                <w:rFonts w:hint="default" w:ascii="Times New Roman" w:hAnsi="Times New Roman" w:cs="Times New Roman"/>
                <w:b w:val="0"/>
                <w:color w:val="000000" w:themeColor="text1"/>
                <w:szCs w:val="24"/>
                <w:highlight w:val="none"/>
                <w14:textFill>
                  <w14:solidFill>
                    <w14:schemeClr w14:val="tx1"/>
                  </w14:solidFill>
                </w14:textFill>
              </w:rPr>
            </w:pPr>
            <w:r>
              <w:rPr>
                <w:rFonts w:hint="default" w:ascii="Times New Roman" w:hAnsi="Times New Roman" w:cs="Times New Roman"/>
                <w:b w:val="0"/>
                <w:color w:val="000000" w:themeColor="text1"/>
                <w:szCs w:val="24"/>
                <w:highlight w:val="none"/>
                <w14:textFill>
                  <w14:solidFill>
                    <w14:schemeClr w14:val="tx1"/>
                  </w14:solidFill>
                </w14:textFill>
              </w:rPr>
              <w:t>建设单位拟于广东省</w:t>
            </w:r>
            <w:r>
              <w:rPr>
                <w:rFonts w:hint="eastAsia" w:cs="Times New Roman"/>
                <w:b w:val="0"/>
                <w:color w:val="000000" w:themeColor="text1"/>
                <w:szCs w:val="24"/>
                <w:highlight w:val="none"/>
                <w:lang w:eastAsia="zh-CN"/>
                <w14:textFill>
                  <w14:solidFill>
                    <w14:schemeClr w14:val="tx1"/>
                  </w14:solidFill>
                </w14:textFill>
              </w:rPr>
              <w:t>韶关市乐昌市乐昌市产业转移工业园乐园大道23号7栋1-4层</w:t>
            </w:r>
            <w:r>
              <w:rPr>
                <w:rFonts w:hint="default" w:ascii="Times New Roman" w:hAnsi="Times New Roman" w:cs="Times New Roman"/>
                <w:b w:val="0"/>
                <w:color w:val="000000" w:themeColor="text1"/>
                <w:szCs w:val="24"/>
                <w:highlight w:val="none"/>
                <w14:textFill>
                  <w14:solidFill>
                    <w14:schemeClr w14:val="tx1"/>
                  </w14:solidFill>
                </w14:textFill>
              </w:rPr>
              <w:t>进行生产，根据</w:t>
            </w:r>
            <w:r>
              <w:rPr>
                <w:rFonts w:hint="eastAsia" w:cs="Times New Roman"/>
                <w:b w:val="0"/>
                <w:color w:val="000000" w:themeColor="text1"/>
                <w:szCs w:val="24"/>
                <w:highlight w:val="none"/>
                <w:lang w:val="en-US" w:eastAsia="zh-CN"/>
                <w14:textFill>
                  <w14:solidFill>
                    <w14:schemeClr w14:val="tx1"/>
                  </w14:solidFill>
                </w14:textFill>
              </w:rPr>
              <w:t>建设项目土地利用规划图</w:t>
            </w:r>
            <w:r>
              <w:rPr>
                <w:rFonts w:hint="default" w:ascii="Times New Roman" w:hAnsi="Times New Roman" w:cs="Times New Roman"/>
                <w:b w:val="0"/>
                <w:color w:val="000000" w:themeColor="text1"/>
                <w:szCs w:val="24"/>
                <w:highlight w:val="none"/>
                <w14:textFill>
                  <w14:solidFill>
                    <w14:schemeClr w14:val="tx1"/>
                  </w14:solidFill>
                </w14:textFill>
              </w:rPr>
              <w:t>（详见附</w:t>
            </w:r>
            <w:r>
              <w:rPr>
                <w:rFonts w:hint="eastAsia" w:cs="Times New Roman"/>
                <w:b w:val="0"/>
                <w:color w:val="000000" w:themeColor="text1"/>
                <w:szCs w:val="24"/>
                <w:highlight w:val="none"/>
                <w:lang w:val="en-US" w:eastAsia="zh-CN"/>
                <w14:textFill>
                  <w14:solidFill>
                    <w14:schemeClr w14:val="tx1"/>
                  </w14:solidFill>
                </w14:textFill>
              </w:rPr>
              <w:t>图5</w:t>
            </w:r>
            <w:r>
              <w:rPr>
                <w:rFonts w:hint="default" w:ascii="Times New Roman" w:hAnsi="Times New Roman" w:cs="Times New Roman"/>
                <w:b w:val="0"/>
                <w:color w:val="000000" w:themeColor="text1"/>
                <w:szCs w:val="24"/>
                <w:highlight w:val="none"/>
                <w14:textFill>
                  <w14:solidFill>
                    <w14:schemeClr w14:val="tx1"/>
                  </w14:solidFill>
                </w14:textFill>
              </w:rPr>
              <w:t>）可知，项目用地用途为工业用地。</w:t>
            </w:r>
          </w:p>
          <w:p w14:paraId="7563EAC3">
            <w:pPr>
              <w:pStyle w:val="20"/>
              <w:numPr>
                <w:ilvl w:val="3"/>
                <w:numId w:val="0"/>
              </w:numPr>
              <w:ind w:left="480" w:left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2、四至分析</w:t>
            </w:r>
          </w:p>
          <w:p w14:paraId="0EDBC5A9">
            <w:pPr>
              <w:adjustRightInd w:val="0"/>
              <w:ind w:firstLine="480" w:firstLineChars="200"/>
              <w:rPr>
                <w:rFonts w:hint="default" w:ascii="Times New Roman" w:hAnsi="Times New Roman" w:cs="Times New Roman"/>
                <w:color w:val="000000" w:themeColor="text1"/>
                <w:highlight w:val="none"/>
                <w14:textFill>
                  <w14:solidFill>
                    <w14:schemeClr w14:val="tx1"/>
                  </w14:solidFill>
                </w14:textFill>
              </w:rPr>
            </w:pPr>
            <w:bookmarkStart w:id="19" w:name="_Toc15878"/>
            <w:bookmarkStart w:id="20" w:name="_Toc21623"/>
            <w:r>
              <w:rPr>
                <w:rFonts w:hint="default" w:ascii="Times New Roman" w:hAnsi="Times New Roman" w:cs="Times New Roman"/>
                <w:bCs/>
                <w:color w:val="000000" w:themeColor="text1"/>
                <w:highlight w:val="none"/>
                <w14:textFill>
                  <w14:solidFill>
                    <w14:schemeClr w14:val="tx1"/>
                  </w14:solidFill>
                </w14:textFill>
              </w:rPr>
              <w:t>本项目</w:t>
            </w:r>
            <w:r>
              <w:rPr>
                <w:rFonts w:hint="eastAsia" w:cs="Times New Roman"/>
                <w:bCs/>
                <w:color w:val="000000" w:themeColor="text1"/>
                <w:highlight w:val="none"/>
                <w:lang w:val="en-US" w:eastAsia="zh-CN"/>
                <w14:textFill>
                  <w14:solidFill>
                    <w14:schemeClr w14:val="tx1"/>
                  </w14:solidFill>
                </w14:textFill>
              </w:rPr>
              <w:t>周边为闲置厂房。</w:t>
            </w:r>
            <w:r>
              <w:rPr>
                <w:rFonts w:hint="default" w:ascii="Times New Roman" w:hAnsi="Times New Roman" w:cs="Times New Roman"/>
                <w:bCs/>
                <w:color w:val="000000" w:themeColor="text1"/>
                <w:highlight w:val="none"/>
                <w14:textFill>
                  <w14:solidFill>
                    <w14:schemeClr w14:val="tx1"/>
                  </w14:solidFill>
                </w14:textFill>
              </w:rPr>
              <w:t>本项目项目边界周围500m范围内</w:t>
            </w:r>
            <w:r>
              <w:rPr>
                <w:rFonts w:hint="eastAsia" w:cs="Times New Roman"/>
                <w:bCs/>
                <w:color w:val="000000" w:themeColor="text1"/>
                <w:highlight w:val="none"/>
                <w:lang w:val="en-US" w:eastAsia="zh-CN"/>
                <w14:textFill>
                  <w14:solidFill>
                    <w14:schemeClr w14:val="tx1"/>
                  </w14:solidFill>
                </w14:textFill>
              </w:rPr>
              <w:t>无</w:t>
            </w:r>
            <w:r>
              <w:rPr>
                <w:rFonts w:hint="default" w:ascii="Times New Roman" w:hAnsi="Times New Roman" w:cs="Times New Roman"/>
                <w:bCs/>
                <w:color w:val="000000" w:themeColor="text1"/>
                <w:highlight w:val="none"/>
                <w14:textFill>
                  <w14:solidFill>
                    <w14:schemeClr w14:val="tx1"/>
                  </w14:solidFill>
                </w14:textFill>
              </w:rPr>
              <w:t>医院、文物古迹、风景名胜区、自然保护区、水源保护区</w:t>
            </w:r>
            <w:r>
              <w:rPr>
                <w:rFonts w:hint="eastAsia" w:cs="Times New Roman"/>
                <w:bCs/>
                <w:color w:val="000000" w:themeColor="text1"/>
                <w:highlight w:val="none"/>
                <w:lang w:val="en-US" w:eastAsia="zh-CN"/>
                <w14:textFill>
                  <w14:solidFill>
                    <w14:schemeClr w14:val="tx1"/>
                  </w14:solidFill>
                </w14:textFill>
              </w:rPr>
              <w:t>，南侧490m为乐园小学</w:t>
            </w:r>
            <w:r>
              <w:rPr>
                <w:rFonts w:hint="default" w:ascii="Times New Roman" w:hAnsi="Times New Roman" w:cs="Times New Roman"/>
                <w:color w:val="000000" w:themeColor="text1"/>
                <w:highlight w:val="none"/>
                <w14:textFill>
                  <w14:solidFill>
                    <w14:schemeClr w14:val="tx1"/>
                  </w14:solidFill>
                </w14:textFill>
              </w:rPr>
              <w:t>。</w:t>
            </w:r>
            <w:bookmarkEnd w:id="19"/>
            <w:bookmarkEnd w:id="20"/>
          </w:p>
          <w:p w14:paraId="68BE332B">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3、总平面布局</w:t>
            </w:r>
          </w:p>
          <w:p w14:paraId="2AD81BB3">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本项目由生产</w:t>
            </w:r>
            <w:r>
              <w:rPr>
                <w:rFonts w:hint="eastAsia" w:cs="Times New Roman"/>
                <w:b w:val="0"/>
                <w:bCs w:val="0"/>
                <w:color w:val="000000" w:themeColor="text1"/>
                <w:highlight w:val="none"/>
                <w:lang w:val="en-US" w:eastAsia="zh-CN"/>
                <w14:textFill>
                  <w14:solidFill>
                    <w14:schemeClr w14:val="tx1"/>
                  </w14:solidFill>
                </w14:textFill>
              </w:rPr>
              <w:t>厂房、办公区、仓库等</w:t>
            </w:r>
            <w:r>
              <w:rPr>
                <w:rFonts w:hint="default" w:ascii="Times New Roman" w:hAnsi="Times New Roman" w:cs="Times New Roman"/>
                <w:b w:val="0"/>
                <w:bCs w:val="0"/>
                <w:color w:val="000000" w:themeColor="text1"/>
                <w:highlight w:val="none"/>
                <w14:textFill>
                  <w14:solidFill>
                    <w14:schemeClr w14:val="tx1"/>
                  </w14:solidFill>
                </w14:textFill>
              </w:rPr>
              <w:t>建筑物组成，各区用途分明，布局紧凑，原料统一存放，便于物料的管理和风险控制，该区域地面设置防渗层，防止泄漏时下渗，防止污染土壤和地下水；</w:t>
            </w:r>
            <w:r>
              <w:rPr>
                <w:rFonts w:hint="eastAsia" w:cs="Times New Roman"/>
                <w:b w:val="0"/>
                <w:bCs w:val="0"/>
                <w:color w:val="000000" w:themeColor="text1"/>
                <w:highlight w:val="none"/>
                <w:lang w:val="en-US" w:eastAsia="zh-CN"/>
                <w14:textFill>
                  <w14:solidFill>
                    <w14:schemeClr w14:val="tx1"/>
                  </w14:solidFill>
                </w14:textFill>
              </w:rPr>
              <w:t>生产</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废气排气筒DA00</w:t>
            </w:r>
            <w:r>
              <w:rPr>
                <w:rFonts w:hint="eastAsia"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设置在</w:t>
            </w:r>
            <w:r>
              <w:rPr>
                <w:rFonts w:hint="eastAsia" w:cs="Times New Roman"/>
                <w:b w:val="0"/>
                <w:bCs/>
                <w:color w:val="000000" w:themeColor="text1"/>
                <w:sz w:val="24"/>
                <w:szCs w:val="24"/>
                <w:highlight w:val="none"/>
                <w:lang w:val="en-US" w:eastAsia="zh-CN"/>
                <w14:textFill>
                  <w14:solidFill>
                    <w14:schemeClr w14:val="tx1"/>
                  </w14:solidFill>
                </w14:textFill>
              </w:rPr>
              <w:t>生产</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车间</w:t>
            </w:r>
            <w:r>
              <w:rPr>
                <w:rFonts w:hint="eastAsia" w:cs="Times New Roman"/>
                <w:b w:val="0"/>
                <w:bCs/>
                <w:color w:val="000000" w:themeColor="text1"/>
                <w:sz w:val="24"/>
                <w:szCs w:val="24"/>
                <w:highlight w:val="none"/>
                <w:lang w:val="en-US" w:eastAsia="zh-CN"/>
                <w14:textFill>
                  <w14:solidFill>
                    <w14:schemeClr w14:val="tx1"/>
                  </w14:solidFill>
                </w14:textFill>
              </w:rPr>
              <w:t>北侧</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highlight w:val="none"/>
                <w14:textFill>
                  <w14:solidFill>
                    <w14:schemeClr w14:val="tx1"/>
                  </w14:solidFill>
                </w14:textFill>
              </w:rPr>
              <w:t>本项目</w:t>
            </w:r>
            <w:r>
              <w:rPr>
                <w:rFonts w:hint="eastAsia" w:cs="Times New Roman"/>
                <w:b w:val="0"/>
                <w:bCs w:val="0"/>
                <w:color w:val="000000" w:themeColor="text1"/>
                <w:highlight w:val="none"/>
                <w:lang w:val="en-US" w:eastAsia="zh-CN"/>
                <w14:textFill>
                  <w14:solidFill>
                    <w14:schemeClr w14:val="tx1"/>
                  </w14:solidFill>
                </w14:textFill>
              </w:rPr>
              <w:t>位于工业园区，四周用地以</w:t>
            </w:r>
            <w:r>
              <w:rPr>
                <w:rFonts w:hint="default" w:ascii="Times New Roman" w:hAnsi="Times New Roman" w:cs="Times New Roman"/>
                <w:b w:val="0"/>
                <w:bCs w:val="0"/>
                <w:color w:val="000000" w:themeColor="text1"/>
                <w:highlight w:val="none"/>
                <w14:textFill>
                  <w14:solidFill>
                    <w14:schemeClr w14:val="tx1"/>
                  </w14:solidFill>
                </w14:textFill>
              </w:rPr>
              <w:t>建设用地为主，因此本项目建设能与周边环境协调一致，项目四至情况卫星图见附图2，周边环境现状实景见附图13。</w:t>
            </w:r>
          </w:p>
        </w:tc>
      </w:tr>
      <w:tr w14:paraId="2EFE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6" w:hRule="atLeast"/>
        </w:trPr>
        <w:tc>
          <w:tcPr>
            <w:tcW w:w="238" w:type="pct"/>
            <w:vAlign w:val="center"/>
          </w:tcPr>
          <w:p w14:paraId="42D7F5E3">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21" w:name="_Toc25729"/>
            <w:bookmarkStart w:id="22" w:name="_Toc22477"/>
            <w:bookmarkStart w:id="23" w:name="_Toc7091"/>
            <w:bookmarkStart w:id="24" w:name="_Toc29759"/>
            <w:bookmarkStart w:id="25" w:name="_Toc14179"/>
            <w:r>
              <w:rPr>
                <w:rFonts w:hint="default" w:ascii="Times New Roman" w:hAnsi="Times New Roman" w:cs="Times New Roman"/>
                <w:color w:val="000000" w:themeColor="text1"/>
                <w:highlight w:val="none"/>
                <w14:textFill>
                  <w14:solidFill>
                    <w14:schemeClr w14:val="tx1"/>
                  </w14:solidFill>
                </w14:textFill>
              </w:rPr>
              <w:t>工艺流程和产排污环节</w:t>
            </w:r>
            <w:bookmarkEnd w:id="21"/>
            <w:bookmarkEnd w:id="22"/>
            <w:bookmarkEnd w:id="23"/>
            <w:bookmarkEnd w:id="24"/>
            <w:bookmarkEnd w:id="25"/>
          </w:p>
        </w:tc>
        <w:tc>
          <w:tcPr>
            <w:tcW w:w="4761" w:type="pct"/>
          </w:tcPr>
          <w:p w14:paraId="74F09C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一、</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工艺流程</w:t>
            </w:r>
          </w:p>
          <w:p w14:paraId="059D07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运营期工艺</w:t>
            </w: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流程</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及产污</w:t>
            </w:r>
            <w:r>
              <w:rPr>
                <w:rFonts w:hint="default" w:ascii="Times New Roman" w:hAnsi="Times New Roman" w:cs="Times New Roman"/>
                <w:b/>
                <w:bCs w:val="0"/>
                <w:color w:val="000000" w:themeColor="text1"/>
                <w:sz w:val="24"/>
                <w:szCs w:val="24"/>
                <w:highlight w:val="none"/>
                <w:lang w:eastAsia="zh-CN"/>
                <w14:textFill>
                  <w14:solidFill>
                    <w14:schemeClr w14:val="tx1"/>
                  </w14:solidFill>
                </w14:textFill>
              </w:rPr>
              <w:t>环节</w:t>
            </w:r>
          </w:p>
          <w:p w14:paraId="492CC74E">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w:t>
            </w:r>
            <w:r>
              <w:rPr>
                <w:rFonts w:hint="eastAsia" w:cs="Times New Roman"/>
                <w:b/>
                <w:bCs/>
                <w:color w:val="000000" w:themeColor="text1"/>
                <w:highlight w:val="none"/>
                <w:lang w:val="en-US" w:eastAsia="zh-CN"/>
                <w14:textFill>
                  <w14:solidFill>
                    <w14:schemeClr w14:val="tx1"/>
                  </w14:solidFill>
                </w14:textFill>
              </w:rPr>
              <w:t>炼胶成型</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工艺流程</w:t>
            </w:r>
          </w:p>
          <w:p w14:paraId="4AA9844B">
            <w:pPr>
              <w:pageBreakBefore w:val="0"/>
              <w:numPr>
                <w:ilvl w:val="0"/>
                <w:numId w:val="0"/>
              </w:numPr>
              <w:tabs>
                <w:tab w:val="left" w:pos="420"/>
              </w:tabs>
              <w:kinsoku/>
              <w:overflowPunct/>
              <w:topLinePunct w:val="0"/>
              <w:bidi w:val="0"/>
              <w:snapToGrid/>
              <w:jc w:val="center"/>
              <w:outlineLvl w:val="9"/>
              <w:rPr>
                <w:rFonts w:hint="default" w:ascii="Times New Roman" w:hAnsi="Times New Roman" w:eastAsia="宋体" w:cs="Times New Roman"/>
                <w:color w:val="000000" w:themeColor="text1"/>
                <w:highlight w:val="none"/>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382270</wp:posOffset>
                      </wp:positionH>
                      <wp:positionV relativeFrom="paragraph">
                        <wp:posOffset>671830</wp:posOffset>
                      </wp:positionV>
                      <wp:extent cx="1489075" cy="571500"/>
                      <wp:effectExtent l="0" t="0" r="15875" b="0"/>
                      <wp:wrapNone/>
                      <wp:docPr id="12" name="文本框 12"/>
                      <wp:cNvGraphicFramePr/>
                      <a:graphic xmlns:a="http://schemas.openxmlformats.org/drawingml/2006/main">
                        <a:graphicData uri="http://schemas.microsoft.com/office/word/2010/wordprocessingShape">
                          <wps:wsp>
                            <wps:cNvSpPr txBox="1"/>
                            <wps:spPr>
                              <a:xfrm>
                                <a:off x="2000250" y="2473960"/>
                                <a:ext cx="1489075" cy="5715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0622EA">
                                  <w:pPr>
                                    <w:rPr>
                                      <w:rFonts w:hint="default" w:eastAsia="宋体"/>
                                      <w:sz w:val="20"/>
                                      <w:szCs w:val="20"/>
                                      <w:lang w:val="en-US" w:eastAsia="zh-CN"/>
                                    </w:rPr>
                                  </w:pPr>
                                  <w:r>
                                    <w:rPr>
                                      <w:rFonts w:hint="eastAsia"/>
                                      <w:sz w:val="20"/>
                                      <w:szCs w:val="20"/>
                                      <w:lang w:val="en-US" w:eastAsia="zh-CN"/>
                                    </w:rPr>
                                    <w:t>有机废气、臭气浓度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pt;margin-top:52.9pt;height:45pt;width:117.25pt;z-index:251663360;mso-width-relative:page;mso-height-relative:page;" fillcolor="#FFFFFF [3201]" filled="t" stroked="f" coordsize="21600,21600" o:gfxdata="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hwlsC1AAA&#10;AAoBAAAPAAAAAAAAAAEAIAAAACIAAABkcnMvZG93bnJldi54bWxQSwECFAAUAAAACACHTuJAhA3v&#10;D1sCAACdBAAADgAAAAAAAAABACAAAAAjAQAAZHJzL2Uyb0RvYy54bWxQSwUGAAAAAAYABgBZAQAA&#10;8AUAAAAA&#10;">
                      <v:fill on="t" focussize="0,0"/>
                      <v:stroke on="f" weight="0.5pt"/>
                      <v:imagedata o:title=""/>
                      <o:lock v:ext="edit" aspectratio="f"/>
                      <v:textbox>
                        <w:txbxContent>
                          <w:p w14:paraId="7D0622EA">
                            <w:pPr>
                              <w:rPr>
                                <w:rFonts w:hint="default" w:eastAsia="宋体"/>
                                <w:sz w:val="20"/>
                                <w:szCs w:val="20"/>
                                <w:lang w:val="en-US" w:eastAsia="zh-CN"/>
                              </w:rPr>
                            </w:pPr>
                            <w:r>
                              <w:rPr>
                                <w:rFonts w:hint="eastAsia"/>
                                <w:sz w:val="20"/>
                                <w:szCs w:val="20"/>
                                <w:lang w:val="en-US" w:eastAsia="zh-CN"/>
                              </w:rPr>
                              <w:t>有机废气、臭气浓度</w:t>
                            </w:r>
                          </w:p>
                        </w:txbxContent>
                      </v:textbox>
                    </v:shape>
                  </w:pict>
                </mc:Fallback>
              </mc:AlternateContent>
            </w:r>
            <w:r>
              <w:rPr>
                <w:rFonts w:hint="default" w:ascii="Times New Roman" w:hAnsi="Times New Roman" w:eastAsia="宋体" w:cs="Times New Roman"/>
                <w:color w:val="000000" w:themeColor="text1"/>
                <w:highlight w:val="none"/>
                <w:lang w:eastAsia="zh-CN"/>
                <w14:textFill>
                  <w14:solidFill>
                    <w14:schemeClr w14:val="tx1"/>
                  </w14:solidFill>
                </w14:textFill>
              </w:rPr>
              <w:drawing>
                <wp:inline distT="0" distB="0" distL="0" distR="0">
                  <wp:extent cx="4229100" cy="2838450"/>
                  <wp:effectExtent l="0" t="0" r="0" b="0"/>
                  <wp:docPr id="1029" name="图片 112" descr="图片1"/>
                  <wp:cNvGraphicFramePr/>
                  <a:graphic xmlns:a="http://schemas.openxmlformats.org/drawingml/2006/main">
                    <a:graphicData uri="http://schemas.openxmlformats.org/drawingml/2006/picture">
                      <pic:pic xmlns:pic="http://schemas.openxmlformats.org/drawingml/2006/picture">
                        <pic:nvPicPr>
                          <pic:cNvPr id="1029" name="图片 112" descr="图片1"/>
                          <pic:cNvPicPr/>
                        </pic:nvPicPr>
                        <pic:blipFill>
                          <a:blip r:embed="rId15" cstate="print"/>
                          <a:srcRect/>
                          <a:stretch>
                            <a:fillRect/>
                          </a:stretch>
                        </pic:blipFill>
                        <pic:spPr>
                          <a:xfrm>
                            <a:off x="0" y="0"/>
                            <a:ext cx="4229100" cy="2838450"/>
                          </a:xfrm>
                          <a:prstGeom prst="rect">
                            <a:avLst/>
                          </a:prstGeom>
                        </pic:spPr>
                      </pic:pic>
                    </a:graphicData>
                  </a:graphic>
                </wp:inline>
              </w:drawing>
            </w:r>
          </w:p>
          <w:p w14:paraId="75735878">
            <w:pPr>
              <w:pStyle w:val="16"/>
              <w:pageBreakBefore w:val="0"/>
              <w:kinsoku/>
              <w:overflowPunct/>
              <w:topLinePunct w:val="0"/>
              <w:bidi w:val="0"/>
              <w:snapToGrid/>
              <w:spacing w:line="240" w:lineRule="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图</w:t>
            </w:r>
            <w:r>
              <w:rPr>
                <w:rFonts w:hint="default" w:ascii="Times New Roman" w:hAnsi="Times New Roman" w:cs="Times New Roman"/>
                <w:color w:val="000000" w:themeColor="text1"/>
                <w:highlight w:val="none"/>
                <w14:textFill>
                  <w14:solidFill>
                    <w14:schemeClr w14:val="tx1"/>
                  </w14:solidFill>
                </w14:textFill>
              </w:rPr>
              <w:fldChar w:fldCharType="begin"/>
            </w:r>
            <w:r>
              <w:rPr>
                <w:rFonts w:hint="default" w:ascii="Times New Roman" w:hAnsi="Times New Roman" w:cs="Times New Roman"/>
                <w:color w:val="000000" w:themeColor="text1"/>
                <w:highlight w:val="none"/>
                <w14:textFill>
                  <w14:solidFill>
                    <w14:schemeClr w14:val="tx1"/>
                  </w14:solidFill>
                </w14:textFill>
              </w:rPr>
              <w:instrText xml:space="preserve"> STYLEREF 1 \s </w:instrText>
            </w:r>
            <w:r>
              <w:rPr>
                <w:rFonts w:hint="default" w:ascii="Times New Roman" w:hAnsi="Times New Roman" w:cs="Times New Roman"/>
                <w:color w:val="000000" w:themeColor="text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fldChar w:fldCharType="end"/>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炼胶成型</w:t>
            </w:r>
            <w:r>
              <w:rPr>
                <w:rFonts w:hint="default" w:ascii="Times New Roman" w:hAnsi="Times New Roman" w:cs="Times New Roman"/>
                <w:color w:val="000000" w:themeColor="text1"/>
                <w:highlight w:val="none"/>
                <w14:textFill>
                  <w14:solidFill>
                    <w14:schemeClr w14:val="tx1"/>
                  </w14:solidFill>
                </w14:textFill>
              </w:rPr>
              <w:t>生产工艺</w:t>
            </w:r>
            <w:r>
              <w:rPr>
                <w:rFonts w:hint="eastAsia" w:cs="Times New Roman"/>
                <w:color w:val="000000" w:themeColor="text1"/>
                <w:highlight w:val="none"/>
                <w:lang w:val="en-US" w:eastAsia="zh-CN"/>
                <w14:textFill>
                  <w14:solidFill>
                    <w14:schemeClr w14:val="tx1"/>
                  </w14:solidFill>
                </w14:textFill>
              </w:rPr>
              <w:t>及产污节点</w:t>
            </w:r>
            <w:r>
              <w:rPr>
                <w:rFonts w:hint="default" w:ascii="Times New Roman" w:hAnsi="Times New Roman" w:cs="Times New Roman"/>
                <w:color w:val="000000" w:themeColor="text1"/>
                <w:highlight w:val="none"/>
                <w14:textFill>
                  <w14:solidFill>
                    <w14:schemeClr w14:val="tx1"/>
                  </w14:solidFill>
                </w14:textFill>
              </w:rPr>
              <w:t>图</w:t>
            </w:r>
          </w:p>
          <w:p w14:paraId="52796F5A">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工艺</w:t>
            </w:r>
            <w:r>
              <w:rPr>
                <w:rFonts w:hint="default" w:ascii="Times New Roman" w:hAnsi="Times New Roman" w:cs="Times New Roman"/>
                <w:b/>
                <w:bCs/>
                <w:color w:val="000000" w:themeColor="text1"/>
                <w:highlight w:val="none"/>
                <w:lang w:eastAsia="zh-CN"/>
                <w14:textFill>
                  <w14:solidFill>
                    <w14:schemeClr w14:val="tx1"/>
                  </w14:solidFill>
                </w14:textFill>
              </w:rPr>
              <w:t>流程简述</w:t>
            </w:r>
            <w:r>
              <w:rPr>
                <w:rFonts w:hint="default" w:ascii="Times New Roman" w:hAnsi="Times New Roman" w:cs="Times New Roman"/>
                <w:b/>
                <w:bCs/>
                <w:color w:val="000000" w:themeColor="text1"/>
                <w:highlight w:val="none"/>
                <w14:textFill>
                  <w14:solidFill>
                    <w14:schemeClr w14:val="tx1"/>
                  </w14:solidFill>
                </w14:textFill>
              </w:rPr>
              <w:t>：</w:t>
            </w:r>
          </w:p>
          <w:p w14:paraId="53EAD3AA">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①</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属于机械塑炼法，固态硅胶、</w:t>
            </w:r>
            <w:r>
              <w:rPr>
                <w:rFonts w:hint="eastAsia" w:ascii="宋体" w:hAnsi="宋体" w:cs="宋体"/>
                <w:color w:val="000000" w:themeColor="text1"/>
                <w:kern w:val="0"/>
                <w:sz w:val="24"/>
                <w:szCs w:val="24"/>
                <w:lang w:val="en-US" w:eastAsia="zh-CN"/>
                <w14:textFill>
                  <w14:solidFill>
                    <w14:schemeClr w14:val="tx1"/>
                  </w14:solidFill>
                </w14:textFill>
              </w:rPr>
              <w:t>色母</w:t>
            </w:r>
            <w:r>
              <w:rPr>
                <w:rFonts w:hint="eastAsia" w:ascii="宋体" w:hAnsi="宋体" w:eastAsia="宋体" w:cs="宋体"/>
                <w:color w:val="000000" w:themeColor="text1"/>
                <w:kern w:val="0"/>
                <w:sz w:val="24"/>
                <w:szCs w:val="24"/>
                <w:lang w:val="en-US" w:eastAsia="zh-CN"/>
                <w14:textFill>
                  <w14:solidFill>
                    <w14:schemeClr w14:val="tx1"/>
                  </w14:solidFill>
                </w14:textFill>
              </w:rPr>
              <w:t>加入</w:t>
            </w:r>
            <w:r>
              <w:rPr>
                <w:rFonts w:hint="eastAsia" w:ascii="宋体" w:hAnsi="宋体" w:cs="宋体"/>
                <w:color w:val="000000" w:themeColor="text1"/>
                <w:kern w:val="0"/>
                <w:sz w:val="24"/>
                <w:szCs w:val="24"/>
                <w:lang w:val="en-US" w:eastAsia="zh-CN"/>
                <w14:textFill>
                  <w14:solidFill>
                    <w14:schemeClr w14:val="tx1"/>
                  </w14:solidFill>
                </w14:textFill>
              </w:rPr>
              <w:t>炼胶机</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热炼，炼胶次数为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14:textFill>
                  <w14:solidFill>
                    <w14:schemeClr w14:val="tx1"/>
                  </w14:solidFill>
                </w14:textFill>
              </w:rPr>
              <w:t>次，提高胶料的均匀性和热塑性，使胶料容易压出。</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机热炼辊温为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50℃</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，辊距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6-10mm</w:t>
            </w:r>
            <w:r>
              <w:rPr>
                <w:rFonts w:hint="eastAsia" w:ascii="宋体" w:hAnsi="宋体" w:eastAsia="宋体" w:cs="宋体"/>
                <w:color w:val="000000" w:themeColor="text1"/>
                <w:kern w:val="0"/>
                <w:sz w:val="24"/>
                <w:szCs w:val="24"/>
                <w:lang w:val="en-US" w:eastAsia="zh-CN"/>
                <w14:textFill>
                  <w14:solidFill>
                    <w14:schemeClr w14:val="tx1"/>
                  </w14:solidFill>
                </w14:textFill>
              </w:rPr>
              <w:t>。其压片条件为上辊温、下辊温和中辊温均为</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50℃</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炼胶</w:t>
            </w:r>
            <w:r>
              <w:rPr>
                <w:rFonts w:hint="eastAsia" w:ascii="宋体" w:hAnsi="宋体" w:eastAsia="宋体" w:cs="宋体"/>
                <w:color w:val="000000" w:themeColor="text1"/>
                <w:kern w:val="0"/>
                <w:sz w:val="24"/>
                <w:szCs w:val="24"/>
                <w:lang w:val="en-US" w:eastAsia="zh-CN"/>
                <w14:textFill>
                  <w14:solidFill>
                    <w14:schemeClr w14:val="tx1"/>
                  </w14:solidFill>
                </w14:textFill>
              </w:rPr>
              <w:t>机采用水进行</w:t>
            </w:r>
            <w:r>
              <w:rPr>
                <w:rFonts w:hint="eastAsia" w:ascii="宋体" w:hAnsi="宋体" w:cs="宋体"/>
                <w:color w:val="000000" w:themeColor="text1"/>
                <w:kern w:val="0"/>
                <w:sz w:val="24"/>
                <w:szCs w:val="24"/>
                <w:lang w:val="en-US" w:eastAsia="zh-CN"/>
                <w14:textFill>
                  <w14:solidFill>
                    <w14:schemeClr w14:val="tx1"/>
                  </w14:solidFill>
                </w14:textFill>
              </w:rPr>
              <w:t>间接</w:t>
            </w:r>
            <w:r>
              <w:rPr>
                <w:rFonts w:hint="eastAsia" w:ascii="宋体" w:hAnsi="宋体" w:eastAsia="宋体" w:cs="宋体"/>
                <w:color w:val="000000" w:themeColor="text1"/>
                <w:kern w:val="0"/>
                <w:sz w:val="24"/>
                <w:szCs w:val="24"/>
                <w:lang w:val="en-US" w:eastAsia="zh-CN"/>
                <w14:textFill>
                  <w14:solidFill>
                    <w14:schemeClr w14:val="tx1"/>
                  </w14:solidFill>
                </w14:textFill>
              </w:rPr>
              <w:t>冷却，冷却水循环使用，不外排。此过程中会产生有机废气和臭气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094BD88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②压片：将炼胶放入压片机中的滚轮进行挤压出片，制成一定规格厚度的胶片，便于后续加工。压片机设备中配套的套管由冷却水进行间接冷却，使内部温度维持在室温。此过程中不产生污染物。</w:t>
            </w:r>
          </w:p>
          <w:p w14:paraId="7C265D61">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③切料：项目将压片好的硅胶料使用切料机裁切成所需大小尺寸，该工序产生硅胶边角料。</w:t>
            </w:r>
          </w:p>
          <w:p w14:paraId="780B3FB5">
            <w:pPr>
              <w:ind w:firstLine="480" w:firstLineChars="200"/>
              <w:rPr>
                <w:b w:val="0"/>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④硫化成型：项目使用有机过氧化物作为硫化剂。当加热到一定温度时，过氧化物分解产生自由基，这些自由基引发硅橡胶分子链上的甲基（或乙烯基）与其他分子链发生交联反应，形成三维网络结构，从而增强材料的机械性能和稳定性。</w:t>
            </w:r>
            <w:r>
              <w:rPr>
                <w:rFonts w:hint="eastAsia"/>
                <w:b w:val="0"/>
                <w:color w:val="000000" w:themeColor="text1"/>
                <w14:textFill>
                  <w14:solidFill>
                    <w14:schemeClr w14:val="tx1"/>
                  </w14:solidFill>
                </w14:textFill>
              </w:rPr>
              <w:t>具体反应流程及反应机理如下图所示。</w:t>
            </w:r>
          </w:p>
          <w:p w14:paraId="2F3E8B9C">
            <w:pPr>
              <w:pStyle w:val="75"/>
              <w:adjustRightInd w:val="0"/>
              <w:snapToGrid w:val="0"/>
              <w:spacing w:before="0" w:beforeAutospacing="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662045" cy="3070860"/>
                  <wp:effectExtent l="0" t="0" r="14605" b="15240"/>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16"/>
                          <a:stretch>
                            <a:fillRect/>
                          </a:stretch>
                        </pic:blipFill>
                        <pic:spPr>
                          <a:xfrm>
                            <a:off x="0" y="0"/>
                            <a:ext cx="3662045" cy="3070860"/>
                          </a:xfrm>
                          <a:prstGeom prst="rect">
                            <a:avLst/>
                          </a:prstGeom>
                          <a:noFill/>
                          <a:ln>
                            <a:noFill/>
                          </a:ln>
                        </pic:spPr>
                      </pic:pic>
                    </a:graphicData>
                  </a:graphic>
                </wp:inline>
              </w:drawing>
            </w:r>
          </w:p>
          <w:p w14:paraId="084A843E">
            <w:pPr>
              <w:pStyle w:val="75"/>
              <w:adjustRightInd w:val="0"/>
              <w:snapToGrid w:val="0"/>
              <w:spacing w:before="0" w:before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图</w:t>
            </w:r>
            <w:r>
              <w:rPr>
                <w:rFonts w:hint="eastAsia"/>
                <w:color w:val="000000" w:themeColor="text1"/>
                <w:sz w:val="21"/>
                <w:szCs w:val="21"/>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4</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项目橡胶过氧化物硫化反应流程图</w:t>
            </w:r>
          </w:p>
          <w:p w14:paraId="6B48CB88">
            <w:pPr>
              <w:pStyle w:val="75"/>
              <w:adjustRightInd w:val="0"/>
              <w:snapToGrid w:val="0"/>
              <w:spacing w:before="0" w:beforeAutospacing="0"/>
              <w:jc w:val="center"/>
              <w:rPr>
                <w:b w:val="0"/>
                <w:bCs/>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13325" cy="3175000"/>
                  <wp:effectExtent l="0" t="0" r="15875" b="635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17"/>
                          <a:stretch>
                            <a:fillRect/>
                          </a:stretch>
                        </pic:blipFill>
                        <pic:spPr>
                          <a:xfrm>
                            <a:off x="0" y="0"/>
                            <a:ext cx="5013325" cy="3175000"/>
                          </a:xfrm>
                          <a:prstGeom prst="rect">
                            <a:avLst/>
                          </a:prstGeom>
                          <a:noFill/>
                          <a:ln>
                            <a:noFill/>
                          </a:ln>
                        </pic:spPr>
                      </pic:pic>
                    </a:graphicData>
                  </a:graphic>
                </wp:inline>
              </w:drawing>
            </w:r>
          </w:p>
          <w:p w14:paraId="7E838D78">
            <w:pPr>
              <w:pStyle w:val="75"/>
              <w:adjustRightInd w:val="0"/>
              <w:snapToGrid w:val="0"/>
              <w:spacing w:before="0" w:beforeAutospacing="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图2-</w:t>
            </w:r>
            <w:r>
              <w:rPr>
                <w:rFonts w:hint="eastAsia"/>
                <w:color w:val="000000" w:themeColor="text1"/>
                <w:sz w:val="21"/>
                <w:szCs w:val="21"/>
                <w:lang w:val="en-US" w:eastAsia="zh-CN"/>
                <w14:textFill>
                  <w14:solidFill>
                    <w14:schemeClr w14:val="tx1"/>
                  </w14:solidFill>
                </w14:textFill>
              </w:rPr>
              <w:t>5</w:t>
            </w:r>
            <w:r>
              <w:rPr>
                <w:rFonts w:hint="eastAsia"/>
                <w:color w:val="000000" w:themeColor="text1"/>
                <w:sz w:val="21"/>
                <w:szCs w:val="21"/>
                <w14:textFill>
                  <w14:solidFill>
                    <w14:schemeClr w14:val="tx1"/>
                  </w14:solidFill>
                </w14:textFill>
              </w:rPr>
              <w:t xml:space="preserve"> 项目橡胶过氧化物硫化反应机理</w:t>
            </w:r>
          </w:p>
          <w:p w14:paraId="2D0F389A">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项目在生产过程中将裁切好的固态硅胶料或与硫化剂充分混合的液态硅胶放置在硅胶成型机的模具内进行加热，经加热和压力作用使硅胶料硫化成型，并加工成所需的形状。该硫化过程工作温度约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130-200℃ </w:t>
            </w:r>
            <w:r>
              <w:rPr>
                <w:rFonts w:hint="eastAsia" w:ascii="宋体" w:hAnsi="宋体" w:eastAsia="宋体" w:cs="宋体"/>
                <w:color w:val="000000" w:themeColor="text1"/>
                <w:kern w:val="0"/>
                <w:sz w:val="24"/>
                <w:szCs w:val="24"/>
                <w:lang w:val="en-US" w:eastAsia="zh-CN"/>
                <w14:textFill>
                  <w14:solidFill>
                    <w14:schemeClr w14:val="tx1"/>
                  </w14:solidFill>
                </w14:textFill>
              </w:rPr>
              <w:t>，其中项所使用的液态硅胶主要成</w:t>
            </w:r>
            <w:r>
              <w:rPr>
                <w:rFonts w:hint="eastAsia" w:ascii="宋体" w:hAnsi="宋体" w:cs="宋体"/>
                <w:color w:val="000000" w:themeColor="text1"/>
                <w:kern w:val="0"/>
                <w:sz w:val="24"/>
                <w:szCs w:val="24"/>
                <w:lang w:val="en-US" w:eastAsia="zh-CN"/>
                <w14:textFill>
                  <w14:solidFill>
                    <w14:schemeClr w14:val="tx1"/>
                  </w14:solidFill>
                </w14:textFill>
              </w:rPr>
              <w:t>分</w:t>
            </w:r>
            <w:r>
              <w:rPr>
                <w:rFonts w:hint="eastAsia" w:ascii="宋体" w:hAnsi="宋体" w:eastAsia="宋体" w:cs="宋体"/>
                <w:color w:val="000000" w:themeColor="text1"/>
                <w:kern w:val="0"/>
                <w:sz w:val="24"/>
                <w:szCs w:val="24"/>
                <w:lang w:val="en-US" w:eastAsia="zh-CN"/>
                <w14:textFill>
                  <w14:solidFill>
                    <w14:schemeClr w14:val="tx1"/>
                  </w14:solidFill>
                </w14:textFill>
              </w:rPr>
              <w:t>单乙烯基封端的二甲基（硅氧烷与聚硅氧烷）、白炭黑；固态硅胶主要成</w:t>
            </w:r>
            <w:r>
              <w:rPr>
                <w:rFonts w:hint="eastAsia" w:ascii="宋体" w:hAnsi="宋体" w:cs="宋体"/>
                <w:color w:val="000000" w:themeColor="text1"/>
                <w:kern w:val="0"/>
                <w:sz w:val="24"/>
                <w:szCs w:val="24"/>
                <w:lang w:val="en-US" w:eastAsia="zh-CN"/>
                <w14:textFill>
                  <w14:solidFill>
                    <w14:schemeClr w14:val="tx1"/>
                  </w14:solidFill>
                </w14:textFill>
              </w:rPr>
              <w:t>分</w:t>
            </w:r>
            <w:r>
              <w:rPr>
                <w:rFonts w:hint="eastAsia" w:ascii="宋体" w:hAnsi="宋体" w:eastAsia="宋体" w:cs="宋体"/>
                <w:color w:val="000000" w:themeColor="text1"/>
                <w:kern w:val="0"/>
                <w:sz w:val="24"/>
                <w:szCs w:val="24"/>
                <w:lang w:val="en-US" w:eastAsia="zh-CN"/>
                <w14:textFill>
                  <w14:solidFill>
                    <w14:schemeClr w14:val="tx1"/>
                  </w14:solidFill>
                </w14:textFill>
              </w:rPr>
              <w:t>为聚甲基乙烯基硅氧烷，白炭黑、羟基硅油；硫化剂主要成</w:t>
            </w:r>
            <w:r>
              <w:rPr>
                <w:rFonts w:hint="eastAsia" w:ascii="宋体" w:hAnsi="宋体" w:cs="宋体"/>
                <w:color w:val="000000" w:themeColor="text1"/>
                <w:kern w:val="0"/>
                <w:sz w:val="24"/>
                <w:szCs w:val="24"/>
                <w:lang w:val="en-US" w:eastAsia="zh-CN"/>
                <w14:textFill>
                  <w14:solidFill>
                    <w14:schemeClr w14:val="tx1"/>
                  </w14:solidFill>
                </w14:textFill>
              </w:rPr>
              <w:t>分</w:t>
            </w:r>
            <w:r>
              <w:rPr>
                <w:rFonts w:hint="eastAsia" w:ascii="宋体" w:hAnsi="宋体" w:eastAsia="宋体" w:cs="宋体"/>
                <w:color w:val="000000" w:themeColor="text1"/>
                <w:kern w:val="0"/>
                <w:sz w:val="24"/>
                <w:szCs w:val="24"/>
                <w:lang w:val="en-US" w:eastAsia="zh-CN"/>
                <w14:textFill>
                  <w14:solidFill>
                    <w14:schemeClr w14:val="tx1"/>
                  </w14:solidFill>
                </w14:textFill>
              </w:rPr>
              <w:t>为甲基乙烯基聚硅氧烷、交联剂（过氧化二叔丁基）、抗黄剂（聚甲基氢硅氧烷），根据原辅材料主要成</w:t>
            </w:r>
            <w:r>
              <w:rPr>
                <w:rFonts w:hint="eastAsia" w:ascii="宋体" w:hAnsi="宋体" w:cs="宋体"/>
                <w:color w:val="000000" w:themeColor="text1"/>
                <w:kern w:val="0"/>
                <w:sz w:val="24"/>
                <w:szCs w:val="24"/>
                <w:lang w:val="en-US" w:eastAsia="zh-CN"/>
                <w14:textFill>
                  <w14:solidFill>
                    <w14:schemeClr w14:val="tx1"/>
                  </w14:solidFill>
                </w14:textFill>
              </w:rPr>
              <w:t>分</w:t>
            </w:r>
            <w:r>
              <w:rPr>
                <w:rFonts w:hint="eastAsia" w:ascii="宋体" w:hAnsi="宋体" w:eastAsia="宋体" w:cs="宋体"/>
                <w:color w:val="000000" w:themeColor="text1"/>
                <w:kern w:val="0"/>
                <w:sz w:val="24"/>
                <w:szCs w:val="24"/>
                <w:lang w:val="en-US" w:eastAsia="zh-CN"/>
                <w14:textFill>
                  <w14:solidFill>
                    <w14:schemeClr w14:val="tx1"/>
                  </w14:solidFill>
                </w14:textFill>
              </w:rPr>
              <w:t>分析，在高温条件下，该工序产生污染物主要为有机废气和臭气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29C9742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⑤二次硫化：为了改善材料的性能并确保其长期稳定性和可靠性，橡胶制品需进行二次硫化，橡胶制品在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130-200℃</w:t>
            </w:r>
            <w:r>
              <w:rPr>
                <w:rFonts w:hint="eastAsia" w:ascii="宋体" w:hAnsi="宋体" w:eastAsia="宋体" w:cs="宋体"/>
                <w:color w:val="000000" w:themeColor="text1"/>
                <w:kern w:val="0"/>
                <w:sz w:val="24"/>
                <w:szCs w:val="24"/>
                <w:lang w:val="en-US" w:eastAsia="zh-CN"/>
                <w14:textFill>
                  <w14:solidFill>
                    <w14:schemeClr w14:val="tx1"/>
                  </w14:solidFill>
                </w14:textFill>
              </w:rPr>
              <w:t>的</w:t>
            </w:r>
            <w:r>
              <w:rPr>
                <w:rFonts w:hint="eastAsia" w:ascii="宋体" w:hAnsi="宋体" w:cs="宋体"/>
                <w:color w:val="000000" w:themeColor="text1"/>
                <w:kern w:val="0"/>
                <w:sz w:val="24"/>
                <w:szCs w:val="24"/>
                <w:lang w:val="en-US" w:eastAsia="zh-CN"/>
                <w14:textFill>
                  <w14:solidFill>
                    <w14:schemeClr w14:val="tx1"/>
                  </w14:solidFill>
                </w14:textFill>
              </w:rPr>
              <w:t>成</w:t>
            </w:r>
            <w:r>
              <w:rPr>
                <w:rFonts w:hint="eastAsia" w:ascii="宋体" w:hAnsi="宋体" w:eastAsia="宋体" w:cs="宋体"/>
                <w:color w:val="000000" w:themeColor="text1"/>
                <w:kern w:val="0"/>
                <w:sz w:val="24"/>
                <w:szCs w:val="24"/>
                <w:lang w:val="en-US" w:eastAsia="zh-CN"/>
                <w14:textFill>
                  <w14:solidFill>
                    <w14:schemeClr w14:val="tx1"/>
                  </w14:solidFill>
                </w14:textFill>
              </w:rPr>
              <w:t>二次硫化烤箱</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成型机一体设备</w:t>
            </w:r>
            <w:r>
              <w:rPr>
                <w:rFonts w:hint="eastAsia"/>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内加热进行二次硫化，增加硅胶的密度，拉升强度，回弹性，硬度，溶胀程度，密度和热稳定性。二次硫化时会产生有机废气、臭气</w:t>
            </w:r>
            <w:r>
              <w:rPr>
                <w:rFonts w:hint="eastAsia" w:ascii="宋体" w:hAnsi="宋体" w:cs="宋体"/>
                <w:color w:val="000000" w:themeColor="text1"/>
                <w:kern w:val="0"/>
                <w:sz w:val="24"/>
                <w:szCs w:val="24"/>
                <w:lang w:val="en-US" w:eastAsia="zh-CN"/>
                <w14:textFill>
                  <w14:solidFill>
                    <w14:schemeClr w14:val="tx1"/>
                  </w14:solidFill>
                </w14:textFill>
              </w:rPr>
              <w:t>浓度</w:t>
            </w:r>
            <w:r>
              <w:rPr>
                <w:rFonts w:hint="eastAsia" w:ascii="宋体" w:hAnsi="宋体" w:eastAsia="宋体" w:cs="宋体"/>
                <w:color w:val="000000" w:themeColor="text1"/>
                <w:kern w:val="0"/>
                <w:sz w:val="24"/>
                <w:szCs w:val="24"/>
                <w:lang w:val="en-US" w:eastAsia="zh-CN"/>
                <w14:textFill>
                  <w14:solidFill>
                    <w14:schemeClr w14:val="tx1"/>
                  </w14:solidFill>
                </w14:textFill>
              </w:rPr>
              <w:t>。</w:t>
            </w:r>
          </w:p>
          <w:p w14:paraId="0CE545A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cs="Times New Roman"/>
                <w:b/>
                <w:bCs/>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⑥手工拆边：产品经手工拆边，并对产品进行质检</w:t>
            </w:r>
            <w:r>
              <w:rPr>
                <w:rFonts w:hint="eastAsia" w:ascii="宋体" w:hAnsi="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准备进入下一工序。</w:t>
            </w:r>
            <w:r>
              <w:rPr>
                <w:rFonts w:hint="eastAsia" w:ascii="宋体" w:hAnsi="宋体" w:cs="宋体"/>
                <w:color w:val="000000" w:themeColor="text1"/>
                <w:kern w:val="0"/>
                <w:sz w:val="24"/>
                <w:szCs w:val="24"/>
                <w:lang w:val="en-US" w:eastAsia="zh-CN"/>
                <w14:textFill>
                  <w14:solidFill>
                    <w14:schemeClr w14:val="tx1"/>
                  </w14:solidFill>
                </w14:textFill>
              </w:rPr>
              <w:t>此工序主要产生废边角料及次品。</w:t>
            </w:r>
          </w:p>
          <w:p w14:paraId="2DB423F6">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移印</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工艺流程</w:t>
            </w:r>
          </w:p>
          <w:p w14:paraId="00456152">
            <w:pPr>
              <w:numPr>
                <w:ilvl w:val="0"/>
                <w:numId w:val="0"/>
              </w:numPr>
              <w:tabs>
                <w:tab w:val="left" w:pos="0"/>
              </w:tabs>
              <w:adjustRightInd w:val="0"/>
              <w:snapToGrid w:val="0"/>
              <w:spacing w:line="360" w:lineRule="auto"/>
              <w:ind w:right="120" w:rightChars="50"/>
              <w:rPr>
                <w:rFonts w:hint="default"/>
                <w:color w:val="000000" w:themeColor="text1"/>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00625" cy="3669665"/>
                  <wp:effectExtent l="0" t="0" r="9525" b="698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8"/>
                          <a:stretch>
                            <a:fillRect/>
                          </a:stretch>
                        </pic:blipFill>
                        <pic:spPr>
                          <a:xfrm>
                            <a:off x="0" y="0"/>
                            <a:ext cx="5000625" cy="3669665"/>
                          </a:xfrm>
                          <a:prstGeom prst="rect">
                            <a:avLst/>
                          </a:prstGeom>
                          <a:noFill/>
                          <a:ln>
                            <a:noFill/>
                          </a:ln>
                        </pic:spPr>
                      </pic:pic>
                    </a:graphicData>
                  </a:graphic>
                </wp:inline>
              </w:drawing>
            </w:r>
          </w:p>
          <w:p w14:paraId="57B7E72D">
            <w:pPr>
              <w:numPr>
                <w:ilvl w:val="0"/>
                <w:numId w:val="0"/>
              </w:numPr>
              <w:tabs>
                <w:tab w:val="left" w:pos="0"/>
              </w:tabs>
              <w:adjustRightInd w:val="0"/>
              <w:snapToGrid w:val="0"/>
              <w:spacing w:line="360" w:lineRule="auto"/>
              <w:ind w:right="120" w:rightChars="5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图2-6 </w:t>
            </w:r>
            <w:r>
              <w:rPr>
                <w:rFonts w:hint="eastAsia" w:cs="Times New Roman"/>
                <w:b/>
                <w:bCs/>
                <w:color w:val="000000" w:themeColor="text1"/>
                <w:highlight w:val="none"/>
                <w:lang w:val="en-US" w:eastAsia="zh-CN"/>
                <w14:textFill>
                  <w14:solidFill>
                    <w14:schemeClr w14:val="tx1"/>
                  </w14:solidFill>
                </w14:textFill>
              </w:rPr>
              <w:t>移印</w:t>
            </w:r>
            <w:r>
              <w:rPr>
                <w:rFonts w:hint="default" w:ascii="Times New Roman" w:hAnsi="Times New Roman" w:cs="Times New Roman"/>
                <w:b/>
                <w:bCs/>
                <w:color w:val="000000" w:themeColor="text1"/>
                <w:highlight w:val="none"/>
                <w14:textFill>
                  <w14:solidFill>
                    <w14:schemeClr w14:val="tx1"/>
                  </w14:solidFill>
                </w14:textFill>
              </w:rPr>
              <w:t>生产工艺</w:t>
            </w:r>
            <w:r>
              <w:rPr>
                <w:rFonts w:hint="eastAsia" w:cs="Times New Roman"/>
                <w:b/>
                <w:bCs/>
                <w:color w:val="000000" w:themeColor="text1"/>
                <w:highlight w:val="none"/>
                <w:lang w:val="en-US" w:eastAsia="zh-CN"/>
                <w14:textFill>
                  <w14:solidFill>
                    <w14:schemeClr w14:val="tx1"/>
                  </w14:solidFill>
                </w14:textFill>
              </w:rPr>
              <w:t>及产污节点</w:t>
            </w:r>
            <w:r>
              <w:rPr>
                <w:rFonts w:hint="default" w:ascii="Times New Roman" w:hAnsi="Times New Roman" w:cs="Times New Roman"/>
                <w:b/>
                <w:bCs/>
                <w:color w:val="000000" w:themeColor="text1"/>
                <w:highlight w:val="none"/>
                <w14:textFill>
                  <w14:solidFill>
                    <w14:schemeClr w14:val="tx1"/>
                  </w14:solidFill>
                </w14:textFill>
              </w:rPr>
              <w:t>图</w:t>
            </w:r>
          </w:p>
          <w:p w14:paraId="798EE645">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工艺</w:t>
            </w:r>
            <w:r>
              <w:rPr>
                <w:rFonts w:hint="default" w:ascii="Times New Roman" w:hAnsi="Times New Roman" w:cs="Times New Roman"/>
                <w:b/>
                <w:bCs/>
                <w:color w:val="000000" w:themeColor="text1"/>
                <w:highlight w:val="none"/>
                <w:lang w:eastAsia="zh-CN"/>
                <w14:textFill>
                  <w14:solidFill>
                    <w14:schemeClr w14:val="tx1"/>
                  </w14:solidFill>
                </w14:textFill>
              </w:rPr>
              <w:t>流程简述</w:t>
            </w:r>
            <w:r>
              <w:rPr>
                <w:rFonts w:hint="default" w:ascii="Times New Roman" w:hAnsi="Times New Roman" w:cs="Times New Roman"/>
                <w:b/>
                <w:bCs/>
                <w:color w:val="000000" w:themeColor="text1"/>
                <w:highlight w:val="none"/>
                <w14:textFill>
                  <w14:solidFill>
                    <w14:schemeClr w14:val="tx1"/>
                  </w14:solidFill>
                </w14:textFill>
              </w:rPr>
              <w:t>：</w:t>
            </w:r>
          </w:p>
          <w:p w14:paraId="6494C4A3">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上料定位</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将混炼成型后的合格硅胶按键人工摆放至移印工装治具，固定限位。 </w:t>
            </w:r>
          </w:p>
          <w:p w14:paraId="1ADA8C53">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油墨调配</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将油墨原料混合</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调色</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，得到符合印刷要求的油墨。此环节会产生有机废气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 </w:t>
            </w:r>
          </w:p>
          <w:p w14:paraId="40EBC435">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移印</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使用移印机，向移印凹版钢板凹槽内加注移印油墨，刮刀匀速刮平钢板表面，仅图文凹槽内留存油墨；胶头蘸墨转印：硅胶软胶头下压贴合钢板，蘸取凹槽内油墨，随后平移至工件上方，下压胶头将图文油墨转印至硅胶按键表面。该步骤会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以及</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钢板、胶头清洗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废水。</w:t>
            </w:r>
          </w:p>
          <w:p w14:paraId="7B8577AA">
            <w:pPr>
              <w:pStyle w:val="16"/>
              <w:pageBreakBefore w:val="0"/>
              <w:kinsoku/>
              <w:overflowPunct/>
              <w:topLinePunct w:val="0"/>
              <w:bidi w:val="0"/>
              <w:snapToGrid/>
              <w:ind w:firstLine="480" w:firstLineChars="200"/>
              <w:jc w:val="both"/>
              <w:outlineLvl w:val="9"/>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固化</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让印刷后的油墨通过</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烤炉烘干</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快速固化，</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主要</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产生有机废气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7E1DE18F">
            <w:pPr>
              <w:pStyle w:val="16"/>
              <w:pageBreakBefore w:val="0"/>
              <w:kinsoku/>
              <w:overflowPunct/>
              <w:topLinePunct w:val="0"/>
              <w:bidi w:val="0"/>
              <w:snapToGrid/>
              <w:ind w:firstLine="480" w:firstLineChars="200"/>
              <w:jc w:val="both"/>
              <w:outlineLvl w:val="9"/>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检验包装</w:t>
            </w: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对成品进行质量检验，合格后进行包装。</w:t>
            </w:r>
          </w:p>
          <w:p w14:paraId="24F25A46">
            <w:pPr>
              <w:pStyle w:val="16"/>
              <w:pageBreakBefore w:val="0"/>
              <w:kinsoku/>
              <w:overflowPunct/>
              <w:topLinePunct w:val="0"/>
              <w:bidi w:val="0"/>
              <w:snapToGrid/>
              <w:ind w:firstLine="480" w:firstLineChars="200"/>
              <w:jc w:val="both"/>
              <w:outlineLvl w:val="9"/>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二、产污环节分析</w:t>
            </w:r>
          </w:p>
          <w:p w14:paraId="42A04BF6">
            <w:pPr>
              <w:pStyle w:val="16"/>
              <w:pageBreakBefore w:val="0"/>
              <w:numPr>
                <w:ilvl w:val="0"/>
                <w:numId w:val="8"/>
              </w:numPr>
              <w:kinsoku/>
              <w:overflowPunct/>
              <w:topLinePunct w:val="0"/>
              <w:bidi w:val="0"/>
              <w:snapToGrid/>
              <w:spacing w:line="240" w:lineRule="auto"/>
              <w:ind w:left="0" w:leftChars="0" w:firstLine="40" w:firstLineChars="0"/>
              <w:outlineLvl w:val="9"/>
              <w:rPr>
                <w:color w:val="000000" w:themeColor="text1"/>
                <w:szCs w:val="21"/>
                <w:highlight w:val="none"/>
                <w14:textFill>
                  <w14:solidFill>
                    <w14:schemeClr w14:val="tx1"/>
                  </w14:solidFill>
                </w14:textFill>
              </w:rPr>
            </w:pPr>
            <w:r>
              <w:rPr>
                <w:rStyle w:val="59"/>
                <w:rFonts w:hint="default" w:ascii="Times New Roman" w:hAnsi="Times New Roman" w:cs="Times New Roman"/>
                <w:b/>
                <w:bCs/>
                <w:color w:val="000000" w:themeColor="text1"/>
                <w:highlight w:val="none"/>
                <w:lang w:val="zh-CN"/>
                <w14:textFill>
                  <w14:solidFill>
                    <w14:schemeClr w14:val="tx1"/>
                  </w14:solidFill>
                </w14:textFill>
              </w:rPr>
              <w:t>主要污染节点分析一览表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756"/>
              <w:gridCol w:w="1548"/>
              <w:gridCol w:w="2020"/>
              <w:gridCol w:w="2972"/>
            </w:tblGrid>
            <w:tr w14:paraId="10B5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A09E9D">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756" w:type="dxa"/>
                  <w:vMerge w:val="restart"/>
                  <w:tcBorders>
                    <w:top w:val="single" w:color="auto" w:sz="4" w:space="0"/>
                    <w:left w:val="single" w:color="auto" w:sz="4" w:space="0"/>
                    <w:bottom w:val="single" w:color="auto" w:sz="4" w:space="0"/>
                    <w:right w:val="single" w:color="auto" w:sz="4" w:space="0"/>
                  </w:tcBorders>
                  <w:vAlign w:val="center"/>
                </w:tcPr>
                <w:p w14:paraId="294B25AC">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污染类型</w:t>
                  </w:r>
                </w:p>
              </w:tc>
              <w:tc>
                <w:tcPr>
                  <w:tcW w:w="1548" w:type="dxa"/>
                  <w:vMerge w:val="restart"/>
                  <w:tcBorders>
                    <w:top w:val="single" w:color="auto" w:sz="4" w:space="0"/>
                    <w:left w:val="single" w:color="auto" w:sz="4" w:space="0"/>
                    <w:bottom w:val="single" w:color="auto" w:sz="4" w:space="0"/>
                    <w:right w:val="single" w:color="auto" w:sz="4" w:space="0"/>
                  </w:tcBorders>
                  <w:vAlign w:val="center"/>
                </w:tcPr>
                <w:p w14:paraId="449581EA">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产污环节</w:t>
                  </w:r>
                </w:p>
              </w:tc>
              <w:tc>
                <w:tcPr>
                  <w:tcW w:w="4992" w:type="dxa"/>
                  <w:gridSpan w:val="2"/>
                  <w:tcBorders>
                    <w:top w:val="single" w:color="auto" w:sz="4" w:space="0"/>
                    <w:left w:val="single" w:color="auto" w:sz="4" w:space="0"/>
                    <w:bottom w:val="single" w:color="auto" w:sz="4" w:space="0"/>
                    <w:right w:val="single" w:color="auto" w:sz="4" w:space="0"/>
                  </w:tcBorders>
                  <w:vAlign w:val="center"/>
                </w:tcPr>
                <w:p w14:paraId="7FF27300">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r>
            <w:tr w14:paraId="77CA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continue"/>
                  <w:tcBorders>
                    <w:top w:val="single" w:color="auto" w:sz="4" w:space="0"/>
                    <w:left w:val="single" w:color="auto" w:sz="4" w:space="0"/>
                    <w:bottom w:val="single" w:color="auto" w:sz="4" w:space="0"/>
                    <w:right w:val="single" w:color="auto" w:sz="4" w:space="0"/>
                  </w:tcBorders>
                  <w:vAlign w:val="center"/>
                </w:tcPr>
                <w:p w14:paraId="21344FE1">
                  <w:pPr>
                    <w:widowControl/>
                    <w:spacing w:line="240" w:lineRule="auto"/>
                    <w:jc w:val="center"/>
                    <w:rPr>
                      <w:b/>
                      <w:bCs/>
                      <w:color w:val="000000" w:themeColor="text1"/>
                      <w:sz w:val="21"/>
                      <w:szCs w:val="21"/>
                      <w:highlight w:val="none"/>
                      <w14:textFill>
                        <w14:solidFill>
                          <w14:schemeClr w14:val="tx1"/>
                        </w14:solidFill>
                      </w14:textFill>
                    </w:rPr>
                  </w:pPr>
                </w:p>
              </w:tc>
              <w:tc>
                <w:tcPr>
                  <w:tcW w:w="756" w:type="dxa"/>
                  <w:vMerge w:val="continue"/>
                  <w:tcBorders>
                    <w:top w:val="single" w:color="auto" w:sz="4" w:space="0"/>
                    <w:left w:val="single" w:color="auto" w:sz="4" w:space="0"/>
                    <w:bottom w:val="single" w:color="auto" w:sz="4" w:space="0"/>
                    <w:right w:val="single" w:color="auto" w:sz="4" w:space="0"/>
                  </w:tcBorders>
                  <w:vAlign w:val="center"/>
                </w:tcPr>
                <w:p w14:paraId="67CB37B9">
                  <w:pPr>
                    <w:widowControl/>
                    <w:spacing w:line="240" w:lineRule="auto"/>
                    <w:jc w:val="center"/>
                    <w:rPr>
                      <w:b/>
                      <w:bCs/>
                      <w:color w:val="000000" w:themeColor="text1"/>
                      <w:sz w:val="21"/>
                      <w:szCs w:val="21"/>
                      <w:highlight w:val="none"/>
                      <w14:textFill>
                        <w14:solidFill>
                          <w14:schemeClr w14:val="tx1"/>
                        </w14:solidFill>
                      </w14:textFill>
                    </w:rPr>
                  </w:pPr>
                </w:p>
              </w:tc>
              <w:tc>
                <w:tcPr>
                  <w:tcW w:w="1548" w:type="dxa"/>
                  <w:vMerge w:val="continue"/>
                  <w:tcBorders>
                    <w:top w:val="single" w:color="auto" w:sz="4" w:space="0"/>
                    <w:left w:val="single" w:color="auto" w:sz="4" w:space="0"/>
                    <w:bottom w:val="single" w:color="auto" w:sz="4" w:space="0"/>
                    <w:right w:val="single" w:color="auto" w:sz="4" w:space="0"/>
                  </w:tcBorders>
                  <w:vAlign w:val="center"/>
                </w:tcPr>
                <w:p w14:paraId="2AEB3445">
                  <w:pPr>
                    <w:widowControl/>
                    <w:spacing w:line="240" w:lineRule="auto"/>
                    <w:jc w:val="center"/>
                    <w:rPr>
                      <w:b/>
                      <w:bCs/>
                      <w:color w:val="000000" w:themeColor="text1"/>
                      <w:sz w:val="21"/>
                      <w:szCs w:val="21"/>
                      <w:highlight w:val="none"/>
                      <w14:textFill>
                        <w14:solidFill>
                          <w14:schemeClr w14:val="tx1"/>
                        </w14:solidFill>
                      </w14:textFill>
                    </w:rPr>
                  </w:pPr>
                </w:p>
              </w:tc>
              <w:tc>
                <w:tcPr>
                  <w:tcW w:w="2020" w:type="dxa"/>
                  <w:tcBorders>
                    <w:top w:val="single" w:color="auto" w:sz="4" w:space="0"/>
                    <w:left w:val="single" w:color="auto" w:sz="4" w:space="0"/>
                    <w:bottom w:val="single" w:color="auto" w:sz="4" w:space="0"/>
                    <w:right w:val="single" w:color="auto" w:sz="4" w:space="0"/>
                  </w:tcBorders>
                  <w:vAlign w:val="center"/>
                </w:tcPr>
                <w:p w14:paraId="58A71683">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内容</w:t>
                  </w:r>
                </w:p>
              </w:tc>
              <w:tc>
                <w:tcPr>
                  <w:tcW w:w="2972" w:type="dxa"/>
                  <w:tcBorders>
                    <w:top w:val="single" w:color="auto" w:sz="4" w:space="0"/>
                    <w:left w:val="single" w:color="auto" w:sz="4" w:space="0"/>
                    <w:bottom w:val="single" w:color="auto" w:sz="4" w:space="0"/>
                    <w:right w:val="single" w:color="auto" w:sz="4" w:space="0"/>
                  </w:tcBorders>
                  <w:vAlign w:val="center"/>
                </w:tcPr>
                <w:p w14:paraId="16A95C39">
                  <w:pPr>
                    <w:adjustRightInd w:val="0"/>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污染因子</w:t>
                  </w:r>
                </w:p>
              </w:tc>
            </w:tr>
            <w:tr w14:paraId="730D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01324081">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756" w:type="dxa"/>
                  <w:tcBorders>
                    <w:top w:val="single" w:color="auto" w:sz="4" w:space="0"/>
                    <w:left w:val="single" w:color="auto" w:sz="4" w:space="0"/>
                    <w:right w:val="single" w:color="auto" w:sz="4" w:space="0"/>
                  </w:tcBorders>
                  <w:vAlign w:val="center"/>
                </w:tcPr>
                <w:p w14:paraId="1B4BD92E">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1548" w:type="dxa"/>
                  <w:tcBorders>
                    <w:top w:val="single" w:color="auto" w:sz="4" w:space="0"/>
                    <w:left w:val="single" w:color="auto" w:sz="4" w:space="0"/>
                    <w:bottom w:val="single" w:color="auto" w:sz="4" w:space="0"/>
                    <w:right w:val="single" w:color="auto" w:sz="4" w:space="0"/>
                  </w:tcBorders>
                  <w:vAlign w:val="center"/>
                </w:tcPr>
                <w:p w14:paraId="1424D9E4">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员工办公生活</w:t>
                  </w:r>
                </w:p>
              </w:tc>
              <w:tc>
                <w:tcPr>
                  <w:tcW w:w="2020" w:type="dxa"/>
                  <w:tcBorders>
                    <w:top w:val="single" w:color="auto" w:sz="4" w:space="0"/>
                    <w:left w:val="single" w:color="auto" w:sz="4" w:space="0"/>
                    <w:bottom w:val="single" w:color="auto" w:sz="4" w:space="0"/>
                    <w:right w:val="single" w:color="auto" w:sz="4" w:space="0"/>
                  </w:tcBorders>
                  <w:vAlign w:val="center"/>
                </w:tcPr>
                <w:p w14:paraId="7EC0407B">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生活污水</w:t>
                  </w:r>
                </w:p>
              </w:tc>
              <w:tc>
                <w:tcPr>
                  <w:tcW w:w="2972" w:type="dxa"/>
                  <w:tcBorders>
                    <w:top w:val="single" w:color="auto" w:sz="4" w:space="0"/>
                    <w:left w:val="single" w:color="auto" w:sz="4" w:space="0"/>
                    <w:bottom w:val="single" w:color="auto" w:sz="4" w:space="0"/>
                    <w:right w:val="single" w:color="auto" w:sz="4" w:space="0"/>
                  </w:tcBorders>
                  <w:vAlign w:val="center"/>
                </w:tcPr>
                <w:p w14:paraId="5381BE25">
                  <w:pPr>
                    <w:adjustRightInd w:val="0"/>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COD</w:t>
                  </w:r>
                  <w:r>
                    <w:rPr>
                      <w:color w:val="000000" w:themeColor="text1"/>
                      <w:sz w:val="21"/>
                      <w:szCs w:val="21"/>
                      <w:highlight w:val="none"/>
                      <w:vertAlign w:val="subscript"/>
                      <w14:textFill>
                        <w14:solidFill>
                          <w14:schemeClr w14:val="tx1"/>
                        </w14:solidFill>
                      </w14:textFill>
                    </w:rPr>
                    <w:t>Cr</w:t>
                  </w:r>
                  <w:r>
                    <w:rPr>
                      <w:color w:val="000000" w:themeColor="text1"/>
                      <w:sz w:val="21"/>
                      <w:szCs w:val="21"/>
                      <w:highlight w:val="none"/>
                      <w14:textFill>
                        <w14:solidFill>
                          <w14:schemeClr w14:val="tx1"/>
                        </w14:solidFill>
                      </w14:textFill>
                    </w:rPr>
                    <w:t>、BOD</w:t>
                  </w:r>
                  <w:r>
                    <w:rPr>
                      <w:color w:val="000000" w:themeColor="text1"/>
                      <w:sz w:val="21"/>
                      <w:szCs w:val="21"/>
                      <w:highlight w:val="none"/>
                      <w:vertAlign w:val="subscript"/>
                      <w14:textFill>
                        <w14:solidFill>
                          <w14:schemeClr w14:val="tx1"/>
                        </w14:solidFill>
                      </w14:textFill>
                    </w:rPr>
                    <w:t>5</w:t>
                  </w:r>
                  <w:r>
                    <w:rPr>
                      <w:color w:val="000000" w:themeColor="text1"/>
                      <w:sz w:val="21"/>
                      <w:szCs w:val="21"/>
                      <w:highlight w:val="none"/>
                      <w14:textFill>
                        <w14:solidFill>
                          <w14:schemeClr w14:val="tx1"/>
                        </w14:solidFill>
                      </w14:textFill>
                    </w:rPr>
                    <w:t>、SS、NH</w:t>
                  </w:r>
                  <w:r>
                    <w:rPr>
                      <w:color w:val="000000" w:themeColor="text1"/>
                      <w:sz w:val="21"/>
                      <w:szCs w:val="21"/>
                      <w:highlight w:val="none"/>
                      <w:vertAlign w:val="subscript"/>
                      <w14:textFill>
                        <w14:solidFill>
                          <w14:schemeClr w14:val="tx1"/>
                        </w14:solidFill>
                      </w14:textFill>
                    </w:rPr>
                    <w:t>3</w:t>
                  </w:r>
                  <w:r>
                    <w:rPr>
                      <w:color w:val="000000" w:themeColor="text1"/>
                      <w:sz w:val="21"/>
                      <w:szCs w:val="21"/>
                      <w:highlight w:val="none"/>
                      <w14:textFill>
                        <w14:solidFill>
                          <w14:schemeClr w14:val="tx1"/>
                        </w14:solidFill>
                      </w14:textFill>
                    </w:rPr>
                    <w:t>-N、pH</w:t>
                  </w:r>
                </w:p>
              </w:tc>
            </w:tr>
            <w:tr w14:paraId="2560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5FD08F4C">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2</w:t>
                  </w:r>
                </w:p>
              </w:tc>
              <w:tc>
                <w:tcPr>
                  <w:tcW w:w="756" w:type="dxa"/>
                  <w:vMerge w:val="restart"/>
                  <w:tcBorders>
                    <w:left w:val="single" w:color="auto" w:sz="4" w:space="0"/>
                    <w:right w:val="single" w:color="auto" w:sz="4" w:space="0"/>
                  </w:tcBorders>
                  <w:vAlign w:val="center"/>
                </w:tcPr>
                <w:p w14:paraId="220CB918">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废气</w:t>
                  </w:r>
                </w:p>
              </w:tc>
              <w:tc>
                <w:tcPr>
                  <w:tcW w:w="1548" w:type="dxa"/>
                  <w:vMerge w:val="restart"/>
                  <w:tcBorders>
                    <w:top w:val="single" w:color="auto" w:sz="4" w:space="0"/>
                    <w:left w:val="single" w:color="auto" w:sz="4" w:space="0"/>
                    <w:right w:val="single" w:color="auto" w:sz="4" w:space="0"/>
                  </w:tcBorders>
                  <w:vAlign w:val="center"/>
                </w:tcPr>
                <w:p w14:paraId="1C102D18">
                  <w:pPr>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lang w:val="en-US" w:eastAsia="zh-CN"/>
                      <w14:textFill>
                        <w14:solidFill>
                          <w14:schemeClr w14:val="tx1"/>
                        </w14:solidFill>
                      </w14:textFill>
                    </w:rPr>
                    <w:t>成型</w:t>
                  </w:r>
                  <w:r>
                    <w:rPr>
                      <w:rFonts w:hint="eastAsia"/>
                      <w:color w:val="000000" w:themeColor="text1"/>
                      <w:spacing w:val="-4"/>
                      <w:sz w:val="21"/>
                      <w:szCs w:val="21"/>
                      <w:highlight w:val="none"/>
                      <w14:textFill>
                        <w14:solidFill>
                          <w14:schemeClr w14:val="tx1"/>
                        </w14:solidFill>
                      </w14:textFill>
                    </w:rPr>
                    <w:t>车间</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炼胶、移印等</w:t>
                  </w:r>
                </w:p>
              </w:tc>
              <w:tc>
                <w:tcPr>
                  <w:tcW w:w="2020" w:type="dxa"/>
                  <w:tcBorders>
                    <w:top w:val="single" w:color="auto" w:sz="4" w:space="0"/>
                    <w:left w:val="single" w:color="auto" w:sz="4" w:space="0"/>
                    <w:bottom w:val="single" w:color="auto" w:sz="4" w:space="0"/>
                    <w:right w:val="single" w:color="auto" w:sz="4" w:space="0"/>
                  </w:tcBorders>
                  <w:vAlign w:val="center"/>
                </w:tcPr>
                <w:p w14:paraId="7E5AA798">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lang w:val="en-US" w:eastAsia="zh-CN"/>
                      <w14:textFill>
                        <w14:solidFill>
                          <w14:schemeClr w14:val="tx1"/>
                        </w14:solidFill>
                      </w14:textFill>
                    </w:rPr>
                    <w:t>炼胶、成型</w:t>
                  </w:r>
                  <w:r>
                    <w:rPr>
                      <w:color w:val="000000" w:themeColor="text1"/>
                      <w:spacing w:val="-4"/>
                      <w:sz w:val="21"/>
                      <w:szCs w:val="21"/>
                      <w:highlight w:val="none"/>
                      <w14:textFill>
                        <w14:solidFill>
                          <w14:schemeClr w14:val="tx1"/>
                        </w14:solidFill>
                      </w14:textFill>
                    </w:rPr>
                    <w:t>有机废气</w:t>
                  </w:r>
                  <w:r>
                    <w:rPr>
                      <w:rFonts w:hint="eastAsia"/>
                      <w:color w:val="000000" w:themeColor="text1"/>
                      <w:spacing w:val="-4"/>
                      <w:sz w:val="21"/>
                      <w:szCs w:val="21"/>
                      <w:highlight w:val="none"/>
                      <w14:textFill>
                        <w14:solidFill>
                          <w14:schemeClr w14:val="tx1"/>
                        </w14:solidFill>
                      </w14:textFill>
                    </w:rPr>
                    <w:t>、生产异味</w:t>
                  </w:r>
                </w:p>
              </w:tc>
              <w:tc>
                <w:tcPr>
                  <w:tcW w:w="2972" w:type="dxa"/>
                  <w:tcBorders>
                    <w:top w:val="single" w:color="auto" w:sz="4" w:space="0"/>
                    <w:left w:val="single" w:color="auto" w:sz="4" w:space="0"/>
                    <w:bottom w:val="single" w:color="auto" w:sz="4" w:space="0"/>
                    <w:right w:val="single" w:color="auto" w:sz="4" w:space="0"/>
                  </w:tcBorders>
                  <w:vAlign w:val="center"/>
                </w:tcPr>
                <w:p w14:paraId="398C0914">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VOCs</w:t>
                  </w:r>
                  <w:r>
                    <w:rPr>
                      <w:color w:val="000000" w:themeColor="text1"/>
                      <w:spacing w:val="-4"/>
                      <w:sz w:val="21"/>
                      <w:szCs w:val="21"/>
                      <w:highlight w:val="none"/>
                      <w14:textFill>
                        <w14:solidFill>
                          <w14:schemeClr w14:val="tx1"/>
                        </w14:solidFill>
                      </w14:textFill>
                    </w:rPr>
                    <w:t>、臭气浓度</w:t>
                  </w:r>
                </w:p>
              </w:tc>
            </w:tr>
            <w:tr w14:paraId="7522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47E8D63F">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3</w:t>
                  </w:r>
                </w:p>
              </w:tc>
              <w:tc>
                <w:tcPr>
                  <w:tcW w:w="756" w:type="dxa"/>
                  <w:vMerge w:val="continue"/>
                  <w:tcBorders>
                    <w:left w:val="single" w:color="auto" w:sz="4" w:space="0"/>
                    <w:right w:val="single" w:color="auto" w:sz="4" w:space="0"/>
                  </w:tcBorders>
                  <w:vAlign w:val="center"/>
                </w:tcPr>
                <w:p w14:paraId="1672A191">
                  <w:pPr>
                    <w:adjustRightInd w:val="0"/>
                    <w:spacing w:line="240" w:lineRule="auto"/>
                    <w:jc w:val="center"/>
                    <w:rPr>
                      <w:color w:val="000000" w:themeColor="text1"/>
                      <w:spacing w:val="-4"/>
                      <w:sz w:val="21"/>
                      <w:szCs w:val="21"/>
                      <w:highlight w:val="none"/>
                      <w14:textFill>
                        <w14:solidFill>
                          <w14:schemeClr w14:val="tx1"/>
                        </w14:solidFill>
                      </w14:textFill>
                    </w:rPr>
                  </w:pPr>
                </w:p>
              </w:tc>
              <w:tc>
                <w:tcPr>
                  <w:tcW w:w="1548" w:type="dxa"/>
                  <w:vMerge w:val="continue"/>
                  <w:tcBorders>
                    <w:left w:val="single" w:color="auto" w:sz="4" w:space="0"/>
                    <w:bottom w:val="single" w:color="auto" w:sz="4" w:space="0"/>
                    <w:right w:val="single" w:color="auto" w:sz="4" w:space="0"/>
                  </w:tcBorders>
                  <w:vAlign w:val="center"/>
                </w:tcPr>
                <w:p w14:paraId="39C25080">
                  <w:pPr>
                    <w:spacing w:line="240" w:lineRule="auto"/>
                    <w:jc w:val="center"/>
                    <w:rPr>
                      <w:color w:val="000000" w:themeColor="text1"/>
                      <w:spacing w:val="-4"/>
                      <w:sz w:val="21"/>
                      <w:szCs w:val="21"/>
                      <w:highlight w:val="none"/>
                      <w14:textFill>
                        <w14:solidFill>
                          <w14:schemeClr w14:val="tx1"/>
                        </w14:solidFill>
                      </w14:textFill>
                    </w:rPr>
                  </w:pPr>
                </w:p>
              </w:tc>
              <w:tc>
                <w:tcPr>
                  <w:tcW w:w="2020" w:type="dxa"/>
                  <w:tcBorders>
                    <w:top w:val="single" w:color="auto" w:sz="4" w:space="0"/>
                    <w:left w:val="single" w:color="auto" w:sz="4" w:space="0"/>
                    <w:bottom w:val="single" w:color="auto" w:sz="4" w:space="0"/>
                    <w:right w:val="single" w:color="auto" w:sz="4" w:space="0"/>
                  </w:tcBorders>
                  <w:vAlign w:val="center"/>
                </w:tcPr>
                <w:p w14:paraId="41ACCD86">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移印</w:t>
                  </w:r>
                  <w:r>
                    <w:rPr>
                      <w:rFonts w:hint="eastAsia"/>
                      <w:color w:val="000000" w:themeColor="text1"/>
                      <w:sz w:val="21"/>
                      <w:szCs w:val="21"/>
                      <w:highlight w:val="none"/>
                      <w14:textFill>
                        <w14:solidFill>
                          <w14:schemeClr w14:val="tx1"/>
                        </w14:solidFill>
                      </w14:textFill>
                    </w:rPr>
                    <w:t>有机废气</w:t>
                  </w:r>
                </w:p>
              </w:tc>
              <w:tc>
                <w:tcPr>
                  <w:tcW w:w="2972" w:type="dxa"/>
                  <w:tcBorders>
                    <w:top w:val="single" w:color="auto" w:sz="4" w:space="0"/>
                    <w:left w:val="single" w:color="auto" w:sz="4" w:space="0"/>
                    <w:bottom w:val="single" w:color="auto" w:sz="4" w:space="0"/>
                    <w:right w:val="single" w:color="auto" w:sz="4" w:space="0"/>
                  </w:tcBorders>
                  <w:vAlign w:val="center"/>
                </w:tcPr>
                <w:p w14:paraId="7D91BE5F">
                  <w:pPr>
                    <w:adjustRightInd w:val="0"/>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VOCs</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臭气浓度</w:t>
                  </w:r>
                </w:p>
              </w:tc>
            </w:tr>
            <w:tr w14:paraId="66B6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7BA5117A">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4</w:t>
                  </w:r>
                </w:p>
              </w:tc>
              <w:tc>
                <w:tcPr>
                  <w:tcW w:w="756" w:type="dxa"/>
                  <w:vMerge w:val="restart"/>
                  <w:tcBorders>
                    <w:top w:val="single" w:color="auto" w:sz="4" w:space="0"/>
                    <w:left w:val="single" w:color="auto" w:sz="4" w:space="0"/>
                    <w:right w:val="single" w:color="auto" w:sz="4" w:space="0"/>
                  </w:tcBorders>
                  <w:vAlign w:val="center"/>
                </w:tcPr>
                <w:p w14:paraId="49316BF8">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固体废物</w:t>
                  </w:r>
                </w:p>
              </w:tc>
              <w:tc>
                <w:tcPr>
                  <w:tcW w:w="1548" w:type="dxa"/>
                  <w:tcBorders>
                    <w:top w:val="single" w:color="auto" w:sz="4" w:space="0"/>
                    <w:left w:val="single" w:color="auto" w:sz="4" w:space="0"/>
                    <w:bottom w:val="single" w:color="auto" w:sz="4" w:space="0"/>
                    <w:right w:val="single" w:color="auto" w:sz="4" w:space="0"/>
                  </w:tcBorders>
                  <w:vAlign w:val="center"/>
                </w:tcPr>
                <w:p w14:paraId="2611CFCA">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办公生活</w:t>
                  </w:r>
                </w:p>
              </w:tc>
              <w:tc>
                <w:tcPr>
                  <w:tcW w:w="2020" w:type="dxa"/>
                  <w:tcBorders>
                    <w:top w:val="single" w:color="auto" w:sz="4" w:space="0"/>
                    <w:left w:val="single" w:color="auto" w:sz="4" w:space="0"/>
                    <w:bottom w:val="single" w:color="auto" w:sz="4" w:space="0"/>
                    <w:right w:val="single" w:color="auto" w:sz="4" w:space="0"/>
                  </w:tcBorders>
                  <w:vAlign w:val="center"/>
                </w:tcPr>
                <w:p w14:paraId="7A5560E6">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生活垃圾</w:t>
                  </w:r>
                </w:p>
              </w:tc>
              <w:tc>
                <w:tcPr>
                  <w:tcW w:w="2972" w:type="dxa"/>
                  <w:tcBorders>
                    <w:top w:val="single" w:color="auto" w:sz="4" w:space="0"/>
                    <w:left w:val="single" w:color="auto" w:sz="4" w:space="0"/>
                    <w:bottom w:val="single" w:color="auto" w:sz="4" w:space="0"/>
                    <w:right w:val="single" w:color="auto" w:sz="4" w:space="0"/>
                  </w:tcBorders>
                  <w:vAlign w:val="center"/>
                </w:tcPr>
                <w:p w14:paraId="53B118F9">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lang w:bidi="en-US"/>
                      <w14:textFill>
                        <w14:solidFill>
                          <w14:schemeClr w14:val="tx1"/>
                        </w14:solidFill>
                      </w14:textFill>
                    </w:rPr>
                    <w:t>废纸、瓜果皮核</w:t>
                  </w:r>
                </w:p>
              </w:tc>
            </w:tr>
            <w:tr w14:paraId="634A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41944EB4">
                  <w:pPr>
                    <w:adjustRightInd w:val="0"/>
                    <w:spacing w:line="240" w:lineRule="auto"/>
                    <w:jc w:val="center"/>
                    <w:rPr>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5</w:t>
                  </w:r>
                </w:p>
              </w:tc>
              <w:tc>
                <w:tcPr>
                  <w:tcW w:w="756" w:type="dxa"/>
                  <w:vMerge w:val="continue"/>
                  <w:tcBorders>
                    <w:left w:val="single" w:color="auto" w:sz="4" w:space="0"/>
                    <w:right w:val="single" w:color="auto" w:sz="4" w:space="0"/>
                  </w:tcBorders>
                  <w:vAlign w:val="center"/>
                </w:tcPr>
                <w:p w14:paraId="64892A07">
                  <w:pPr>
                    <w:adjustRightInd w:val="0"/>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top w:val="single" w:color="auto" w:sz="4" w:space="0"/>
                    <w:left w:val="single" w:color="auto" w:sz="4" w:space="0"/>
                    <w:bottom w:val="single" w:color="auto" w:sz="4" w:space="0"/>
                    <w:right w:val="single" w:color="auto" w:sz="4" w:space="0"/>
                  </w:tcBorders>
                  <w:vAlign w:val="center"/>
                </w:tcPr>
                <w:p w14:paraId="3A3B4F2C">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生产过程</w:t>
                  </w:r>
                </w:p>
              </w:tc>
              <w:tc>
                <w:tcPr>
                  <w:tcW w:w="2020" w:type="dxa"/>
                  <w:tcBorders>
                    <w:top w:val="single" w:color="auto" w:sz="4" w:space="0"/>
                    <w:left w:val="single" w:color="auto" w:sz="4" w:space="0"/>
                    <w:bottom w:val="single" w:color="auto" w:sz="4" w:space="0"/>
                    <w:right w:val="single" w:color="auto" w:sz="4" w:space="0"/>
                  </w:tcBorders>
                  <w:vAlign w:val="center"/>
                </w:tcPr>
                <w:p w14:paraId="5071023D">
                  <w:pPr>
                    <w:adjustRightInd w:val="0"/>
                    <w:spacing w:line="240" w:lineRule="auto"/>
                    <w:jc w:val="center"/>
                    <w:rPr>
                      <w:rFonts w:hint="default" w:eastAsia="宋体"/>
                      <w:color w:val="000000" w:themeColor="text1"/>
                      <w:spacing w:val="-4"/>
                      <w:sz w:val="21"/>
                      <w:szCs w:val="21"/>
                      <w:highlight w:val="none"/>
                      <w:lang w:val="en-US"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包装固废</w:t>
                  </w:r>
                  <w:r>
                    <w:rPr>
                      <w:rFonts w:hint="eastAsia"/>
                      <w:color w:val="000000" w:themeColor="text1"/>
                      <w:spacing w:val="-4"/>
                      <w:sz w:val="21"/>
                      <w:szCs w:val="21"/>
                      <w:highlight w:val="none"/>
                      <w:lang w:eastAsia="zh-CN"/>
                      <w14:textFill>
                        <w14:solidFill>
                          <w14:schemeClr w14:val="tx1"/>
                        </w14:solidFill>
                      </w14:textFill>
                    </w:rPr>
                    <w:t>、</w:t>
                  </w:r>
                  <w:r>
                    <w:rPr>
                      <w:rFonts w:hint="eastAsia"/>
                      <w:color w:val="000000" w:themeColor="text1"/>
                      <w:spacing w:val="-4"/>
                      <w:sz w:val="21"/>
                      <w:szCs w:val="21"/>
                      <w:highlight w:val="none"/>
                      <w:lang w:val="en-US" w:eastAsia="zh-CN"/>
                      <w14:textFill>
                        <w14:solidFill>
                          <w14:schemeClr w14:val="tx1"/>
                        </w14:solidFill>
                      </w14:textFill>
                    </w:rPr>
                    <w:t>边角料和次品</w:t>
                  </w:r>
                </w:p>
              </w:tc>
              <w:tc>
                <w:tcPr>
                  <w:tcW w:w="2972" w:type="dxa"/>
                  <w:tcBorders>
                    <w:top w:val="single" w:color="auto" w:sz="4" w:space="0"/>
                    <w:left w:val="single" w:color="auto" w:sz="4" w:space="0"/>
                    <w:bottom w:val="single" w:color="auto" w:sz="4" w:space="0"/>
                    <w:right w:val="single" w:color="auto" w:sz="4" w:space="0"/>
                  </w:tcBorders>
                  <w:vAlign w:val="center"/>
                </w:tcPr>
                <w:p w14:paraId="73E4F21D">
                  <w:pPr>
                    <w:adjustRightInd w:val="0"/>
                    <w:spacing w:line="240" w:lineRule="auto"/>
                    <w:jc w:val="center"/>
                    <w:rPr>
                      <w:rFonts w:hint="default" w:eastAsia="宋体"/>
                      <w:color w:val="000000" w:themeColor="text1"/>
                      <w:spacing w:val="-4"/>
                      <w:sz w:val="21"/>
                      <w:szCs w:val="21"/>
                      <w:highlight w:val="none"/>
                      <w:lang w:val="en-US" w:eastAsia="zh-CN" w:bidi="en-US"/>
                      <w14:textFill>
                        <w14:solidFill>
                          <w14:schemeClr w14:val="tx1"/>
                        </w14:solidFill>
                      </w14:textFill>
                    </w:rPr>
                  </w:pPr>
                  <w:r>
                    <w:rPr>
                      <w:rFonts w:hint="eastAsia"/>
                      <w:color w:val="000000" w:themeColor="text1"/>
                      <w:spacing w:val="-4"/>
                      <w:sz w:val="21"/>
                      <w:szCs w:val="21"/>
                      <w:highlight w:val="none"/>
                      <w:lang w:val="en-US" w:eastAsia="zh-CN" w:bidi="en-US"/>
                      <w14:textFill>
                        <w14:solidFill>
                          <w14:schemeClr w14:val="tx1"/>
                        </w14:solidFill>
                      </w14:textFill>
                    </w:rPr>
                    <w:t>包装固废、边角料和次品</w:t>
                  </w:r>
                </w:p>
              </w:tc>
            </w:tr>
            <w:tr w14:paraId="66DC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09AE5C4A">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6</w:t>
                  </w:r>
                </w:p>
              </w:tc>
              <w:tc>
                <w:tcPr>
                  <w:tcW w:w="756" w:type="dxa"/>
                  <w:vMerge w:val="restart"/>
                  <w:tcBorders>
                    <w:left w:val="single" w:color="auto" w:sz="4" w:space="0"/>
                    <w:right w:val="single" w:color="auto" w:sz="4" w:space="0"/>
                  </w:tcBorders>
                  <w:vAlign w:val="center"/>
                </w:tcPr>
                <w:p w14:paraId="787EC59C">
                  <w:pPr>
                    <w:widowControl/>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危险废物</w:t>
                  </w:r>
                </w:p>
              </w:tc>
              <w:tc>
                <w:tcPr>
                  <w:tcW w:w="1548" w:type="dxa"/>
                  <w:tcBorders>
                    <w:left w:val="single" w:color="auto" w:sz="4" w:space="0"/>
                    <w:right w:val="single" w:color="auto" w:sz="4" w:space="0"/>
                  </w:tcBorders>
                  <w:vAlign w:val="center"/>
                </w:tcPr>
                <w:p w14:paraId="6D034FCE">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废气处理</w:t>
                  </w:r>
                </w:p>
              </w:tc>
              <w:tc>
                <w:tcPr>
                  <w:tcW w:w="2020" w:type="dxa"/>
                  <w:tcBorders>
                    <w:top w:val="single" w:color="auto" w:sz="4" w:space="0"/>
                    <w:left w:val="single" w:color="auto" w:sz="4" w:space="0"/>
                    <w:bottom w:val="single" w:color="auto" w:sz="4" w:space="0"/>
                    <w:right w:val="single" w:color="auto" w:sz="4" w:space="0"/>
                  </w:tcBorders>
                  <w:vAlign w:val="center"/>
                </w:tcPr>
                <w:p w14:paraId="614A11E2">
                  <w:pPr>
                    <w:adjustRightInd w:val="0"/>
                    <w:spacing w:line="240" w:lineRule="auto"/>
                    <w:jc w:val="center"/>
                    <w:rPr>
                      <w:bCs/>
                      <w:color w:val="000000" w:themeColor="text1"/>
                      <w:spacing w:val="-4"/>
                      <w:sz w:val="21"/>
                      <w:szCs w:val="21"/>
                      <w:highlight w:val="none"/>
                      <w14:textFill>
                        <w14:solidFill>
                          <w14:schemeClr w14:val="tx1"/>
                        </w14:solidFill>
                      </w14:textFill>
                    </w:rPr>
                  </w:pPr>
                  <w:r>
                    <w:rPr>
                      <w:bCs/>
                      <w:color w:val="000000" w:themeColor="text1"/>
                      <w:spacing w:val="-4"/>
                      <w:sz w:val="21"/>
                      <w:szCs w:val="21"/>
                      <w:highlight w:val="none"/>
                      <w14:textFill>
                        <w14:solidFill>
                          <w14:schemeClr w14:val="tx1"/>
                        </w14:solidFill>
                      </w14:textFill>
                    </w:rPr>
                    <w:t>废活性炭</w:t>
                  </w:r>
                </w:p>
              </w:tc>
              <w:tc>
                <w:tcPr>
                  <w:tcW w:w="2972" w:type="dxa"/>
                  <w:tcBorders>
                    <w:top w:val="single" w:color="auto" w:sz="4" w:space="0"/>
                    <w:left w:val="single" w:color="auto" w:sz="4" w:space="0"/>
                    <w:bottom w:val="single" w:color="auto" w:sz="4" w:space="0"/>
                    <w:right w:val="single" w:color="auto" w:sz="4" w:space="0"/>
                  </w:tcBorders>
                  <w:vAlign w:val="center"/>
                </w:tcPr>
                <w:p w14:paraId="109A6091">
                  <w:pPr>
                    <w:adjustRightInd w:val="0"/>
                    <w:spacing w:line="240" w:lineRule="auto"/>
                    <w:jc w:val="center"/>
                    <w:rPr>
                      <w:rFonts w:hint="eastAsia" w:eastAsia="宋体"/>
                      <w:bCs/>
                      <w:color w:val="000000" w:themeColor="text1"/>
                      <w:spacing w:val="-4"/>
                      <w:sz w:val="21"/>
                      <w:szCs w:val="21"/>
                      <w:highlight w:val="none"/>
                      <w:lang w:eastAsia="zh-CN"/>
                      <w14:textFill>
                        <w14:solidFill>
                          <w14:schemeClr w14:val="tx1"/>
                        </w14:solidFill>
                      </w14:textFill>
                    </w:rPr>
                  </w:pPr>
                  <w:r>
                    <w:rPr>
                      <w:color w:val="000000" w:themeColor="text1"/>
                      <w:spacing w:val="-4"/>
                      <w:sz w:val="21"/>
                      <w:szCs w:val="21"/>
                      <w:highlight w:val="none"/>
                      <w14:textFill>
                        <w14:solidFill>
                          <w14:schemeClr w14:val="tx1"/>
                        </w14:solidFill>
                      </w14:textFill>
                    </w:rPr>
                    <w:t>废活性炭</w:t>
                  </w:r>
                </w:p>
              </w:tc>
            </w:tr>
            <w:tr w14:paraId="700C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2D33C83B">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7</w:t>
                  </w:r>
                </w:p>
              </w:tc>
              <w:tc>
                <w:tcPr>
                  <w:tcW w:w="756" w:type="dxa"/>
                  <w:vMerge w:val="continue"/>
                  <w:tcBorders>
                    <w:left w:val="single" w:color="auto" w:sz="4" w:space="0"/>
                    <w:right w:val="single" w:color="auto" w:sz="4" w:space="0"/>
                  </w:tcBorders>
                  <w:vAlign w:val="center"/>
                </w:tcPr>
                <w:p w14:paraId="674EA6C0">
                  <w:pPr>
                    <w:widowControl/>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left w:val="single" w:color="auto" w:sz="4" w:space="0"/>
                    <w:right w:val="single" w:color="auto" w:sz="4" w:space="0"/>
                  </w:tcBorders>
                  <w:vAlign w:val="center"/>
                </w:tcPr>
                <w:p w14:paraId="0F3624F3">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生产过程</w:t>
                  </w:r>
                </w:p>
              </w:tc>
              <w:tc>
                <w:tcPr>
                  <w:tcW w:w="2020" w:type="dxa"/>
                  <w:tcBorders>
                    <w:top w:val="single" w:color="auto" w:sz="4" w:space="0"/>
                    <w:left w:val="single" w:color="auto" w:sz="4" w:space="0"/>
                    <w:bottom w:val="single" w:color="auto" w:sz="4" w:space="0"/>
                    <w:right w:val="single" w:color="auto" w:sz="4" w:space="0"/>
                  </w:tcBorders>
                  <w:vAlign w:val="center"/>
                </w:tcPr>
                <w:p w14:paraId="228182D1">
                  <w:pPr>
                    <w:adjustRightInd w:val="0"/>
                    <w:spacing w:line="240" w:lineRule="auto"/>
                    <w:jc w:val="center"/>
                    <w:rPr>
                      <w:rFonts w:hint="eastAsia" w:eastAsia="宋体"/>
                      <w:bCs/>
                      <w:color w:val="000000" w:themeColor="text1"/>
                      <w:spacing w:val="-4"/>
                      <w:sz w:val="21"/>
                      <w:szCs w:val="21"/>
                      <w:highlight w:val="none"/>
                      <w:lang w:eastAsia="zh-CN"/>
                      <w14:textFill>
                        <w14:solidFill>
                          <w14:schemeClr w14:val="tx1"/>
                        </w14:solidFill>
                      </w14:textFill>
                    </w:rPr>
                  </w:pPr>
                  <w:r>
                    <w:rPr>
                      <w:rFonts w:hint="eastAsia"/>
                      <w:bCs/>
                      <w:color w:val="000000" w:themeColor="text1"/>
                      <w:spacing w:val="-4"/>
                      <w:sz w:val="21"/>
                      <w:szCs w:val="21"/>
                      <w:highlight w:val="none"/>
                      <w14:textFill>
                        <w14:solidFill>
                          <w14:schemeClr w14:val="tx1"/>
                        </w14:solidFill>
                      </w14:textFill>
                    </w:rPr>
                    <w:t>废原料桶</w:t>
                  </w:r>
                </w:p>
              </w:tc>
              <w:tc>
                <w:tcPr>
                  <w:tcW w:w="2972" w:type="dxa"/>
                  <w:tcBorders>
                    <w:top w:val="single" w:color="auto" w:sz="4" w:space="0"/>
                    <w:left w:val="single" w:color="auto" w:sz="4" w:space="0"/>
                    <w:bottom w:val="single" w:color="auto" w:sz="4" w:space="0"/>
                    <w:right w:val="single" w:color="auto" w:sz="4" w:space="0"/>
                  </w:tcBorders>
                  <w:vAlign w:val="center"/>
                </w:tcPr>
                <w:p w14:paraId="67AC5ABF">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w:t>
                  </w:r>
                  <w:r>
                    <w:rPr>
                      <w:rFonts w:hint="eastAsia"/>
                      <w:color w:val="000000" w:themeColor="text1"/>
                      <w:sz w:val="21"/>
                      <w:szCs w:val="21"/>
                      <w:highlight w:val="none"/>
                      <w14:textFill>
                        <w14:solidFill>
                          <w14:schemeClr w14:val="tx1"/>
                        </w14:solidFill>
                      </w14:textFill>
                    </w:rPr>
                    <w:t>油墨</w:t>
                  </w:r>
                </w:p>
              </w:tc>
            </w:tr>
            <w:tr w14:paraId="0602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108A5F72">
                  <w:pPr>
                    <w:adjustRightInd w:val="0"/>
                    <w:spacing w:line="240" w:lineRule="auto"/>
                    <w:jc w:val="center"/>
                    <w:rPr>
                      <w:rFonts w:hint="eastAsia"/>
                      <w:color w:val="000000" w:themeColor="text1"/>
                      <w:spacing w:val="-4"/>
                      <w:sz w:val="21"/>
                      <w:szCs w:val="21"/>
                      <w:highlight w:val="none"/>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9</w:t>
                  </w:r>
                </w:p>
              </w:tc>
              <w:tc>
                <w:tcPr>
                  <w:tcW w:w="756" w:type="dxa"/>
                  <w:vMerge w:val="continue"/>
                  <w:tcBorders>
                    <w:left w:val="single" w:color="auto" w:sz="4" w:space="0"/>
                    <w:right w:val="single" w:color="auto" w:sz="4" w:space="0"/>
                  </w:tcBorders>
                  <w:vAlign w:val="center"/>
                </w:tcPr>
                <w:p w14:paraId="7BEEE642">
                  <w:pPr>
                    <w:widowControl/>
                    <w:spacing w:line="240" w:lineRule="auto"/>
                    <w:jc w:val="center"/>
                    <w:rPr>
                      <w:color w:val="000000" w:themeColor="text1"/>
                      <w:spacing w:val="-4"/>
                      <w:sz w:val="21"/>
                      <w:szCs w:val="21"/>
                      <w:highlight w:val="none"/>
                      <w14:textFill>
                        <w14:solidFill>
                          <w14:schemeClr w14:val="tx1"/>
                        </w14:solidFill>
                      </w14:textFill>
                    </w:rPr>
                  </w:pPr>
                </w:p>
              </w:tc>
              <w:tc>
                <w:tcPr>
                  <w:tcW w:w="1548" w:type="dxa"/>
                  <w:tcBorders>
                    <w:left w:val="single" w:color="auto" w:sz="4" w:space="0"/>
                    <w:right w:val="single" w:color="auto" w:sz="4" w:space="0"/>
                  </w:tcBorders>
                  <w:vAlign w:val="center"/>
                </w:tcPr>
                <w:p w14:paraId="0832F273">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设备维护</w:t>
                  </w:r>
                  <w:r>
                    <w:rPr>
                      <w:rFonts w:hint="eastAsia"/>
                      <w:color w:val="000000" w:themeColor="text1"/>
                      <w:spacing w:val="-4"/>
                      <w:sz w:val="21"/>
                      <w:szCs w:val="21"/>
                      <w:highlight w:val="none"/>
                      <w14:textFill>
                        <w14:solidFill>
                          <w14:schemeClr w14:val="tx1"/>
                        </w14:solidFill>
                      </w14:textFill>
                    </w:rPr>
                    <w:t>清洁</w:t>
                  </w:r>
                </w:p>
              </w:tc>
              <w:tc>
                <w:tcPr>
                  <w:tcW w:w="2020" w:type="dxa"/>
                  <w:tcBorders>
                    <w:top w:val="single" w:color="auto" w:sz="4" w:space="0"/>
                    <w:left w:val="single" w:color="auto" w:sz="4" w:space="0"/>
                    <w:bottom w:val="single" w:color="auto" w:sz="4" w:space="0"/>
                    <w:right w:val="single" w:color="auto" w:sz="4" w:space="0"/>
                  </w:tcBorders>
                  <w:vAlign w:val="center"/>
                </w:tcPr>
                <w:p w14:paraId="6EB27243">
                  <w:pPr>
                    <w:adjustRightInd w:val="0"/>
                    <w:spacing w:line="240" w:lineRule="auto"/>
                    <w:jc w:val="center"/>
                    <w:rPr>
                      <w:bCs/>
                      <w:color w:val="000000" w:themeColor="text1"/>
                      <w:spacing w:val="-4"/>
                      <w:sz w:val="21"/>
                      <w:szCs w:val="21"/>
                      <w:highlight w:val="none"/>
                      <w14:textFill>
                        <w14:solidFill>
                          <w14:schemeClr w14:val="tx1"/>
                        </w14:solidFill>
                      </w14:textFill>
                    </w:rPr>
                  </w:pPr>
                  <w:r>
                    <w:rPr>
                      <w:rFonts w:hint="eastAsia"/>
                      <w:bCs/>
                      <w:color w:val="000000" w:themeColor="text1"/>
                      <w:spacing w:val="-4"/>
                      <w:sz w:val="21"/>
                      <w:szCs w:val="21"/>
                      <w:highlight w:val="none"/>
                      <w:lang w:val="en-US" w:eastAsia="zh-CN"/>
                      <w14:textFill>
                        <w14:solidFill>
                          <w14:schemeClr w14:val="tx1"/>
                        </w14:solidFill>
                      </w14:textFill>
                    </w:rPr>
                    <w:t>钢板、胶头清洗废水</w:t>
                  </w:r>
                </w:p>
              </w:tc>
              <w:tc>
                <w:tcPr>
                  <w:tcW w:w="2972" w:type="dxa"/>
                  <w:tcBorders>
                    <w:top w:val="single" w:color="auto" w:sz="4" w:space="0"/>
                    <w:left w:val="single" w:color="auto" w:sz="4" w:space="0"/>
                    <w:bottom w:val="single" w:color="auto" w:sz="4" w:space="0"/>
                    <w:right w:val="single" w:color="auto" w:sz="4" w:space="0"/>
                  </w:tcBorders>
                  <w:vAlign w:val="center"/>
                </w:tcPr>
                <w:p w14:paraId="77DA5B1A">
                  <w:pPr>
                    <w:adjustRightInd w:val="0"/>
                    <w:spacing w:line="240" w:lineRule="auto"/>
                    <w:jc w:val="center"/>
                    <w:rPr>
                      <w:rFonts w:hint="eastAsia"/>
                      <w:bCs/>
                      <w:color w:val="000000" w:themeColor="text1"/>
                      <w:spacing w:val="-4"/>
                      <w:sz w:val="21"/>
                      <w:szCs w:val="21"/>
                      <w:highlight w:val="none"/>
                      <w14:textFill>
                        <w14:solidFill>
                          <w14:schemeClr w14:val="tx1"/>
                        </w14:solidFill>
                      </w14:textFill>
                    </w:rPr>
                  </w:pPr>
                  <w:r>
                    <w:rPr>
                      <w:rFonts w:hint="eastAsia"/>
                      <w:bCs/>
                      <w:color w:val="000000" w:themeColor="text1"/>
                      <w:spacing w:val="-4"/>
                      <w:sz w:val="21"/>
                      <w:szCs w:val="21"/>
                      <w:highlight w:val="none"/>
                      <w:lang w:val="en-US" w:eastAsia="zh-CN"/>
                      <w14:textFill>
                        <w14:solidFill>
                          <w14:schemeClr w14:val="tx1"/>
                        </w14:solidFill>
                      </w14:textFill>
                    </w:rPr>
                    <w:t>废</w:t>
                  </w:r>
                  <w:r>
                    <w:rPr>
                      <w:rFonts w:hint="eastAsia"/>
                      <w:bCs/>
                      <w:color w:val="000000" w:themeColor="text1"/>
                      <w:spacing w:val="-4"/>
                      <w:sz w:val="21"/>
                      <w:szCs w:val="21"/>
                      <w:highlight w:val="none"/>
                      <w14:textFill>
                        <w14:solidFill>
                          <w14:schemeClr w14:val="tx1"/>
                        </w14:solidFill>
                      </w14:textFill>
                    </w:rPr>
                    <w:t>油墨</w:t>
                  </w:r>
                </w:p>
              </w:tc>
            </w:tr>
            <w:tr w14:paraId="2712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6C6B6FF0">
                  <w:pPr>
                    <w:adjustRightInd w:val="0"/>
                    <w:spacing w:line="240" w:lineRule="auto"/>
                    <w:jc w:val="center"/>
                    <w:rPr>
                      <w:rFonts w:hint="eastAsia" w:eastAsia="宋体"/>
                      <w:color w:val="000000" w:themeColor="text1"/>
                      <w:spacing w:val="-4"/>
                      <w:sz w:val="21"/>
                      <w:szCs w:val="21"/>
                      <w:highlight w:val="none"/>
                      <w:lang w:eastAsia="zh-CN"/>
                      <w14:textFill>
                        <w14:solidFill>
                          <w14:schemeClr w14:val="tx1"/>
                        </w14:solidFill>
                      </w14:textFill>
                    </w:rPr>
                  </w:pPr>
                  <w:r>
                    <w:rPr>
                      <w:rFonts w:hint="eastAsia"/>
                      <w:color w:val="000000" w:themeColor="text1"/>
                      <w:spacing w:val="-4"/>
                      <w:sz w:val="21"/>
                      <w:szCs w:val="21"/>
                      <w:highlight w:val="none"/>
                      <w14:textFill>
                        <w14:solidFill>
                          <w14:schemeClr w14:val="tx1"/>
                        </w14:solidFill>
                      </w14:textFill>
                    </w:rPr>
                    <w:t>1</w:t>
                  </w:r>
                  <w:r>
                    <w:rPr>
                      <w:rFonts w:hint="eastAsia"/>
                      <w:color w:val="000000" w:themeColor="text1"/>
                      <w:spacing w:val="-4"/>
                      <w:sz w:val="21"/>
                      <w:szCs w:val="21"/>
                      <w:highlight w:val="none"/>
                      <w:lang w:val="en-US" w:eastAsia="zh-CN"/>
                      <w14:textFill>
                        <w14:solidFill>
                          <w14:schemeClr w14:val="tx1"/>
                        </w14:solidFill>
                      </w14:textFill>
                    </w:rPr>
                    <w:t>1</w:t>
                  </w:r>
                </w:p>
              </w:tc>
              <w:tc>
                <w:tcPr>
                  <w:tcW w:w="756" w:type="dxa"/>
                  <w:tcBorders>
                    <w:top w:val="single" w:color="auto" w:sz="4" w:space="0"/>
                    <w:left w:val="single" w:color="auto" w:sz="4" w:space="0"/>
                    <w:bottom w:val="single" w:color="auto" w:sz="4" w:space="0"/>
                    <w:right w:val="single" w:color="auto" w:sz="4" w:space="0"/>
                  </w:tcBorders>
                  <w:vAlign w:val="center"/>
                </w:tcPr>
                <w:p w14:paraId="0DC98848">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噪声</w:t>
                  </w:r>
                </w:p>
              </w:tc>
              <w:tc>
                <w:tcPr>
                  <w:tcW w:w="1548" w:type="dxa"/>
                  <w:tcBorders>
                    <w:top w:val="single" w:color="auto" w:sz="4" w:space="0"/>
                    <w:left w:val="single" w:color="auto" w:sz="4" w:space="0"/>
                    <w:bottom w:val="single" w:color="auto" w:sz="4" w:space="0"/>
                    <w:right w:val="single" w:color="auto" w:sz="4" w:space="0"/>
                  </w:tcBorders>
                  <w:vAlign w:val="center"/>
                </w:tcPr>
                <w:p w14:paraId="2AB20E7B">
                  <w:pPr>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设备运转</w:t>
                  </w:r>
                </w:p>
              </w:tc>
              <w:tc>
                <w:tcPr>
                  <w:tcW w:w="2020" w:type="dxa"/>
                  <w:tcBorders>
                    <w:top w:val="single" w:color="auto" w:sz="4" w:space="0"/>
                    <w:left w:val="single" w:color="auto" w:sz="4" w:space="0"/>
                    <w:bottom w:val="single" w:color="auto" w:sz="4" w:space="0"/>
                    <w:right w:val="single" w:color="auto" w:sz="4" w:space="0"/>
                  </w:tcBorders>
                  <w:vAlign w:val="center"/>
                </w:tcPr>
                <w:p w14:paraId="1BBBBF1C">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噪声</w:t>
                  </w:r>
                </w:p>
              </w:tc>
              <w:tc>
                <w:tcPr>
                  <w:tcW w:w="2972" w:type="dxa"/>
                  <w:tcBorders>
                    <w:top w:val="single" w:color="auto" w:sz="4" w:space="0"/>
                    <w:left w:val="single" w:color="auto" w:sz="4" w:space="0"/>
                    <w:bottom w:val="single" w:color="auto" w:sz="4" w:space="0"/>
                    <w:right w:val="single" w:color="auto" w:sz="4" w:space="0"/>
                  </w:tcBorders>
                  <w:vAlign w:val="center"/>
                </w:tcPr>
                <w:p w14:paraId="726CBC61">
                  <w:pPr>
                    <w:adjustRightInd w:val="0"/>
                    <w:spacing w:line="240" w:lineRule="auto"/>
                    <w:jc w:val="center"/>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设备噪声</w:t>
                  </w:r>
                </w:p>
              </w:tc>
            </w:tr>
          </w:tbl>
          <w:p w14:paraId="44E67FB1">
            <w:pPr>
              <w:pStyle w:val="26"/>
              <w:pageBreakBefore w:val="0"/>
              <w:kinsoku/>
              <w:overflowPunct/>
              <w:topLinePunct w:val="0"/>
              <w:bidi w:val="0"/>
              <w:snapToGrid/>
              <w:ind w:firstLine="0" w:firstLineChars="0"/>
              <w:outlineLvl w:val="9"/>
              <w:rPr>
                <w:rFonts w:hint="default" w:ascii="Times New Roman" w:hAnsi="Times New Roman" w:cs="Times New Roman"/>
                <w:b/>
                <w:bCs/>
                <w:color w:val="000000" w:themeColor="text1"/>
                <w:sz w:val="21"/>
                <w:szCs w:val="21"/>
                <w:highlight w:val="none"/>
                <w14:textFill>
                  <w14:solidFill>
                    <w14:schemeClr w14:val="tx1"/>
                  </w14:solidFill>
                </w14:textFill>
              </w:rPr>
            </w:pPr>
          </w:p>
        </w:tc>
      </w:tr>
    </w:tbl>
    <w:p w14:paraId="24C1273B">
      <w:pPr>
        <w:keepNext w:val="0"/>
        <w:keepLines w:val="0"/>
        <w:pageBreakBefore w:val="0"/>
        <w:widowControl w:val="0"/>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sectPr>
          <w:footerReference r:id="rId7"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bookmarkStart w:id="26" w:name="_Toc24696"/>
      <w:bookmarkStart w:id="27" w:name="_Toc631"/>
      <w:bookmarkStart w:id="28" w:name="_Toc13420"/>
      <w:bookmarkStart w:id="29" w:name="_Toc14546"/>
      <w:bookmarkStart w:id="30" w:name="_Toc11592"/>
      <w:bookmarkStart w:id="31" w:name="_Toc5613"/>
      <w:bookmarkStart w:id="32" w:name="_Toc5833"/>
      <w:bookmarkStart w:id="33" w:name="_Toc21908"/>
      <w:bookmarkStart w:id="34" w:name="_Toc25856"/>
      <w:bookmarkStart w:id="35" w:name="_Toc8130"/>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8082"/>
      </w:tblGrid>
      <w:tr w14:paraId="2D66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 w:type="pct"/>
            <w:vAlign w:val="center"/>
          </w:tcPr>
          <w:p w14:paraId="128E7080">
            <w:pPr>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与项目有关的原有环境污染问题</w:t>
            </w:r>
            <w:bookmarkEnd w:id="26"/>
            <w:bookmarkEnd w:id="27"/>
            <w:bookmarkEnd w:id="28"/>
            <w:bookmarkEnd w:id="29"/>
            <w:bookmarkEnd w:id="30"/>
            <w:bookmarkEnd w:id="31"/>
            <w:bookmarkEnd w:id="32"/>
            <w:bookmarkEnd w:id="33"/>
            <w:bookmarkEnd w:id="34"/>
            <w:bookmarkEnd w:id="35"/>
          </w:p>
        </w:tc>
        <w:tc>
          <w:tcPr>
            <w:tcW w:w="4738" w:type="pct"/>
            <w:vAlign w:val="center"/>
          </w:tcPr>
          <w:p w14:paraId="4FB402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1.</w:t>
            </w:r>
            <w:r>
              <w:rPr>
                <w:rFonts w:hint="default" w:ascii="Times New Roman" w:hAnsi="Times New Roman" w:eastAsia="宋体" w:cs="Times New Roman"/>
                <w:b/>
                <w:color w:val="000000" w:themeColor="text1"/>
                <w:sz w:val="24"/>
                <w:highlight w:val="none"/>
                <w14:textFill>
                  <w14:solidFill>
                    <w14:schemeClr w14:val="tx1"/>
                  </w14:solidFill>
                </w14:textFill>
              </w:rPr>
              <w:t>与本项目有关的原有污染情况</w:t>
            </w:r>
          </w:p>
          <w:p w14:paraId="63EA80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本项目属新建项目，无与本项目有关的原有污染情况。</w:t>
            </w:r>
          </w:p>
          <w:p w14:paraId="1F4E134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2.园区现状污染源情况</w:t>
            </w:r>
          </w:p>
          <w:p w14:paraId="51B30B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截至202</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月，乐昌产业转移工业园范围内产业现状基本以工业产业为主，共涉及</w:t>
            </w:r>
            <w:r>
              <w:rPr>
                <w:rFonts w:hint="eastAsia" w:cs="Times New Roman"/>
                <w:color w:val="000000" w:themeColor="text1"/>
                <w:kern w:val="2"/>
                <w:sz w:val="24"/>
                <w:szCs w:val="24"/>
                <w:highlight w:val="none"/>
                <w:lang w:val="en-US" w:eastAsia="zh-CN" w:bidi="ar-SA"/>
                <w14:textFill>
                  <w14:solidFill>
                    <w14:schemeClr w14:val="tx1"/>
                  </w14:solidFill>
                </w14:textFill>
              </w:rPr>
              <w:t>114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家企业，其中</w:t>
            </w:r>
            <w:r>
              <w:rPr>
                <w:rFonts w:hint="eastAsia" w:cs="Times New Roman"/>
                <w:color w:val="000000" w:themeColor="text1"/>
                <w:kern w:val="2"/>
                <w:sz w:val="24"/>
                <w:szCs w:val="24"/>
                <w:highlight w:val="none"/>
                <w:lang w:val="en-US" w:eastAsia="zh-CN" w:bidi="ar-SA"/>
                <w14:textFill>
                  <w14:solidFill>
                    <w14:schemeClr w14:val="tx1"/>
                  </w14:solidFill>
                </w14:textFill>
              </w:rPr>
              <w:t>6家企业</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334A0F3">
            <w:pPr>
              <w:pStyle w:val="16"/>
              <w:pageBreakBefore w:val="0"/>
              <w:numPr>
                <w:ilvl w:val="0"/>
                <w:numId w:val="8"/>
              </w:numPr>
              <w:kinsoku/>
              <w:overflowPunct/>
              <w:topLinePunct w:val="0"/>
              <w:bidi w:val="0"/>
              <w:snapToGrid/>
              <w:spacing w:line="240" w:lineRule="auto"/>
              <w:ind w:left="0" w:leftChars="0" w:firstLine="40" w:firstLineChars="0"/>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园区通过环评审批企业情况统计</w:t>
            </w:r>
          </w:p>
          <w:tbl>
            <w:tblPr>
              <w:tblStyle w:val="12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1"/>
              <w:gridCol w:w="1401"/>
              <w:gridCol w:w="390"/>
              <w:gridCol w:w="1083"/>
              <w:gridCol w:w="1088"/>
              <w:gridCol w:w="2129"/>
              <w:gridCol w:w="1346"/>
            </w:tblGrid>
            <w:tr w14:paraId="3B96E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31" w:type="dxa"/>
                  <w:vAlign w:val="center"/>
                </w:tcPr>
                <w:p w14:paraId="4FB86F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bookmarkStart w:id="36" w:name="_Ref11703236"/>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序号</w:t>
                  </w:r>
                </w:p>
              </w:tc>
              <w:tc>
                <w:tcPr>
                  <w:tcW w:w="1401" w:type="dxa"/>
                  <w:vAlign w:val="center"/>
                </w:tcPr>
                <w:p w14:paraId="53CD52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企业名称</w:t>
                  </w:r>
                </w:p>
              </w:tc>
              <w:tc>
                <w:tcPr>
                  <w:tcW w:w="390" w:type="dxa"/>
                  <w:vAlign w:val="center"/>
                </w:tcPr>
                <w:p w14:paraId="1E8A99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建设情况</w:t>
                  </w:r>
                </w:p>
              </w:tc>
              <w:tc>
                <w:tcPr>
                  <w:tcW w:w="1083" w:type="dxa"/>
                  <w:vAlign w:val="center"/>
                </w:tcPr>
                <w:p w14:paraId="75268D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产业类型</w:t>
                  </w:r>
                </w:p>
              </w:tc>
              <w:tc>
                <w:tcPr>
                  <w:tcW w:w="1088" w:type="dxa"/>
                  <w:vAlign w:val="center"/>
                </w:tcPr>
                <w:p w14:paraId="75941E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占地面积（平方米）</w:t>
                  </w:r>
                </w:p>
              </w:tc>
              <w:tc>
                <w:tcPr>
                  <w:tcW w:w="2129" w:type="dxa"/>
                  <w:vAlign w:val="center"/>
                </w:tcPr>
                <w:p w14:paraId="1D203A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主要产品及规模</w:t>
                  </w:r>
                </w:p>
              </w:tc>
              <w:tc>
                <w:tcPr>
                  <w:tcW w:w="1346" w:type="dxa"/>
                  <w:vAlign w:val="center"/>
                </w:tcPr>
                <w:p w14:paraId="53B107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环评批复</w:t>
                  </w:r>
                </w:p>
              </w:tc>
            </w:tr>
            <w:tr w14:paraId="30C5A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70E37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w:t>
                  </w:r>
                </w:p>
              </w:tc>
              <w:tc>
                <w:tcPr>
                  <w:tcW w:w="1401" w:type="dxa"/>
                  <w:vAlign w:val="center"/>
                </w:tcPr>
                <w:p w14:paraId="08B488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乐昌市金丰机械有限公司</w:t>
                  </w:r>
                </w:p>
              </w:tc>
              <w:tc>
                <w:tcPr>
                  <w:tcW w:w="390" w:type="dxa"/>
                  <w:vAlign w:val="center"/>
                </w:tcPr>
                <w:p w14:paraId="03C732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1E2B6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1088" w:type="dxa"/>
                  <w:vAlign w:val="center"/>
                </w:tcPr>
                <w:p w14:paraId="340536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38528.3</w:t>
                  </w:r>
                </w:p>
              </w:tc>
              <w:tc>
                <w:tcPr>
                  <w:tcW w:w="2129" w:type="dxa"/>
                  <w:vAlign w:val="center"/>
                </w:tcPr>
                <w:p w14:paraId="088FDE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2.4 万吨金属铸件，年加工 1800 吨机械零部件</w:t>
                  </w:r>
                </w:p>
              </w:tc>
              <w:tc>
                <w:tcPr>
                  <w:tcW w:w="1346" w:type="dxa"/>
                  <w:vAlign w:val="center"/>
                </w:tcPr>
                <w:p w14:paraId="141EDD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 号、韶环乐审〔2022〕01 号</w:t>
                  </w:r>
                </w:p>
              </w:tc>
            </w:tr>
            <w:tr w14:paraId="48D1C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40ECEB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w:t>
                  </w:r>
                </w:p>
              </w:tc>
              <w:tc>
                <w:tcPr>
                  <w:tcW w:w="1401" w:type="dxa"/>
                  <w:vAlign w:val="center"/>
                </w:tcPr>
                <w:p w14:paraId="775EC5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乐昌市捷凯家具有限公司</w:t>
                  </w:r>
                </w:p>
              </w:tc>
              <w:tc>
                <w:tcPr>
                  <w:tcW w:w="390" w:type="dxa"/>
                  <w:vAlign w:val="center"/>
                </w:tcPr>
                <w:p w14:paraId="531E10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E2C6F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EC8A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19980</w:t>
                  </w:r>
                </w:p>
              </w:tc>
              <w:tc>
                <w:tcPr>
                  <w:tcW w:w="2129" w:type="dxa"/>
                  <w:vAlign w:val="center"/>
                </w:tcPr>
                <w:p w14:paraId="30849D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年产家具铸铁件 1.2 万件</w:t>
                  </w:r>
                </w:p>
              </w:tc>
              <w:tc>
                <w:tcPr>
                  <w:tcW w:w="1346" w:type="dxa"/>
                  <w:vAlign w:val="center"/>
                </w:tcPr>
                <w:p w14:paraId="72EFB4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w:t>
                  </w:r>
                </w:p>
              </w:tc>
            </w:tr>
            <w:tr w14:paraId="7308E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D554D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w:t>
                  </w:r>
                </w:p>
              </w:tc>
              <w:tc>
                <w:tcPr>
                  <w:tcW w:w="1401" w:type="dxa"/>
                  <w:vAlign w:val="center"/>
                </w:tcPr>
                <w:p w14:paraId="2772DC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乐昌市瑞创精工制造有限公</w:t>
                  </w:r>
                </w:p>
                <w:p w14:paraId="4856ED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28FE64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E2A71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F61BD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19600</w:t>
                  </w:r>
                </w:p>
              </w:tc>
              <w:tc>
                <w:tcPr>
                  <w:tcW w:w="2129" w:type="dxa"/>
                  <w:vAlign w:val="center"/>
                </w:tcPr>
                <w:p w14:paraId="1B51E3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年产铸铁电饭煲内胆 10 万件、水泵铸件20 万件、铸铁烤网100 万件、铸铁发热板 220 万件、搪瓷炉架 100 万件</w:t>
                  </w:r>
                </w:p>
              </w:tc>
              <w:tc>
                <w:tcPr>
                  <w:tcW w:w="1346" w:type="dxa"/>
                  <w:vAlign w:val="center"/>
                </w:tcPr>
                <w:p w14:paraId="27D10A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 号</w:t>
                  </w:r>
                </w:p>
              </w:tc>
            </w:tr>
            <w:tr w14:paraId="2E769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3C668F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w:t>
                  </w:r>
                </w:p>
              </w:tc>
              <w:tc>
                <w:tcPr>
                  <w:tcW w:w="1401" w:type="dxa"/>
                  <w:vAlign w:val="center"/>
                </w:tcPr>
                <w:p w14:paraId="6CFA9F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乐昌市瑛龙高精铸造有限公</w:t>
                  </w:r>
                </w:p>
                <w:p w14:paraId="59C40D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3BFE3F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7797F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E6528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10702.96</w:t>
                  </w:r>
                </w:p>
              </w:tc>
              <w:tc>
                <w:tcPr>
                  <w:tcW w:w="2129" w:type="dxa"/>
                  <w:vAlign w:val="center"/>
                </w:tcPr>
                <w:p w14:paraId="1EA189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年产机械设备类的机械设备 1.1 万吨</w:t>
                  </w:r>
                </w:p>
              </w:tc>
              <w:tc>
                <w:tcPr>
                  <w:tcW w:w="1346" w:type="dxa"/>
                  <w:vAlign w:val="center"/>
                </w:tcPr>
                <w:p w14:paraId="0C438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 号</w:t>
                  </w:r>
                </w:p>
              </w:tc>
            </w:tr>
            <w:tr w14:paraId="3A12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A4E82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w:t>
                  </w:r>
                </w:p>
              </w:tc>
              <w:tc>
                <w:tcPr>
                  <w:tcW w:w="1401" w:type="dxa"/>
                  <w:vAlign w:val="center"/>
                </w:tcPr>
                <w:p w14:paraId="6245BA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乐昌市湘源金属制品有限公</w:t>
                  </w:r>
                </w:p>
                <w:p w14:paraId="025268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097F5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3222C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45F3F7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13339.8</w:t>
                  </w:r>
                </w:p>
              </w:tc>
              <w:tc>
                <w:tcPr>
                  <w:tcW w:w="2129" w:type="dxa"/>
                  <w:vAlign w:val="center"/>
                </w:tcPr>
                <w:p w14:paraId="4C143C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年产铸件 11500 吨</w:t>
                  </w:r>
                </w:p>
              </w:tc>
              <w:tc>
                <w:tcPr>
                  <w:tcW w:w="1346" w:type="dxa"/>
                  <w:vAlign w:val="center"/>
                </w:tcPr>
                <w:p w14:paraId="4659A8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号、韶环乐审〔2022〕13 号</w:t>
                  </w:r>
                </w:p>
              </w:tc>
            </w:tr>
            <w:tr w14:paraId="148A4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292636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7357CC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w:t>
                  </w:r>
                </w:p>
              </w:tc>
              <w:tc>
                <w:tcPr>
                  <w:tcW w:w="1401" w:type="dxa"/>
                  <w:vAlign w:val="center"/>
                </w:tcPr>
                <w:p w14:paraId="6CFA68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乐昌市钜宝科技制造有限公</w:t>
                  </w:r>
                </w:p>
                <w:p w14:paraId="7CF6FD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3135B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262251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A41AF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1088" w:type="dxa"/>
                  <w:vAlign w:val="center"/>
                </w:tcPr>
                <w:p w14:paraId="2F8D54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23539.9</w:t>
                  </w:r>
                </w:p>
              </w:tc>
              <w:tc>
                <w:tcPr>
                  <w:tcW w:w="2129" w:type="dxa"/>
                  <w:vAlign w:val="center"/>
                </w:tcPr>
                <w:p w14:paraId="0DB1A3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年产户外家具 49.8 万件、水泵铸件 6.52 万件、铸铁烤网 51</w:t>
                  </w:r>
                </w:p>
                <w:p w14:paraId="71845D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万件、铸铁发热板 161 万件、机加工铸铁件 4000 吨、喷粉铸</w:t>
                  </w:r>
                </w:p>
                <w:p w14:paraId="4DD25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铁件 1000 吨、搪瓷铸铁件 1000 吨</w:t>
                  </w:r>
                </w:p>
              </w:tc>
              <w:tc>
                <w:tcPr>
                  <w:tcW w:w="1346" w:type="dxa"/>
                  <w:vAlign w:val="center"/>
                </w:tcPr>
                <w:p w14:paraId="75BA6E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 号、韶环乐审</w:t>
                  </w:r>
                </w:p>
                <w:p w14:paraId="03456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 号</w:t>
                  </w:r>
                </w:p>
              </w:tc>
            </w:tr>
            <w:tr w14:paraId="05F21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04F9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w:t>
                  </w:r>
                </w:p>
              </w:tc>
              <w:tc>
                <w:tcPr>
                  <w:tcW w:w="1401" w:type="dxa"/>
                  <w:vAlign w:val="center"/>
                </w:tcPr>
                <w:p w14:paraId="4FB2CD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乐昌胜旗精工科技有限公司</w:t>
                  </w:r>
                </w:p>
              </w:tc>
              <w:tc>
                <w:tcPr>
                  <w:tcW w:w="390" w:type="dxa"/>
                  <w:vAlign w:val="center"/>
                </w:tcPr>
                <w:p w14:paraId="3DBDA9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84F3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415619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13322</w:t>
                  </w:r>
                </w:p>
              </w:tc>
              <w:tc>
                <w:tcPr>
                  <w:tcW w:w="2129" w:type="dxa"/>
                  <w:vAlign w:val="center"/>
                </w:tcPr>
                <w:p w14:paraId="5EADB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年产炉架 10 万件、炉排、炉头、家具件、机械件、减速机波</w:t>
                  </w:r>
                </w:p>
                <w:p w14:paraId="58CEB9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箱各 5 万件、发热盘 3 万件</w:t>
                  </w:r>
                </w:p>
              </w:tc>
              <w:tc>
                <w:tcPr>
                  <w:tcW w:w="1346" w:type="dxa"/>
                  <w:vAlign w:val="center"/>
                </w:tcPr>
                <w:p w14:paraId="7CE16D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 号</w:t>
                  </w:r>
                </w:p>
              </w:tc>
            </w:tr>
            <w:tr w14:paraId="5271B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D5E0C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w:t>
                  </w:r>
                </w:p>
              </w:tc>
              <w:tc>
                <w:tcPr>
                  <w:tcW w:w="1401" w:type="dxa"/>
                  <w:vAlign w:val="center"/>
                </w:tcPr>
                <w:p w14:paraId="36CCC1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乐昌市钜烽机械制造有限公</w:t>
                  </w:r>
                </w:p>
                <w:p w14:paraId="219462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565F8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5B56A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3A20E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51BF9D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年产机械铸件 1 万吨</w:t>
                  </w:r>
                </w:p>
              </w:tc>
              <w:tc>
                <w:tcPr>
                  <w:tcW w:w="1346" w:type="dxa"/>
                  <w:vAlign w:val="center"/>
                </w:tcPr>
                <w:p w14:paraId="6D3DA2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4456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2DEC9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w:t>
                  </w:r>
                </w:p>
              </w:tc>
              <w:tc>
                <w:tcPr>
                  <w:tcW w:w="1401" w:type="dxa"/>
                  <w:vAlign w:val="center"/>
                </w:tcPr>
                <w:p w14:paraId="1E060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乐昌市金利华机械制造有限</w:t>
                  </w:r>
                </w:p>
                <w:p w14:paraId="7ECBB5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6FB785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DE0DD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15DB3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4BDBBF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年产食品机械铸件 1 万件</w:t>
                  </w:r>
                </w:p>
              </w:tc>
              <w:tc>
                <w:tcPr>
                  <w:tcW w:w="1346" w:type="dxa"/>
                  <w:vAlign w:val="center"/>
                </w:tcPr>
                <w:p w14:paraId="0AAC2F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 号</w:t>
                  </w:r>
                </w:p>
              </w:tc>
            </w:tr>
            <w:tr w14:paraId="665AA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FA952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w:t>
                  </w:r>
                </w:p>
              </w:tc>
              <w:tc>
                <w:tcPr>
                  <w:tcW w:w="1401" w:type="dxa"/>
                  <w:vAlign w:val="center"/>
                </w:tcPr>
                <w:p w14:paraId="11A8EE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乐昌市宏信精工制造有限公</w:t>
                  </w:r>
                </w:p>
                <w:p w14:paraId="19C58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F790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A1E3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AC57E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7702B8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年产球墨模具、零件 4000 吨、灰口模具、零件 6000 吨</w:t>
                  </w:r>
                </w:p>
              </w:tc>
              <w:tc>
                <w:tcPr>
                  <w:tcW w:w="1346" w:type="dxa"/>
                  <w:vAlign w:val="center"/>
                </w:tcPr>
                <w:p w14:paraId="11ADDE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 号、韶环乐审</w:t>
                  </w:r>
                </w:p>
                <w:p w14:paraId="1C9626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1757C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5B94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w:t>
                  </w:r>
                </w:p>
              </w:tc>
              <w:tc>
                <w:tcPr>
                  <w:tcW w:w="1401" w:type="dxa"/>
                  <w:vAlign w:val="center"/>
                </w:tcPr>
                <w:p w14:paraId="326ED3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乐昌市金来得实业有限公司</w:t>
                  </w:r>
                </w:p>
              </w:tc>
              <w:tc>
                <w:tcPr>
                  <w:tcW w:w="390" w:type="dxa"/>
                  <w:vAlign w:val="center"/>
                </w:tcPr>
                <w:p w14:paraId="2AC12E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907F2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橡胶和塑料制品业、家具制造业</w:t>
                  </w:r>
                </w:p>
              </w:tc>
              <w:tc>
                <w:tcPr>
                  <w:tcW w:w="1088" w:type="dxa"/>
                  <w:vAlign w:val="center"/>
                </w:tcPr>
                <w:p w14:paraId="69B96A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23018.4</w:t>
                  </w:r>
                </w:p>
              </w:tc>
              <w:tc>
                <w:tcPr>
                  <w:tcW w:w="2129" w:type="dxa"/>
                  <w:vAlign w:val="center"/>
                </w:tcPr>
                <w:p w14:paraId="62D9E6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年产卫浴、衣柜 1.6 万套；聚乙烯高分子材料 4.8 万立方米</w:t>
                  </w:r>
                </w:p>
              </w:tc>
              <w:tc>
                <w:tcPr>
                  <w:tcW w:w="1346" w:type="dxa"/>
                  <w:vAlign w:val="center"/>
                </w:tcPr>
                <w:p w14:paraId="08A02D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号、乐环审〔2020〕</w:t>
                  </w:r>
                </w:p>
                <w:p w14:paraId="399E64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 号</w:t>
                  </w:r>
                </w:p>
              </w:tc>
            </w:tr>
            <w:tr w14:paraId="7ABDF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31" w:type="dxa"/>
                  <w:vAlign w:val="center"/>
                </w:tcPr>
                <w:p w14:paraId="6FC02B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5B3FB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w:t>
                  </w:r>
                </w:p>
              </w:tc>
              <w:tc>
                <w:tcPr>
                  <w:tcW w:w="1401" w:type="dxa"/>
                  <w:vAlign w:val="center"/>
                </w:tcPr>
                <w:p w14:paraId="73A87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广东沃府实业有限公司</w:t>
                  </w:r>
                </w:p>
              </w:tc>
              <w:tc>
                <w:tcPr>
                  <w:tcW w:w="390" w:type="dxa"/>
                  <w:vAlign w:val="center"/>
                </w:tcPr>
                <w:p w14:paraId="4D8532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343BB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橡胶和塑料制品业、废弃资源综合利用业</w:t>
                  </w:r>
                </w:p>
              </w:tc>
              <w:tc>
                <w:tcPr>
                  <w:tcW w:w="1088" w:type="dxa"/>
                  <w:vAlign w:val="center"/>
                </w:tcPr>
                <w:p w14:paraId="0E09B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73337</w:t>
                  </w:r>
                </w:p>
              </w:tc>
              <w:tc>
                <w:tcPr>
                  <w:tcW w:w="2129" w:type="dxa"/>
                  <w:vAlign w:val="center"/>
                </w:tcPr>
                <w:p w14:paraId="79CE9C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10 万吨、家电塑料配件2000 吨</w:t>
                  </w:r>
                </w:p>
              </w:tc>
              <w:tc>
                <w:tcPr>
                  <w:tcW w:w="1346" w:type="dxa"/>
                  <w:vAlign w:val="center"/>
                </w:tcPr>
                <w:p w14:paraId="0E55C8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177 号、乐环审</w:t>
                  </w:r>
                </w:p>
                <w:p w14:paraId="28481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〔2021〕05 号、韶环乐审〔2025〕</w:t>
                  </w:r>
                </w:p>
                <w:p w14:paraId="7FD4FB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 号</w:t>
                  </w:r>
                </w:p>
              </w:tc>
            </w:tr>
            <w:tr w14:paraId="25EEE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50B78C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507701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w:t>
                  </w:r>
                </w:p>
              </w:tc>
              <w:tc>
                <w:tcPr>
                  <w:tcW w:w="1401" w:type="dxa"/>
                  <w:vAlign w:val="center"/>
                </w:tcPr>
                <w:p w14:paraId="013825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韶关乐淇包装材料有限公司</w:t>
                  </w:r>
                </w:p>
              </w:tc>
              <w:tc>
                <w:tcPr>
                  <w:tcW w:w="390" w:type="dxa"/>
                  <w:vAlign w:val="center"/>
                </w:tcPr>
                <w:p w14:paraId="27E1F8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E6FB8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227AE5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74F3C1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1088" w:type="dxa"/>
                  <w:vAlign w:val="center"/>
                </w:tcPr>
                <w:p w14:paraId="04196F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50991.9</w:t>
                  </w:r>
                </w:p>
              </w:tc>
              <w:tc>
                <w:tcPr>
                  <w:tcW w:w="2129" w:type="dxa"/>
                  <w:vAlign w:val="center"/>
                </w:tcPr>
                <w:p w14:paraId="5813A9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年产塑料新材料 7.22 万吨</w:t>
                  </w:r>
                </w:p>
              </w:tc>
              <w:tc>
                <w:tcPr>
                  <w:tcW w:w="1346" w:type="dxa"/>
                  <w:vAlign w:val="center"/>
                </w:tcPr>
                <w:p w14:paraId="68C26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]04 号</w:t>
                  </w:r>
                </w:p>
              </w:tc>
            </w:tr>
            <w:tr w14:paraId="324DC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CA9DC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w:t>
                  </w:r>
                </w:p>
              </w:tc>
              <w:tc>
                <w:tcPr>
                  <w:tcW w:w="1401" w:type="dxa"/>
                  <w:vAlign w:val="center"/>
                </w:tcPr>
                <w:p w14:paraId="457A0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乐昌市华国艺术装饰建材有</w:t>
                  </w:r>
                </w:p>
                <w:p w14:paraId="328B63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29DEF5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8ED7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483D5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27375.05</w:t>
                  </w:r>
                </w:p>
              </w:tc>
              <w:tc>
                <w:tcPr>
                  <w:tcW w:w="2129" w:type="dxa"/>
                  <w:vAlign w:val="center"/>
                </w:tcPr>
                <w:p w14:paraId="5055AD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346" w:type="dxa"/>
                  <w:vAlign w:val="center"/>
                </w:tcPr>
                <w:p w14:paraId="2EB0F7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 号</w:t>
                  </w:r>
                </w:p>
              </w:tc>
            </w:tr>
            <w:tr w14:paraId="07171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466309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w:t>
                  </w:r>
                </w:p>
              </w:tc>
              <w:tc>
                <w:tcPr>
                  <w:tcW w:w="1401" w:type="dxa"/>
                  <w:vAlign w:val="center"/>
                </w:tcPr>
                <w:p w14:paraId="15F308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汇隽新材料科技（乐昌）有限</w:t>
                  </w:r>
                </w:p>
                <w:p w14:paraId="723429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86887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1C74D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9798C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7349.3</w:t>
                  </w:r>
                </w:p>
              </w:tc>
              <w:tc>
                <w:tcPr>
                  <w:tcW w:w="2129" w:type="dxa"/>
                  <w:vAlign w:val="center"/>
                </w:tcPr>
                <w:p w14:paraId="49B4C4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750 吨、聚氨酯装饰制品 250 吨</w:t>
                  </w:r>
                </w:p>
              </w:tc>
              <w:tc>
                <w:tcPr>
                  <w:tcW w:w="1346" w:type="dxa"/>
                  <w:vAlign w:val="center"/>
                </w:tcPr>
                <w:p w14:paraId="089250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13 号</w:t>
                  </w:r>
                </w:p>
              </w:tc>
            </w:tr>
            <w:tr w14:paraId="048D6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1" w:type="dxa"/>
                  <w:vAlign w:val="center"/>
                </w:tcPr>
                <w:p w14:paraId="05EF65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w:t>
                  </w:r>
                </w:p>
              </w:tc>
              <w:tc>
                <w:tcPr>
                  <w:tcW w:w="1401" w:type="dxa"/>
                  <w:vAlign w:val="center"/>
                </w:tcPr>
                <w:p w14:paraId="6BAA22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广东宝创环保新材料制品有</w:t>
                  </w:r>
                </w:p>
                <w:p w14:paraId="361DF5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26D4CC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06440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44E095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32671.2</w:t>
                  </w:r>
                </w:p>
              </w:tc>
              <w:tc>
                <w:tcPr>
                  <w:tcW w:w="2129" w:type="dxa"/>
                  <w:vAlign w:val="center"/>
                </w:tcPr>
                <w:p w14:paraId="4D6228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年产热轧无纺布 2800 吨、口罩 30000 万片、纺粘熔喷无纺布</w:t>
                  </w:r>
                </w:p>
                <w:p w14:paraId="7BC17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7440 吨、衬布 5720 万米、热风无纺布 860 吨、复合芯体 1430</w:t>
                  </w:r>
                </w:p>
                <w:p w14:paraId="296BE7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吨、湿巾 360 万包、熔喷无纺布 1500 吨、网膜无纺布 825</w:t>
                  </w:r>
                </w:p>
                <w:p w14:paraId="6D76F6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万米、无纺布抽取式干巾 57 万盒、无纺布床单 570 万张、口</w:t>
                  </w:r>
                </w:p>
                <w:p w14:paraId="1AC5E3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罩衬布 2000 万米、其他衬布 7000 万米</w:t>
                  </w:r>
                </w:p>
              </w:tc>
              <w:tc>
                <w:tcPr>
                  <w:tcW w:w="1346" w:type="dxa"/>
                  <w:vAlign w:val="center"/>
                </w:tcPr>
                <w:p w14:paraId="0CEC5B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号、乐环审〔2020〕 23 号、韶环乐审〔2021〕26 号</w:t>
                  </w:r>
                </w:p>
              </w:tc>
            </w:tr>
            <w:tr w14:paraId="6B4BF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24F0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w:t>
                  </w:r>
                </w:p>
              </w:tc>
              <w:tc>
                <w:tcPr>
                  <w:tcW w:w="1401" w:type="dxa"/>
                  <w:vAlign w:val="center"/>
                </w:tcPr>
                <w:p w14:paraId="0C6324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广东泰邦耐磨金属科技有限</w:t>
                  </w:r>
                </w:p>
                <w:p w14:paraId="0ED4EE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7A5D65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8301E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4EFA6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33583</w:t>
                  </w:r>
                </w:p>
              </w:tc>
              <w:tc>
                <w:tcPr>
                  <w:tcW w:w="2129" w:type="dxa"/>
                  <w:vAlign w:val="center"/>
                </w:tcPr>
                <w:p w14:paraId="08D103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 1 万吨</w:t>
                  </w:r>
                </w:p>
              </w:tc>
              <w:tc>
                <w:tcPr>
                  <w:tcW w:w="1346" w:type="dxa"/>
                  <w:vAlign w:val="center"/>
                </w:tcPr>
                <w:p w14:paraId="0F2589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 号</w:t>
                  </w:r>
                </w:p>
              </w:tc>
            </w:tr>
            <w:tr w14:paraId="54CFB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1" w:type="dxa"/>
                  <w:vAlign w:val="center"/>
                </w:tcPr>
                <w:p w14:paraId="5377C8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w:t>
                  </w:r>
                </w:p>
              </w:tc>
              <w:tc>
                <w:tcPr>
                  <w:tcW w:w="1401" w:type="dxa"/>
                  <w:vAlign w:val="center"/>
                </w:tcPr>
                <w:p w14:paraId="7023BC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乐昌市明俊铸造有限公司</w:t>
                  </w:r>
                </w:p>
              </w:tc>
              <w:tc>
                <w:tcPr>
                  <w:tcW w:w="390" w:type="dxa"/>
                  <w:vAlign w:val="center"/>
                </w:tcPr>
                <w:p w14:paraId="635397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87BFC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C446D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12666</w:t>
                  </w:r>
                </w:p>
              </w:tc>
              <w:tc>
                <w:tcPr>
                  <w:tcW w:w="2129" w:type="dxa"/>
                  <w:vAlign w:val="center"/>
                </w:tcPr>
                <w:p w14:paraId="71AB31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年产水泵类铸件、油泵 6000 吨</w:t>
                  </w:r>
                </w:p>
              </w:tc>
              <w:tc>
                <w:tcPr>
                  <w:tcW w:w="1346" w:type="dxa"/>
                  <w:vAlign w:val="center"/>
                </w:tcPr>
                <w:p w14:paraId="4080DF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12 号、乐环审</w:t>
                  </w:r>
                </w:p>
                <w:p w14:paraId="299F5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号、韶环乐审〔2022〕14</w:t>
                  </w:r>
                </w:p>
                <w:p w14:paraId="59E82F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65039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7F904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w:t>
                  </w:r>
                </w:p>
              </w:tc>
              <w:tc>
                <w:tcPr>
                  <w:tcW w:w="1401" w:type="dxa"/>
                  <w:vAlign w:val="center"/>
                </w:tcPr>
                <w:p w14:paraId="7211EC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乐昌市翔辉皮革有限公司</w:t>
                  </w:r>
                </w:p>
              </w:tc>
              <w:tc>
                <w:tcPr>
                  <w:tcW w:w="390" w:type="dxa"/>
                  <w:vAlign w:val="center"/>
                </w:tcPr>
                <w:p w14:paraId="63EEEC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F2EBE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1088" w:type="dxa"/>
                  <w:vAlign w:val="center"/>
                </w:tcPr>
                <w:p w14:paraId="3DBA03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14014.6</w:t>
                  </w:r>
                </w:p>
              </w:tc>
              <w:tc>
                <w:tcPr>
                  <w:tcW w:w="2129" w:type="dxa"/>
                  <w:vAlign w:val="center"/>
                </w:tcPr>
                <w:p w14:paraId="69DFCF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年产二层贴膜榔皮 200 万呎、3 贴膜 PU0 万码</w:t>
                  </w:r>
                </w:p>
              </w:tc>
              <w:tc>
                <w:tcPr>
                  <w:tcW w:w="1346" w:type="dxa"/>
                  <w:vAlign w:val="center"/>
                </w:tcPr>
                <w:p w14:paraId="29AE5C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]07 号</w:t>
                  </w:r>
                </w:p>
              </w:tc>
            </w:tr>
            <w:tr w14:paraId="0EB1A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9EE2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w:t>
                  </w:r>
                </w:p>
              </w:tc>
              <w:tc>
                <w:tcPr>
                  <w:tcW w:w="1401" w:type="dxa"/>
                  <w:vAlign w:val="center"/>
                </w:tcPr>
                <w:p w14:paraId="202228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广东欧匹特智能装备有限公</w:t>
                  </w:r>
                </w:p>
                <w:p w14:paraId="09D041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2FF5A7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5331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57251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26032</w:t>
                  </w:r>
                </w:p>
              </w:tc>
              <w:tc>
                <w:tcPr>
                  <w:tcW w:w="2129" w:type="dxa"/>
                  <w:vAlign w:val="center"/>
                </w:tcPr>
                <w:p w14:paraId="2EF3B7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年产数控机床 450 台</w:t>
                  </w:r>
                </w:p>
              </w:tc>
              <w:tc>
                <w:tcPr>
                  <w:tcW w:w="1346" w:type="dxa"/>
                  <w:vAlign w:val="center"/>
                </w:tcPr>
                <w:p w14:paraId="5C0C46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乐环审〔2020〕16 号</w:t>
                  </w:r>
                </w:p>
              </w:tc>
            </w:tr>
            <w:tr w14:paraId="62FEA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0829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w:t>
                  </w:r>
                </w:p>
              </w:tc>
              <w:tc>
                <w:tcPr>
                  <w:tcW w:w="1401" w:type="dxa"/>
                  <w:vAlign w:val="center"/>
                </w:tcPr>
                <w:p w14:paraId="27FE09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乐昌市泰瑞菲实业有限公司</w:t>
                  </w:r>
                </w:p>
              </w:tc>
              <w:tc>
                <w:tcPr>
                  <w:tcW w:w="390" w:type="dxa"/>
                  <w:vAlign w:val="center"/>
                </w:tcPr>
                <w:p w14:paraId="5A9044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9C6ED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22DF25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15266</w:t>
                  </w:r>
                </w:p>
              </w:tc>
              <w:tc>
                <w:tcPr>
                  <w:tcW w:w="2129" w:type="dxa"/>
                  <w:vAlign w:val="center"/>
                </w:tcPr>
                <w:p w14:paraId="19229E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年产新型塑料装饰材料 1 万吨</w:t>
                  </w:r>
                </w:p>
              </w:tc>
              <w:tc>
                <w:tcPr>
                  <w:tcW w:w="1346" w:type="dxa"/>
                  <w:vAlign w:val="center"/>
                </w:tcPr>
                <w:p w14:paraId="30381F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 号</w:t>
                  </w:r>
                </w:p>
              </w:tc>
            </w:tr>
            <w:tr w14:paraId="335D8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A75B5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w:t>
                  </w:r>
                </w:p>
              </w:tc>
              <w:tc>
                <w:tcPr>
                  <w:tcW w:w="1401" w:type="dxa"/>
                  <w:vAlign w:val="center"/>
                </w:tcPr>
                <w:p w14:paraId="1A2C7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韶关韶瑞铸钢有限公司</w:t>
                  </w:r>
                </w:p>
              </w:tc>
              <w:tc>
                <w:tcPr>
                  <w:tcW w:w="390" w:type="dxa"/>
                  <w:vAlign w:val="center"/>
                </w:tcPr>
                <w:p w14:paraId="6EE734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84255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127FD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75085</w:t>
                  </w:r>
                </w:p>
              </w:tc>
              <w:tc>
                <w:tcPr>
                  <w:tcW w:w="2129" w:type="dxa"/>
                  <w:vAlign w:val="center"/>
                </w:tcPr>
                <w:p w14:paraId="407468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年产铸钢件、铸铁件 4.1 万吨</w:t>
                  </w:r>
                </w:p>
              </w:tc>
              <w:tc>
                <w:tcPr>
                  <w:tcW w:w="1346" w:type="dxa"/>
                  <w:vAlign w:val="center"/>
                </w:tcPr>
                <w:p w14:paraId="4B8751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163 号、乐环审 [</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]01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19 号</w:t>
                  </w:r>
                </w:p>
              </w:tc>
            </w:tr>
            <w:tr w14:paraId="45143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62134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w:t>
                  </w:r>
                </w:p>
              </w:tc>
              <w:tc>
                <w:tcPr>
                  <w:tcW w:w="1401" w:type="dxa"/>
                  <w:vAlign w:val="center"/>
                </w:tcPr>
                <w:p w14:paraId="1C32AF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精信（乐昌）机械有限公司</w:t>
                  </w:r>
                </w:p>
              </w:tc>
              <w:tc>
                <w:tcPr>
                  <w:tcW w:w="390" w:type="dxa"/>
                  <w:vAlign w:val="center"/>
                </w:tcPr>
                <w:p w14:paraId="284030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90B56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49F2E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16950.3</w:t>
                  </w:r>
                </w:p>
              </w:tc>
              <w:tc>
                <w:tcPr>
                  <w:tcW w:w="2129" w:type="dxa"/>
                  <w:vAlign w:val="center"/>
                </w:tcPr>
                <w:p w14:paraId="42D3CA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年产人防门配件 11250 套</w:t>
                  </w:r>
                </w:p>
              </w:tc>
              <w:tc>
                <w:tcPr>
                  <w:tcW w:w="1346" w:type="dxa"/>
                  <w:vAlign w:val="center"/>
                </w:tcPr>
                <w:p w14:paraId="61B47A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韶环乐审〔2021〕25 号</w:t>
                  </w:r>
                </w:p>
              </w:tc>
            </w:tr>
            <w:tr w14:paraId="18192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C2D12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w:t>
                  </w:r>
                </w:p>
              </w:tc>
              <w:tc>
                <w:tcPr>
                  <w:tcW w:w="1401" w:type="dxa"/>
                  <w:vAlign w:val="center"/>
                </w:tcPr>
                <w:p w14:paraId="6D074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韶关高尔德防雷科技有限公</w:t>
                  </w:r>
                </w:p>
                <w:p w14:paraId="2C1846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BAF74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8F541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284C48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15561.5</w:t>
                  </w:r>
                </w:p>
              </w:tc>
              <w:tc>
                <w:tcPr>
                  <w:tcW w:w="2129" w:type="dxa"/>
                  <w:vAlign w:val="center"/>
                </w:tcPr>
                <w:p w14:paraId="1A79D6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年产防雷电子器件 10 万套、3 万台移动通信基站电源、 480</w:t>
                  </w:r>
                </w:p>
                <w:p w14:paraId="5FDF55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 AH 铁锂电池</w:t>
                  </w:r>
                </w:p>
              </w:tc>
              <w:tc>
                <w:tcPr>
                  <w:tcW w:w="1346" w:type="dxa"/>
                  <w:vAlign w:val="center"/>
                </w:tcPr>
                <w:p w14:paraId="0E1B70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2015</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]240 号、乐环审〔2020〕12 号</w:t>
                  </w:r>
                </w:p>
              </w:tc>
            </w:tr>
            <w:tr w14:paraId="436EE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12FE9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w:t>
                  </w:r>
                </w:p>
              </w:tc>
              <w:tc>
                <w:tcPr>
                  <w:tcW w:w="1401" w:type="dxa"/>
                  <w:vAlign w:val="center"/>
                </w:tcPr>
                <w:p w14:paraId="2D215D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韶关博尔兹阀门工业有限公</w:t>
                  </w:r>
                </w:p>
                <w:p w14:paraId="53BB49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D3FD7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942CE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D6AD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20198.7</w:t>
                  </w:r>
                </w:p>
              </w:tc>
              <w:tc>
                <w:tcPr>
                  <w:tcW w:w="2129" w:type="dxa"/>
                  <w:vAlign w:val="center"/>
                </w:tcPr>
                <w:p w14:paraId="42EA7F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年产阀门 5000 件、铸钢件 1.2 万件、铸铁件2.3 万件、机械</w:t>
                  </w:r>
                </w:p>
                <w:p w14:paraId="6DF58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配件 1 万件</w:t>
                  </w:r>
                </w:p>
              </w:tc>
              <w:tc>
                <w:tcPr>
                  <w:tcW w:w="1346" w:type="dxa"/>
                  <w:vAlign w:val="center"/>
                </w:tcPr>
                <w:p w14:paraId="320413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 号、乐环审〔2018〕</w:t>
                  </w:r>
                </w:p>
                <w:p w14:paraId="3A4459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 号</w:t>
                  </w:r>
                </w:p>
              </w:tc>
            </w:tr>
            <w:tr w14:paraId="1213A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A2560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w:t>
                  </w:r>
                </w:p>
              </w:tc>
              <w:tc>
                <w:tcPr>
                  <w:tcW w:w="1401" w:type="dxa"/>
                  <w:vAlign w:val="center"/>
                </w:tcPr>
                <w:p w14:paraId="0DF7DA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广东科拓电子元件有限公司</w:t>
                  </w:r>
                </w:p>
              </w:tc>
              <w:tc>
                <w:tcPr>
                  <w:tcW w:w="390" w:type="dxa"/>
                  <w:vAlign w:val="center"/>
                </w:tcPr>
                <w:p w14:paraId="394679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C8355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0EA8F9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1720.83</w:t>
                  </w:r>
                </w:p>
              </w:tc>
              <w:tc>
                <w:tcPr>
                  <w:tcW w:w="2129" w:type="dxa"/>
                  <w:vAlign w:val="center"/>
                </w:tcPr>
                <w:p w14:paraId="1FABA4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年产电容、电阻器 8 亿只</w:t>
                  </w:r>
                </w:p>
              </w:tc>
              <w:tc>
                <w:tcPr>
                  <w:tcW w:w="1346" w:type="dxa"/>
                  <w:vAlign w:val="center"/>
                </w:tcPr>
                <w:p w14:paraId="7DD811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韶环乐审〔2021〕13 号</w:t>
                  </w:r>
                </w:p>
              </w:tc>
            </w:tr>
            <w:tr w14:paraId="6307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1EE1C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w:t>
                  </w:r>
                </w:p>
              </w:tc>
              <w:tc>
                <w:tcPr>
                  <w:tcW w:w="1401" w:type="dxa"/>
                  <w:vAlign w:val="center"/>
                </w:tcPr>
                <w:p w14:paraId="7ED9C0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宇创箱包制品（韶关市乐昌）</w:t>
                  </w:r>
                </w:p>
                <w:p w14:paraId="663C94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90" w:type="dxa"/>
                  <w:vAlign w:val="center"/>
                </w:tcPr>
                <w:p w14:paraId="583272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BF50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1088" w:type="dxa"/>
                  <w:vAlign w:val="center"/>
                </w:tcPr>
                <w:p w14:paraId="02704F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1200</w:t>
                  </w:r>
                </w:p>
              </w:tc>
              <w:tc>
                <w:tcPr>
                  <w:tcW w:w="2129" w:type="dxa"/>
                  <w:vAlign w:val="center"/>
                </w:tcPr>
                <w:p w14:paraId="360FB5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年产钱包 30 万个，手袋 50 万个</w:t>
                  </w:r>
                </w:p>
              </w:tc>
              <w:tc>
                <w:tcPr>
                  <w:tcW w:w="1346" w:type="dxa"/>
                  <w:vAlign w:val="center"/>
                </w:tcPr>
                <w:p w14:paraId="188240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乐环审〔2020〕09 号</w:t>
                  </w:r>
                </w:p>
              </w:tc>
            </w:tr>
            <w:tr w14:paraId="33E4A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372B2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28</w:t>
                  </w:r>
                </w:p>
              </w:tc>
              <w:tc>
                <w:tcPr>
                  <w:tcW w:w="1401" w:type="dxa"/>
                  <w:vAlign w:val="center"/>
                </w:tcPr>
                <w:p w14:paraId="346C9A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广东启轮金属制品有限公司</w:t>
                  </w:r>
                </w:p>
              </w:tc>
              <w:tc>
                <w:tcPr>
                  <w:tcW w:w="390" w:type="dxa"/>
                  <w:vAlign w:val="center"/>
                </w:tcPr>
                <w:p w14:paraId="26FA2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3B3A5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9A7E7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10679.3</w:t>
                  </w:r>
                </w:p>
              </w:tc>
              <w:tc>
                <w:tcPr>
                  <w:tcW w:w="2129" w:type="dxa"/>
                  <w:vAlign w:val="center"/>
                </w:tcPr>
                <w:p w14:paraId="2977BD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年产脚轮 100 万个</w:t>
                  </w:r>
                </w:p>
              </w:tc>
              <w:tc>
                <w:tcPr>
                  <w:tcW w:w="1346" w:type="dxa"/>
                  <w:vAlign w:val="center"/>
                </w:tcPr>
                <w:p w14:paraId="3496E7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韶环乐审〔2021〕22 号、韶环乐审〔2025〕09 号</w:t>
                  </w:r>
                </w:p>
              </w:tc>
            </w:tr>
            <w:tr w14:paraId="33E48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1" w:type="dxa"/>
                  <w:vAlign w:val="center"/>
                </w:tcPr>
                <w:p w14:paraId="4AE5A8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w:t>
                  </w:r>
                </w:p>
              </w:tc>
              <w:tc>
                <w:tcPr>
                  <w:tcW w:w="1401" w:type="dxa"/>
                  <w:vAlign w:val="center"/>
                </w:tcPr>
                <w:p w14:paraId="4B7364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深圳艾尔康电子元器件有限公司乐昌分公司</w:t>
                  </w:r>
                </w:p>
              </w:tc>
              <w:tc>
                <w:tcPr>
                  <w:tcW w:w="390" w:type="dxa"/>
                  <w:vAlign w:val="center"/>
                </w:tcPr>
                <w:p w14:paraId="435350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568B9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6C1B2A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20006.9</w:t>
                  </w:r>
                </w:p>
              </w:tc>
              <w:tc>
                <w:tcPr>
                  <w:tcW w:w="2129" w:type="dxa"/>
                  <w:vAlign w:val="center"/>
                </w:tcPr>
                <w:p w14:paraId="1BB206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年产探针 422 万、接线端子及其零部件 36000 万、感应器及其零部件 200 万、接插件及其零部件 2500 万、模具 50 套、五金产品 30000 万、塑胶配件 30000 万、自动化装备 50 台</w:t>
                  </w:r>
                </w:p>
              </w:tc>
              <w:tc>
                <w:tcPr>
                  <w:tcW w:w="1346" w:type="dxa"/>
                  <w:vAlign w:val="center"/>
                </w:tcPr>
                <w:p w14:paraId="78F316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417A1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2E283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w:t>
                  </w:r>
                </w:p>
              </w:tc>
              <w:tc>
                <w:tcPr>
                  <w:tcW w:w="1401" w:type="dxa"/>
                  <w:vAlign w:val="center"/>
                </w:tcPr>
                <w:p w14:paraId="5A3379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乐昌市缔恒科技有限公司</w:t>
                  </w:r>
                </w:p>
              </w:tc>
              <w:tc>
                <w:tcPr>
                  <w:tcW w:w="390" w:type="dxa"/>
                  <w:vAlign w:val="center"/>
                </w:tcPr>
                <w:p w14:paraId="72CF98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2CD2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5DE271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5000</w:t>
                  </w:r>
                </w:p>
              </w:tc>
              <w:tc>
                <w:tcPr>
                  <w:tcW w:w="2129" w:type="dxa"/>
                  <w:vAlign w:val="center"/>
                </w:tcPr>
                <w:p w14:paraId="391B45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年产金刚石复合片 50 万片</w:t>
                  </w:r>
                </w:p>
              </w:tc>
              <w:tc>
                <w:tcPr>
                  <w:tcW w:w="1346" w:type="dxa"/>
                  <w:vAlign w:val="center"/>
                </w:tcPr>
                <w:p w14:paraId="636DB3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4D483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27AF00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w:t>
                  </w:r>
                </w:p>
              </w:tc>
              <w:tc>
                <w:tcPr>
                  <w:tcW w:w="1401" w:type="dxa"/>
                  <w:vAlign w:val="center"/>
                </w:tcPr>
                <w:p w14:paraId="3051F0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乐昌市盛昌钢构有限公司</w:t>
                  </w:r>
                </w:p>
              </w:tc>
              <w:tc>
                <w:tcPr>
                  <w:tcW w:w="390" w:type="dxa"/>
                  <w:vAlign w:val="center"/>
                </w:tcPr>
                <w:p w14:paraId="1225EA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0C0DD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C6D63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9000</w:t>
                  </w:r>
                </w:p>
              </w:tc>
              <w:tc>
                <w:tcPr>
                  <w:tcW w:w="2129" w:type="dxa"/>
                  <w:vAlign w:val="center"/>
                </w:tcPr>
                <w:p w14:paraId="232E24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 500 吨钢结构</w:t>
                  </w:r>
                </w:p>
              </w:tc>
              <w:tc>
                <w:tcPr>
                  <w:tcW w:w="1346" w:type="dxa"/>
                  <w:vAlign w:val="center"/>
                </w:tcPr>
                <w:p w14:paraId="720F2A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 号</w:t>
                  </w:r>
                </w:p>
              </w:tc>
            </w:tr>
            <w:tr w14:paraId="589FD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0547C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w:t>
                  </w:r>
                </w:p>
              </w:tc>
              <w:tc>
                <w:tcPr>
                  <w:tcW w:w="1401" w:type="dxa"/>
                  <w:vAlign w:val="center"/>
                </w:tcPr>
                <w:p w14:paraId="499C74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乐昌市安莉琪服饰有限公司</w:t>
                  </w:r>
                </w:p>
              </w:tc>
              <w:tc>
                <w:tcPr>
                  <w:tcW w:w="390" w:type="dxa"/>
                  <w:vAlign w:val="center"/>
                </w:tcPr>
                <w:p w14:paraId="35456F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A857D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纺织服装、服饰业</w:t>
                  </w:r>
                </w:p>
              </w:tc>
              <w:tc>
                <w:tcPr>
                  <w:tcW w:w="1088" w:type="dxa"/>
                  <w:vAlign w:val="center"/>
                </w:tcPr>
                <w:p w14:paraId="2891C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13164.82</w:t>
                  </w:r>
                </w:p>
              </w:tc>
              <w:tc>
                <w:tcPr>
                  <w:tcW w:w="2129" w:type="dxa"/>
                  <w:vAlign w:val="center"/>
                </w:tcPr>
                <w:p w14:paraId="7167A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 万件服装</w:t>
                  </w:r>
                </w:p>
              </w:tc>
              <w:tc>
                <w:tcPr>
                  <w:tcW w:w="1346" w:type="dxa"/>
                  <w:vAlign w:val="center"/>
                </w:tcPr>
                <w:p w14:paraId="383D44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 号</w:t>
                  </w:r>
                </w:p>
              </w:tc>
            </w:tr>
            <w:tr w14:paraId="4DD8D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A4F97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w:t>
                  </w:r>
                </w:p>
              </w:tc>
              <w:tc>
                <w:tcPr>
                  <w:tcW w:w="1401" w:type="dxa"/>
                  <w:vAlign w:val="center"/>
                </w:tcPr>
                <w:p w14:paraId="1947B7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乐昌市宏泰机械制造有限公</w:t>
                  </w:r>
                </w:p>
                <w:p w14:paraId="6BE07E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8598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812C7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90FAE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17320</w:t>
                  </w:r>
                </w:p>
              </w:tc>
              <w:tc>
                <w:tcPr>
                  <w:tcW w:w="2129" w:type="dxa"/>
                  <w:vAlign w:val="center"/>
                </w:tcPr>
                <w:p w14:paraId="4581B9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 1.5 万吨、铸铁件 5000 吨</w:t>
                  </w:r>
                </w:p>
              </w:tc>
              <w:tc>
                <w:tcPr>
                  <w:tcW w:w="1346" w:type="dxa"/>
                  <w:vAlign w:val="center"/>
                </w:tcPr>
                <w:p w14:paraId="48AA4F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 号、乐环审〔2019〕</w:t>
                  </w:r>
                </w:p>
                <w:p w14:paraId="33469A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w:t>
                  </w:r>
                </w:p>
              </w:tc>
            </w:tr>
            <w:tr w14:paraId="203BA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31" w:type="dxa"/>
                  <w:vAlign w:val="center"/>
                </w:tcPr>
                <w:p w14:paraId="2102DF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w:t>
                  </w:r>
                </w:p>
              </w:tc>
              <w:tc>
                <w:tcPr>
                  <w:tcW w:w="1401" w:type="dxa"/>
                  <w:vAlign w:val="center"/>
                </w:tcPr>
                <w:p w14:paraId="0CF392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乐昌市特安消防器材有限公</w:t>
                  </w:r>
                </w:p>
                <w:p w14:paraId="14DF30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6B26E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8DFF3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1EB297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1283.1</w:t>
                  </w:r>
                </w:p>
              </w:tc>
              <w:tc>
                <w:tcPr>
                  <w:tcW w:w="2129" w:type="dxa"/>
                  <w:vAlign w:val="center"/>
                </w:tcPr>
                <w:p w14:paraId="27217F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60 万件（含霍加拉特剂生产 600吨），逃生缓降器 3000 套，急逃生绳 3000 条，消防防护服2万套，家庭应急供氧组合装备 1500 台，灭火毯 3000 张，箔隔热服 3000 套，以及应急包、应急箱 6000 套等</w:t>
                  </w:r>
                </w:p>
              </w:tc>
              <w:tc>
                <w:tcPr>
                  <w:tcW w:w="1346" w:type="dxa"/>
                  <w:vAlign w:val="center"/>
                </w:tcPr>
                <w:p w14:paraId="304E92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w:t>
                  </w:r>
                </w:p>
              </w:tc>
            </w:tr>
            <w:tr w14:paraId="48469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3B1D9C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w:t>
                  </w:r>
                </w:p>
              </w:tc>
              <w:tc>
                <w:tcPr>
                  <w:tcW w:w="1401" w:type="dxa"/>
                  <w:vAlign w:val="center"/>
                </w:tcPr>
                <w:p w14:paraId="6B935B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乐昌市同路单采血浆有限公</w:t>
                  </w:r>
                </w:p>
                <w:p w14:paraId="7CB8D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77750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10B64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卫生</w:t>
                  </w:r>
                </w:p>
              </w:tc>
              <w:tc>
                <w:tcPr>
                  <w:tcW w:w="1088" w:type="dxa"/>
                  <w:vAlign w:val="center"/>
                </w:tcPr>
                <w:p w14:paraId="3FB45C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9379</w:t>
                  </w:r>
                </w:p>
              </w:tc>
              <w:tc>
                <w:tcPr>
                  <w:tcW w:w="2129" w:type="dxa"/>
                  <w:vAlign w:val="center"/>
                </w:tcPr>
                <w:p w14:paraId="1BFECF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采浆量为 40t/a</w:t>
                  </w:r>
                </w:p>
              </w:tc>
              <w:tc>
                <w:tcPr>
                  <w:tcW w:w="1346" w:type="dxa"/>
                  <w:vAlign w:val="center"/>
                </w:tcPr>
                <w:p w14:paraId="6468DC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2016</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 号</w:t>
                  </w:r>
                </w:p>
              </w:tc>
            </w:tr>
            <w:tr w14:paraId="33F0C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560FE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w:t>
                  </w:r>
                </w:p>
              </w:tc>
              <w:tc>
                <w:tcPr>
                  <w:tcW w:w="1401" w:type="dxa"/>
                  <w:vAlign w:val="center"/>
                </w:tcPr>
                <w:p w14:paraId="212294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韶关鑫瑞智能装备有限公司</w:t>
                  </w:r>
                </w:p>
              </w:tc>
              <w:tc>
                <w:tcPr>
                  <w:tcW w:w="390" w:type="dxa"/>
                  <w:vAlign w:val="center"/>
                </w:tcPr>
                <w:p w14:paraId="6C9E52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E8296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3D56BB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17693</w:t>
                  </w:r>
                </w:p>
              </w:tc>
              <w:tc>
                <w:tcPr>
                  <w:tcW w:w="2129" w:type="dxa"/>
                  <w:vAlign w:val="center"/>
                </w:tcPr>
                <w:p w14:paraId="37C23E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年产破碎、筛分单机设备，移动式破碎筛分装备和模块化装</w:t>
                  </w:r>
                </w:p>
                <w:p w14:paraId="48C6B8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备 803 台</w:t>
                  </w:r>
                </w:p>
              </w:tc>
              <w:tc>
                <w:tcPr>
                  <w:tcW w:w="1346" w:type="dxa"/>
                  <w:vAlign w:val="center"/>
                </w:tcPr>
                <w:p w14:paraId="1D83FC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乐环审〔2019〕25 号</w:t>
                  </w:r>
                </w:p>
              </w:tc>
            </w:tr>
            <w:tr w14:paraId="35F29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48BBF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w:t>
                  </w:r>
                </w:p>
              </w:tc>
              <w:tc>
                <w:tcPr>
                  <w:tcW w:w="1401" w:type="dxa"/>
                  <w:vAlign w:val="center"/>
                </w:tcPr>
                <w:p w14:paraId="7D5D4D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韶关龙督装饰材料有限公司</w:t>
                  </w:r>
                </w:p>
              </w:tc>
              <w:tc>
                <w:tcPr>
                  <w:tcW w:w="390" w:type="dxa"/>
                  <w:vAlign w:val="center"/>
                </w:tcPr>
                <w:p w14:paraId="72BAD2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D9086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3A28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33812.1</w:t>
                  </w:r>
                </w:p>
              </w:tc>
              <w:tc>
                <w:tcPr>
                  <w:tcW w:w="2129" w:type="dxa"/>
                  <w:vAlign w:val="center"/>
                </w:tcPr>
                <w:p w14:paraId="00681D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年产彩涂铝卷 400 万平方米，铝幕墙板、铝天花板 100 万平</w:t>
                  </w:r>
                </w:p>
                <w:p w14:paraId="44680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方米</w:t>
                  </w:r>
                </w:p>
              </w:tc>
              <w:tc>
                <w:tcPr>
                  <w:tcW w:w="1346" w:type="dxa"/>
                  <w:vAlign w:val="center"/>
                </w:tcPr>
                <w:p w14:paraId="5F6464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w:t>
                  </w:r>
                </w:p>
              </w:tc>
            </w:tr>
            <w:tr w14:paraId="2D40F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D5F0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w:t>
                  </w:r>
                </w:p>
              </w:tc>
              <w:tc>
                <w:tcPr>
                  <w:tcW w:w="1401" w:type="dxa"/>
                  <w:vAlign w:val="center"/>
                </w:tcPr>
                <w:p w14:paraId="196F5C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乐昌市胜兴新材料有限公司</w:t>
                  </w:r>
                </w:p>
              </w:tc>
              <w:tc>
                <w:tcPr>
                  <w:tcW w:w="390" w:type="dxa"/>
                  <w:vAlign w:val="center"/>
                </w:tcPr>
                <w:p w14:paraId="22738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8DD65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37E3A6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5760</w:t>
                  </w:r>
                </w:p>
              </w:tc>
              <w:tc>
                <w:tcPr>
                  <w:tcW w:w="2129" w:type="dxa"/>
                  <w:vAlign w:val="center"/>
                </w:tcPr>
                <w:p w14:paraId="5B4BF3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年产衬布 6000 万米</w:t>
                  </w:r>
                </w:p>
              </w:tc>
              <w:tc>
                <w:tcPr>
                  <w:tcW w:w="1346" w:type="dxa"/>
                  <w:vAlign w:val="center"/>
                </w:tcPr>
                <w:p w14:paraId="574243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18 号</w:t>
                  </w:r>
                </w:p>
              </w:tc>
            </w:tr>
            <w:tr w14:paraId="01950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E0C21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w:t>
                  </w:r>
                </w:p>
              </w:tc>
              <w:tc>
                <w:tcPr>
                  <w:tcW w:w="1401" w:type="dxa"/>
                  <w:vAlign w:val="center"/>
                </w:tcPr>
                <w:p w14:paraId="03F40C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乐昌市鸿鑫机械设备有限公</w:t>
                  </w:r>
                </w:p>
                <w:p w14:paraId="0A9BF7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9160F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6E025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7637EE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700</w:t>
                  </w:r>
                </w:p>
              </w:tc>
              <w:tc>
                <w:tcPr>
                  <w:tcW w:w="2129" w:type="dxa"/>
                  <w:vAlign w:val="center"/>
                </w:tcPr>
                <w:p w14:paraId="651A3F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年产液压元件 1000 套</w:t>
                  </w:r>
                </w:p>
              </w:tc>
              <w:tc>
                <w:tcPr>
                  <w:tcW w:w="1346" w:type="dxa"/>
                  <w:vAlign w:val="center"/>
                </w:tcPr>
                <w:p w14:paraId="7327C1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乐环审〔2019〕38 号</w:t>
                  </w:r>
                </w:p>
              </w:tc>
            </w:tr>
            <w:tr w14:paraId="6FCF1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2D85B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w:t>
                  </w:r>
                </w:p>
              </w:tc>
              <w:tc>
                <w:tcPr>
                  <w:tcW w:w="1401" w:type="dxa"/>
                  <w:vAlign w:val="center"/>
                </w:tcPr>
                <w:p w14:paraId="465A1C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广东柏创智能装备有限公司</w:t>
                  </w:r>
                </w:p>
              </w:tc>
              <w:tc>
                <w:tcPr>
                  <w:tcW w:w="390" w:type="dxa"/>
                  <w:vAlign w:val="center"/>
                </w:tcPr>
                <w:p w14:paraId="2F8B69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A7166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3B0643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129" w:type="dxa"/>
                  <w:vAlign w:val="center"/>
                </w:tcPr>
                <w:p w14:paraId="7C1277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年产单晶炉热交换器 1.2 万套、腔体部件 200 套、晶棒相关</w:t>
                  </w:r>
                </w:p>
                <w:p w14:paraId="000326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自动化设备 200 套</w:t>
                  </w:r>
                </w:p>
              </w:tc>
              <w:tc>
                <w:tcPr>
                  <w:tcW w:w="1346" w:type="dxa"/>
                  <w:vAlign w:val="center"/>
                </w:tcPr>
                <w:p w14:paraId="0316D1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韶环乐审〔2023〕33 号</w:t>
                  </w:r>
                </w:p>
              </w:tc>
            </w:tr>
            <w:tr w14:paraId="4BA33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EE701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w:t>
                  </w:r>
                </w:p>
              </w:tc>
              <w:tc>
                <w:tcPr>
                  <w:tcW w:w="1401" w:type="dxa"/>
                  <w:vAlign w:val="center"/>
                </w:tcPr>
                <w:p w14:paraId="147209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广东中衡能源设备有限公司</w:t>
                  </w:r>
                </w:p>
              </w:tc>
              <w:tc>
                <w:tcPr>
                  <w:tcW w:w="390" w:type="dxa"/>
                  <w:vAlign w:val="center"/>
                </w:tcPr>
                <w:p w14:paraId="0E52D8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1FA94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0CE3C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13940.57</w:t>
                  </w:r>
                </w:p>
              </w:tc>
              <w:tc>
                <w:tcPr>
                  <w:tcW w:w="2129" w:type="dxa"/>
                  <w:vAlign w:val="center"/>
                </w:tcPr>
                <w:p w14:paraId="18D7B8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年产移动通信基站设备 3 万套、移动通信机柜 2 万套</w:t>
                  </w:r>
                </w:p>
              </w:tc>
              <w:tc>
                <w:tcPr>
                  <w:tcW w:w="1346" w:type="dxa"/>
                  <w:vAlign w:val="center"/>
                </w:tcPr>
                <w:p w14:paraId="0BFB6B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韶环乐审〔2022〕12 号</w:t>
                  </w:r>
                </w:p>
              </w:tc>
            </w:tr>
            <w:tr w14:paraId="4366F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1" w:type="dxa"/>
                  <w:vAlign w:val="center"/>
                </w:tcPr>
                <w:p w14:paraId="18A94C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w:t>
                  </w:r>
                </w:p>
              </w:tc>
              <w:tc>
                <w:tcPr>
                  <w:tcW w:w="1401" w:type="dxa"/>
                  <w:vAlign w:val="center"/>
                </w:tcPr>
                <w:p w14:paraId="4CB810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韶关欧亚特电子制品有限公</w:t>
                  </w:r>
                </w:p>
                <w:p w14:paraId="7B599B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0FE78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60871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计算机、通信和其他电子设备制造业、电气机械和器材制造业、橡胶和塑料制品业</w:t>
                  </w:r>
                </w:p>
              </w:tc>
              <w:tc>
                <w:tcPr>
                  <w:tcW w:w="1088" w:type="dxa"/>
                  <w:vAlign w:val="center"/>
                </w:tcPr>
                <w:p w14:paraId="4B734B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18664</w:t>
                  </w:r>
                </w:p>
              </w:tc>
              <w:tc>
                <w:tcPr>
                  <w:tcW w:w="2129" w:type="dxa"/>
                  <w:vAlign w:val="center"/>
                </w:tcPr>
                <w:p w14:paraId="6ADCF8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1000 万支热熔胶枪及 1000 万根插头线、3000 万条热熔</w:t>
                  </w:r>
                </w:p>
                <w:p w14:paraId="73FFC1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胶条</w:t>
                  </w:r>
                </w:p>
              </w:tc>
              <w:tc>
                <w:tcPr>
                  <w:tcW w:w="1346" w:type="dxa"/>
                  <w:vAlign w:val="center"/>
                </w:tcPr>
                <w:p w14:paraId="0B22EB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号、乐环审</w:t>
                  </w:r>
                </w:p>
                <w:p w14:paraId="3D51F3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]09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 号、</w:t>
                  </w:r>
                </w:p>
                <w:p w14:paraId="69008C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乐环审〔2020〕05 号</w:t>
                  </w:r>
                </w:p>
              </w:tc>
            </w:tr>
            <w:tr w14:paraId="23FE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B3CDA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w:t>
                  </w:r>
                </w:p>
              </w:tc>
              <w:tc>
                <w:tcPr>
                  <w:tcW w:w="1401" w:type="dxa"/>
                  <w:vAlign w:val="center"/>
                </w:tcPr>
                <w:p w14:paraId="47BAC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德尔安科技（广东）有限公司</w:t>
                  </w:r>
                </w:p>
              </w:tc>
              <w:tc>
                <w:tcPr>
                  <w:tcW w:w="390" w:type="dxa"/>
                  <w:vAlign w:val="center"/>
                </w:tcPr>
                <w:p w14:paraId="601884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F151E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63CBB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27672.2</w:t>
                  </w:r>
                </w:p>
              </w:tc>
              <w:tc>
                <w:tcPr>
                  <w:tcW w:w="2129" w:type="dxa"/>
                  <w:vAlign w:val="center"/>
                </w:tcPr>
                <w:p w14:paraId="0138A5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400 万具，水基型灭火器 100 万具，催化剂 600 吨和水系灭火剂2400 吨等</w:t>
                  </w:r>
                </w:p>
              </w:tc>
              <w:tc>
                <w:tcPr>
                  <w:tcW w:w="1346" w:type="dxa"/>
                  <w:vAlign w:val="center"/>
                </w:tcPr>
                <w:p w14:paraId="54E8FD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韶环乐审〔2021〕23 号</w:t>
                  </w:r>
                </w:p>
              </w:tc>
            </w:tr>
            <w:tr w14:paraId="6B02B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1EDD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w:t>
                  </w:r>
                </w:p>
              </w:tc>
              <w:tc>
                <w:tcPr>
                  <w:tcW w:w="1401" w:type="dxa"/>
                  <w:vAlign w:val="center"/>
                </w:tcPr>
                <w:p w14:paraId="05F21E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广东东田实业有限公司</w:t>
                  </w:r>
                </w:p>
              </w:tc>
              <w:tc>
                <w:tcPr>
                  <w:tcW w:w="390" w:type="dxa"/>
                  <w:vAlign w:val="center"/>
                </w:tcPr>
                <w:p w14:paraId="159F1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263B4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67419A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1557.48</w:t>
                  </w:r>
                </w:p>
              </w:tc>
              <w:tc>
                <w:tcPr>
                  <w:tcW w:w="2129" w:type="dxa"/>
                  <w:vAlign w:val="center"/>
                </w:tcPr>
                <w:p w14:paraId="597ADF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年产移动通信基站电源钣金件 5 万套</w:t>
                  </w:r>
                </w:p>
              </w:tc>
              <w:tc>
                <w:tcPr>
                  <w:tcW w:w="1346" w:type="dxa"/>
                  <w:vAlign w:val="center"/>
                </w:tcPr>
                <w:p w14:paraId="5240F3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乐环审〔2020〕27 号</w:t>
                  </w:r>
                </w:p>
              </w:tc>
            </w:tr>
            <w:tr w14:paraId="7E80D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1DBC06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45</w:t>
                  </w:r>
                </w:p>
              </w:tc>
              <w:tc>
                <w:tcPr>
                  <w:tcW w:w="1401" w:type="dxa"/>
                  <w:vAlign w:val="center"/>
                </w:tcPr>
                <w:p w14:paraId="75EA52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广东弘德宝厨具有限公司</w:t>
                  </w:r>
                </w:p>
              </w:tc>
              <w:tc>
                <w:tcPr>
                  <w:tcW w:w="390" w:type="dxa"/>
                  <w:vAlign w:val="center"/>
                </w:tcPr>
                <w:p w14:paraId="667591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79700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1CC93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26640</w:t>
                  </w:r>
                </w:p>
              </w:tc>
              <w:tc>
                <w:tcPr>
                  <w:tcW w:w="2129" w:type="dxa"/>
                  <w:vAlign w:val="center"/>
                </w:tcPr>
                <w:p w14:paraId="5DEBFD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年产铸铁厨房用具 2.5 万吨</w:t>
                  </w:r>
                </w:p>
              </w:tc>
              <w:tc>
                <w:tcPr>
                  <w:tcW w:w="1346" w:type="dxa"/>
                  <w:vAlign w:val="center"/>
                </w:tcPr>
                <w:p w14:paraId="721DAD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韶环乐审〔2022〕18 号</w:t>
                  </w:r>
                </w:p>
              </w:tc>
            </w:tr>
            <w:tr w14:paraId="3116B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4AF8E2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46</w:t>
                  </w:r>
                </w:p>
              </w:tc>
              <w:tc>
                <w:tcPr>
                  <w:tcW w:w="1401" w:type="dxa"/>
                  <w:vAlign w:val="center"/>
                </w:tcPr>
                <w:p w14:paraId="51C17A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冠荣科技（韶关）有限公司</w:t>
                  </w:r>
                </w:p>
              </w:tc>
              <w:tc>
                <w:tcPr>
                  <w:tcW w:w="390" w:type="dxa"/>
                  <w:vAlign w:val="center"/>
                </w:tcPr>
                <w:p w14:paraId="654C7D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5206F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橡胶和塑料制品业、印刷和记录媒介复制业</w:t>
                  </w:r>
                </w:p>
              </w:tc>
              <w:tc>
                <w:tcPr>
                  <w:tcW w:w="1088" w:type="dxa"/>
                  <w:vAlign w:val="center"/>
                </w:tcPr>
                <w:p w14:paraId="25C4C7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129" w:type="dxa"/>
                  <w:vAlign w:val="center"/>
                </w:tcPr>
                <w:p w14:paraId="11C6B2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年产商标 18000 万个、TPU 材料和硅胶材料 50 万平方米</w:t>
                  </w:r>
                </w:p>
              </w:tc>
              <w:tc>
                <w:tcPr>
                  <w:tcW w:w="1346" w:type="dxa"/>
                  <w:vAlign w:val="center"/>
                </w:tcPr>
                <w:p w14:paraId="6C1B76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韶环乐审〔2023〕07 号</w:t>
                  </w:r>
                </w:p>
              </w:tc>
            </w:tr>
            <w:tr w14:paraId="2E2F0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3033F2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w:t>
                  </w:r>
                </w:p>
              </w:tc>
              <w:tc>
                <w:tcPr>
                  <w:tcW w:w="1401" w:type="dxa"/>
                  <w:vAlign w:val="center"/>
                </w:tcPr>
                <w:p w14:paraId="00FFA1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添亿包装（广东）有限公司</w:t>
                  </w:r>
                </w:p>
              </w:tc>
              <w:tc>
                <w:tcPr>
                  <w:tcW w:w="390" w:type="dxa"/>
                  <w:vAlign w:val="center"/>
                </w:tcPr>
                <w:p w14:paraId="796F06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9BB6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纸制品制造</w:t>
                  </w:r>
                </w:p>
              </w:tc>
              <w:tc>
                <w:tcPr>
                  <w:tcW w:w="1088" w:type="dxa"/>
                  <w:vAlign w:val="center"/>
                </w:tcPr>
                <w:p w14:paraId="078A91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16564.72</w:t>
                  </w:r>
                </w:p>
              </w:tc>
              <w:tc>
                <w:tcPr>
                  <w:tcW w:w="2129" w:type="dxa"/>
                  <w:vAlign w:val="center"/>
                </w:tcPr>
                <w:p w14:paraId="459760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10 亿套</w:t>
                  </w:r>
                </w:p>
              </w:tc>
              <w:tc>
                <w:tcPr>
                  <w:tcW w:w="1346" w:type="dxa"/>
                  <w:vAlign w:val="center"/>
                </w:tcPr>
                <w:p w14:paraId="723978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韶环乐审〔2021〕24 号</w:t>
                  </w:r>
                </w:p>
              </w:tc>
            </w:tr>
            <w:tr w14:paraId="3DCB5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0F8E19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w:t>
                  </w:r>
                </w:p>
              </w:tc>
              <w:tc>
                <w:tcPr>
                  <w:tcW w:w="1401" w:type="dxa"/>
                  <w:vAlign w:val="center"/>
                </w:tcPr>
                <w:p w14:paraId="431B43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广东光宝微电子有限公司</w:t>
                  </w:r>
                </w:p>
              </w:tc>
              <w:tc>
                <w:tcPr>
                  <w:tcW w:w="390" w:type="dxa"/>
                  <w:vAlign w:val="center"/>
                </w:tcPr>
                <w:p w14:paraId="1C2462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C4CF3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711238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w:t>
                  </w:r>
                </w:p>
              </w:tc>
              <w:tc>
                <w:tcPr>
                  <w:tcW w:w="2129" w:type="dxa"/>
                  <w:vAlign w:val="center"/>
                </w:tcPr>
                <w:p w14:paraId="75BD6A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年产发光二极管 1.2 亿个、光电耦合器件 1500 万个</w:t>
                  </w:r>
                </w:p>
              </w:tc>
              <w:tc>
                <w:tcPr>
                  <w:tcW w:w="1346" w:type="dxa"/>
                  <w:vAlign w:val="center"/>
                </w:tcPr>
                <w:p w14:paraId="145712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韶环乐审〔2024〕21 号</w:t>
                  </w:r>
                </w:p>
              </w:tc>
            </w:tr>
            <w:tr w14:paraId="34D13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4C649F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49</w:t>
                  </w:r>
                </w:p>
              </w:tc>
              <w:tc>
                <w:tcPr>
                  <w:tcW w:w="1401" w:type="dxa"/>
                  <w:vAlign w:val="center"/>
                </w:tcPr>
                <w:p w14:paraId="0575C5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韶关博鑫工程服务有限公司</w:t>
                  </w:r>
                </w:p>
              </w:tc>
              <w:tc>
                <w:tcPr>
                  <w:tcW w:w="390" w:type="dxa"/>
                  <w:vAlign w:val="center"/>
                </w:tcPr>
                <w:p w14:paraId="7628A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82B23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8C13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51544.6</w:t>
                  </w:r>
                </w:p>
              </w:tc>
              <w:tc>
                <w:tcPr>
                  <w:tcW w:w="2129" w:type="dxa"/>
                  <w:vAlign w:val="center"/>
                </w:tcPr>
                <w:p w14:paraId="6C913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年产铝合金模板 20 万立方米、翻新铝合金模板20 万立方米、翻新背楞 2000 吨、其他配套产品 3000 吨</w:t>
                  </w:r>
                </w:p>
              </w:tc>
              <w:tc>
                <w:tcPr>
                  <w:tcW w:w="1346" w:type="dxa"/>
                  <w:vAlign w:val="center"/>
                </w:tcPr>
                <w:p w14:paraId="5E4D72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韶环乐审〔2024〕34 号</w:t>
                  </w:r>
                </w:p>
              </w:tc>
            </w:tr>
            <w:tr w14:paraId="1C5EF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09BF0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w:t>
                  </w:r>
                </w:p>
              </w:tc>
              <w:tc>
                <w:tcPr>
                  <w:tcW w:w="1401" w:type="dxa"/>
                  <w:vAlign w:val="center"/>
                </w:tcPr>
                <w:p w14:paraId="43E73C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乐昌市安顺达管道天然气有</w:t>
                  </w:r>
                </w:p>
                <w:p w14:paraId="63B3E2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3EB913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9C24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燃气生产和供应业</w:t>
                  </w:r>
                </w:p>
              </w:tc>
              <w:tc>
                <w:tcPr>
                  <w:tcW w:w="1088" w:type="dxa"/>
                  <w:vAlign w:val="center"/>
                </w:tcPr>
                <w:p w14:paraId="18F045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20080</w:t>
                  </w:r>
                </w:p>
              </w:tc>
              <w:tc>
                <w:tcPr>
                  <w:tcW w:w="2129" w:type="dxa"/>
                  <w:vAlign w:val="center"/>
                </w:tcPr>
                <w:p w14:paraId="7D736B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日供气量约 15 万立方</w:t>
                  </w:r>
                </w:p>
              </w:tc>
              <w:tc>
                <w:tcPr>
                  <w:tcW w:w="1346" w:type="dxa"/>
                  <w:vAlign w:val="center"/>
                </w:tcPr>
                <w:p w14:paraId="3EDD27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 号</w:t>
                  </w:r>
                </w:p>
              </w:tc>
            </w:tr>
            <w:tr w14:paraId="40BE3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26DA4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w:t>
                  </w:r>
                </w:p>
              </w:tc>
              <w:tc>
                <w:tcPr>
                  <w:tcW w:w="1401" w:type="dxa"/>
                  <w:vAlign w:val="center"/>
                </w:tcPr>
                <w:p w14:paraId="5903BF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广东利生源生物饲料有限公</w:t>
                  </w:r>
                </w:p>
                <w:p w14:paraId="552CF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E466A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50862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农副食品加工业</w:t>
                  </w:r>
                </w:p>
              </w:tc>
              <w:tc>
                <w:tcPr>
                  <w:tcW w:w="1088" w:type="dxa"/>
                  <w:vAlign w:val="center"/>
                </w:tcPr>
                <w:p w14:paraId="0BCFCE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10770</w:t>
                  </w:r>
                </w:p>
              </w:tc>
              <w:tc>
                <w:tcPr>
                  <w:tcW w:w="2129" w:type="dxa"/>
                  <w:vAlign w:val="center"/>
                </w:tcPr>
                <w:p w14:paraId="6ACF95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年产优能乳 10800 吨、利生宝 3000 吨</w:t>
                  </w:r>
                </w:p>
              </w:tc>
              <w:tc>
                <w:tcPr>
                  <w:tcW w:w="1346" w:type="dxa"/>
                  <w:vAlign w:val="center"/>
                </w:tcPr>
                <w:p w14:paraId="1783C4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167C8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3BE79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w:t>
                  </w:r>
                </w:p>
              </w:tc>
              <w:tc>
                <w:tcPr>
                  <w:tcW w:w="1401" w:type="dxa"/>
                  <w:vAlign w:val="center"/>
                </w:tcPr>
                <w:p w14:paraId="73E39C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乐昌市自来水有限公司</w:t>
                  </w:r>
                </w:p>
              </w:tc>
              <w:tc>
                <w:tcPr>
                  <w:tcW w:w="390" w:type="dxa"/>
                  <w:vAlign w:val="center"/>
                </w:tcPr>
                <w:p w14:paraId="10409E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F75A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自来水生产和供应业</w:t>
                  </w:r>
                </w:p>
              </w:tc>
              <w:tc>
                <w:tcPr>
                  <w:tcW w:w="1088" w:type="dxa"/>
                  <w:vAlign w:val="center"/>
                </w:tcPr>
                <w:p w14:paraId="75585D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9303.8</w:t>
                  </w:r>
                </w:p>
              </w:tc>
              <w:tc>
                <w:tcPr>
                  <w:tcW w:w="2129" w:type="dxa"/>
                  <w:vAlign w:val="center"/>
                </w:tcPr>
                <w:p w14:paraId="0B78EB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加压泵站建设，供应水量 5000 立方</w:t>
                  </w:r>
                </w:p>
              </w:tc>
              <w:tc>
                <w:tcPr>
                  <w:tcW w:w="1346" w:type="dxa"/>
                  <w:vAlign w:val="center"/>
                </w:tcPr>
                <w:p w14:paraId="060F6F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7EE4A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7901B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w:t>
                  </w:r>
                </w:p>
              </w:tc>
              <w:tc>
                <w:tcPr>
                  <w:tcW w:w="1401" w:type="dxa"/>
                  <w:vAlign w:val="center"/>
                </w:tcPr>
                <w:p w14:paraId="3A9D0D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东莞东坑（乐昌）产业转移园</w:t>
                  </w:r>
                </w:p>
                <w:p w14:paraId="09843B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污水处理厂</w:t>
                  </w:r>
                </w:p>
              </w:tc>
              <w:tc>
                <w:tcPr>
                  <w:tcW w:w="390" w:type="dxa"/>
                  <w:vAlign w:val="center"/>
                </w:tcPr>
                <w:p w14:paraId="2938B3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55E31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1088" w:type="dxa"/>
                  <w:vAlign w:val="center"/>
                </w:tcPr>
                <w:p w14:paraId="60971D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15400</w:t>
                  </w:r>
                </w:p>
              </w:tc>
              <w:tc>
                <w:tcPr>
                  <w:tcW w:w="2129" w:type="dxa"/>
                  <w:vAlign w:val="center"/>
                </w:tcPr>
                <w:p w14:paraId="41C8E8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处理水量 10000 立方米/d</w:t>
                  </w:r>
                </w:p>
              </w:tc>
              <w:tc>
                <w:tcPr>
                  <w:tcW w:w="1346" w:type="dxa"/>
                  <w:vAlign w:val="center"/>
                </w:tcPr>
                <w:p w14:paraId="00125B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2010</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107 号</w:t>
                  </w:r>
                </w:p>
              </w:tc>
            </w:tr>
            <w:tr w14:paraId="655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751377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w:t>
                  </w:r>
                </w:p>
              </w:tc>
              <w:tc>
                <w:tcPr>
                  <w:tcW w:w="1401" w:type="dxa"/>
                  <w:vAlign w:val="center"/>
                </w:tcPr>
                <w:p w14:paraId="26BF83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乐昌市玉煌科技有限公司</w:t>
                  </w:r>
                </w:p>
              </w:tc>
              <w:tc>
                <w:tcPr>
                  <w:tcW w:w="390" w:type="dxa"/>
                  <w:vAlign w:val="center"/>
                </w:tcPr>
                <w:p w14:paraId="11AA0A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654A0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41698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15291.1</w:t>
                  </w:r>
                </w:p>
              </w:tc>
              <w:tc>
                <w:tcPr>
                  <w:tcW w:w="2129" w:type="dxa"/>
                  <w:vAlign w:val="center"/>
                </w:tcPr>
                <w:p w14:paraId="37A92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年产螺丝紧固件 2000 吨</w:t>
                  </w:r>
                </w:p>
              </w:tc>
              <w:tc>
                <w:tcPr>
                  <w:tcW w:w="1346" w:type="dxa"/>
                  <w:vAlign w:val="center"/>
                </w:tcPr>
                <w:p w14:paraId="7740D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 号</w:t>
                  </w:r>
                </w:p>
              </w:tc>
            </w:tr>
            <w:tr w14:paraId="53229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1" w:type="dxa"/>
                  <w:vAlign w:val="center"/>
                </w:tcPr>
                <w:p w14:paraId="7E870A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w:t>
                  </w:r>
                </w:p>
              </w:tc>
              <w:tc>
                <w:tcPr>
                  <w:tcW w:w="1401" w:type="dxa"/>
                  <w:vAlign w:val="center"/>
                </w:tcPr>
                <w:p w14:paraId="1952D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广东科优精密机械制造有限</w:t>
                  </w:r>
                </w:p>
                <w:p w14:paraId="5AFD4B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533D49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D3853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6265F6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12528.8</w:t>
                  </w:r>
                </w:p>
              </w:tc>
              <w:tc>
                <w:tcPr>
                  <w:tcW w:w="2129" w:type="dxa"/>
                  <w:vAlign w:val="center"/>
                </w:tcPr>
                <w:p w14:paraId="218647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年产电磁阀用汇流板 5000 吨、精抽加工铝制品 400 吨，表面</w:t>
                  </w:r>
                </w:p>
                <w:p w14:paraId="014D82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处理汇流板产品 1800 吨</w:t>
                  </w:r>
                </w:p>
              </w:tc>
              <w:tc>
                <w:tcPr>
                  <w:tcW w:w="1346" w:type="dxa"/>
                  <w:vAlign w:val="center"/>
                </w:tcPr>
                <w:p w14:paraId="56865D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w:t>
                  </w:r>
                </w:p>
                <w:p w14:paraId="64EF23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 号、韶环乐审〔2024〕04</w:t>
                  </w:r>
                </w:p>
                <w:p w14:paraId="555D96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2EA5C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1A072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w:t>
                  </w:r>
                </w:p>
              </w:tc>
              <w:tc>
                <w:tcPr>
                  <w:tcW w:w="1401" w:type="dxa"/>
                  <w:vAlign w:val="center"/>
                </w:tcPr>
                <w:p w14:paraId="0EE438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广东中博交通环保设备有限</w:t>
                  </w:r>
                </w:p>
                <w:p w14:paraId="2F1B1C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32DF3B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57B6D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5E0635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20059.4</w:t>
                  </w:r>
                </w:p>
              </w:tc>
              <w:tc>
                <w:tcPr>
                  <w:tcW w:w="2129" w:type="dxa"/>
                  <w:vAlign w:val="center"/>
                </w:tcPr>
                <w:p w14:paraId="796E40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年加工生产交通环保材料 50 万件</w:t>
                  </w:r>
                </w:p>
              </w:tc>
              <w:tc>
                <w:tcPr>
                  <w:tcW w:w="1346" w:type="dxa"/>
                  <w:vAlign w:val="center"/>
                </w:tcPr>
                <w:p w14:paraId="11800D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 号</w:t>
                  </w:r>
                </w:p>
              </w:tc>
            </w:tr>
            <w:tr w14:paraId="27F8D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D8AA5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w:t>
                  </w:r>
                </w:p>
              </w:tc>
              <w:tc>
                <w:tcPr>
                  <w:tcW w:w="1401" w:type="dxa"/>
                  <w:vAlign w:val="center"/>
                </w:tcPr>
                <w:p w14:paraId="3C0E83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乐昌欧典高分子装饰材料有</w:t>
                  </w:r>
                </w:p>
                <w:p w14:paraId="5B30BD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5D9501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10DB7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3560B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8631.1</w:t>
                  </w:r>
                </w:p>
              </w:tc>
              <w:tc>
                <w:tcPr>
                  <w:tcW w:w="2129" w:type="dxa"/>
                  <w:vAlign w:val="center"/>
                </w:tcPr>
                <w:p w14:paraId="47FABF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墙板 300 万平方、PVC 墙板配套线条约 200 万米</w:t>
                  </w:r>
                </w:p>
              </w:tc>
              <w:tc>
                <w:tcPr>
                  <w:tcW w:w="1346" w:type="dxa"/>
                  <w:vAlign w:val="center"/>
                </w:tcPr>
                <w:p w14:paraId="381E33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 号</w:t>
                  </w:r>
                </w:p>
              </w:tc>
            </w:tr>
            <w:tr w14:paraId="5592C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6A761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3A7B05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58</w:t>
                  </w:r>
                </w:p>
              </w:tc>
              <w:tc>
                <w:tcPr>
                  <w:tcW w:w="1401" w:type="dxa"/>
                  <w:vAlign w:val="center"/>
                </w:tcPr>
                <w:p w14:paraId="3B1FC7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韶关豪立再生资源利用有限</w:t>
                  </w:r>
                </w:p>
                <w:p w14:paraId="496615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538FBC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0242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094FCE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17646</w:t>
                  </w:r>
                </w:p>
              </w:tc>
              <w:tc>
                <w:tcPr>
                  <w:tcW w:w="2129" w:type="dxa"/>
                  <w:vAlign w:val="center"/>
                </w:tcPr>
                <w:p w14:paraId="3A6A56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年处理废金属 79760 吨、废纸 5982 吨、拆解设备 2000 台，年产再生玻璃 11.4 万吨、玻璃纤维 3 万吨、玻璃纤维增强塑料制品 7200 吨</w:t>
                  </w:r>
                </w:p>
              </w:tc>
              <w:tc>
                <w:tcPr>
                  <w:tcW w:w="1346" w:type="dxa"/>
                  <w:vAlign w:val="center"/>
                </w:tcPr>
                <w:p w14:paraId="08D82A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 号、韶环乐审</w:t>
                  </w:r>
                </w:p>
                <w:p w14:paraId="36D17C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〔2021〕06 号、韶环乐审〔2023〕</w:t>
                  </w:r>
                </w:p>
                <w:p w14:paraId="7C5D8E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5729E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FF82D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w:t>
                  </w:r>
                </w:p>
              </w:tc>
              <w:tc>
                <w:tcPr>
                  <w:tcW w:w="1401" w:type="dxa"/>
                  <w:vAlign w:val="center"/>
                </w:tcPr>
                <w:p w14:paraId="3006DE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536DC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（创业就业基地）</w:t>
                  </w:r>
                </w:p>
              </w:tc>
              <w:tc>
                <w:tcPr>
                  <w:tcW w:w="390" w:type="dxa"/>
                  <w:vAlign w:val="center"/>
                </w:tcPr>
                <w:p w14:paraId="664878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A5D45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F66BC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3504</w:t>
                  </w:r>
                </w:p>
              </w:tc>
              <w:tc>
                <w:tcPr>
                  <w:tcW w:w="2129" w:type="dxa"/>
                  <w:vAlign w:val="center"/>
                </w:tcPr>
                <w:p w14:paraId="687DA0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年产塑料及五金制品 280 万件</w:t>
                  </w:r>
                </w:p>
              </w:tc>
              <w:tc>
                <w:tcPr>
                  <w:tcW w:w="1346" w:type="dxa"/>
                  <w:vAlign w:val="center"/>
                </w:tcPr>
                <w:p w14:paraId="41846E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乐环审〔2019〕28 号</w:t>
                  </w:r>
                </w:p>
              </w:tc>
            </w:tr>
            <w:tr w14:paraId="56829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C48E4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w:t>
                  </w:r>
                </w:p>
              </w:tc>
              <w:tc>
                <w:tcPr>
                  <w:tcW w:w="1401" w:type="dxa"/>
                  <w:vAlign w:val="center"/>
                </w:tcPr>
                <w:p w14:paraId="3862BE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3C5C3F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(金玲三路）</w:t>
                  </w:r>
                </w:p>
              </w:tc>
              <w:tc>
                <w:tcPr>
                  <w:tcW w:w="390" w:type="dxa"/>
                  <w:vAlign w:val="center"/>
                </w:tcPr>
                <w:p w14:paraId="1E7EA1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8D56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7CF4F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15173</w:t>
                  </w:r>
                </w:p>
              </w:tc>
              <w:tc>
                <w:tcPr>
                  <w:tcW w:w="2129" w:type="dxa"/>
                  <w:vAlign w:val="center"/>
                </w:tcPr>
                <w:p w14:paraId="0DA433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年产家用小电器（电吹风、直发器、卷发器等）250 万台</w:t>
                  </w:r>
                </w:p>
              </w:tc>
              <w:tc>
                <w:tcPr>
                  <w:tcW w:w="1346" w:type="dxa"/>
                  <w:vAlign w:val="center"/>
                </w:tcPr>
                <w:p w14:paraId="05027F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乐环审〔2019〕40 号</w:t>
                  </w:r>
                </w:p>
              </w:tc>
            </w:tr>
            <w:tr w14:paraId="19686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31BA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w:t>
                  </w:r>
                </w:p>
              </w:tc>
              <w:tc>
                <w:tcPr>
                  <w:tcW w:w="1401" w:type="dxa"/>
                  <w:vAlign w:val="center"/>
                </w:tcPr>
                <w:p w14:paraId="01FFE7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广东昊奕智能科技有限公司</w:t>
                  </w:r>
                </w:p>
              </w:tc>
              <w:tc>
                <w:tcPr>
                  <w:tcW w:w="390" w:type="dxa"/>
                  <w:vAlign w:val="center"/>
                </w:tcPr>
                <w:p w14:paraId="68300C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B34B7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5E9FB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9533.38</w:t>
                  </w:r>
                </w:p>
              </w:tc>
              <w:tc>
                <w:tcPr>
                  <w:tcW w:w="2129" w:type="dxa"/>
                  <w:vAlign w:val="center"/>
                </w:tcPr>
                <w:p w14:paraId="515127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年产不锈钢线材 5000 吨</w:t>
                  </w:r>
                </w:p>
              </w:tc>
              <w:tc>
                <w:tcPr>
                  <w:tcW w:w="1346" w:type="dxa"/>
                  <w:vAlign w:val="center"/>
                </w:tcPr>
                <w:p w14:paraId="3C91FF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韶环乐审〔2023〕01 号</w:t>
                  </w:r>
                </w:p>
              </w:tc>
            </w:tr>
            <w:tr w14:paraId="62067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3CDD0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62</w:t>
                  </w:r>
                </w:p>
              </w:tc>
              <w:tc>
                <w:tcPr>
                  <w:tcW w:w="1401" w:type="dxa"/>
                  <w:vAlign w:val="center"/>
                </w:tcPr>
                <w:p w14:paraId="6F7E16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三创复合材料(乐昌)有限公司</w:t>
                  </w:r>
                </w:p>
              </w:tc>
              <w:tc>
                <w:tcPr>
                  <w:tcW w:w="390" w:type="dxa"/>
                  <w:vAlign w:val="center"/>
                </w:tcPr>
                <w:p w14:paraId="043447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0939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71549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25577.13</w:t>
                  </w:r>
                </w:p>
              </w:tc>
              <w:tc>
                <w:tcPr>
                  <w:tcW w:w="2129" w:type="dxa"/>
                  <w:vAlign w:val="center"/>
                </w:tcPr>
                <w:p w14:paraId="4B593B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年产玻璃纤维和碳素纤维复合材料制品 6365 吨</w:t>
                  </w:r>
                </w:p>
              </w:tc>
              <w:tc>
                <w:tcPr>
                  <w:tcW w:w="1346" w:type="dxa"/>
                  <w:vAlign w:val="center"/>
                </w:tcPr>
                <w:p w14:paraId="0E459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2E888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8A2D3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63</w:t>
                  </w:r>
                </w:p>
              </w:tc>
              <w:tc>
                <w:tcPr>
                  <w:tcW w:w="1401" w:type="dxa"/>
                  <w:vAlign w:val="center"/>
                </w:tcPr>
                <w:p w14:paraId="4245ED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广东联丰科技有限公司</w:t>
                  </w:r>
                </w:p>
              </w:tc>
              <w:tc>
                <w:tcPr>
                  <w:tcW w:w="390" w:type="dxa"/>
                  <w:vAlign w:val="center"/>
                </w:tcPr>
                <w:p w14:paraId="4650AE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AE7D6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BE522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11862.25</w:t>
                  </w:r>
                </w:p>
              </w:tc>
              <w:tc>
                <w:tcPr>
                  <w:tcW w:w="2129" w:type="dxa"/>
                  <w:vAlign w:val="center"/>
                </w:tcPr>
                <w:p w14:paraId="3AFA26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年产HDPE 双壁波纹管 2800 吨、HDPE 缠绕管 2350 吨、HDPE</w:t>
                  </w:r>
                </w:p>
                <w:p w14:paraId="3A2DC2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供水管 2580 吨、PVC 管 2270 吨</w:t>
                  </w:r>
                </w:p>
              </w:tc>
              <w:tc>
                <w:tcPr>
                  <w:tcW w:w="1346" w:type="dxa"/>
                  <w:vAlign w:val="center"/>
                </w:tcPr>
                <w:p w14:paraId="573B8D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韶环乐审〔2025〕03 号</w:t>
                  </w:r>
                </w:p>
              </w:tc>
            </w:tr>
            <w:tr w14:paraId="78238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678E8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64</w:t>
                  </w:r>
                </w:p>
              </w:tc>
              <w:tc>
                <w:tcPr>
                  <w:tcW w:w="1401" w:type="dxa"/>
                  <w:vAlign w:val="center"/>
                </w:tcPr>
                <w:p w14:paraId="3F34FD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材通(乐昌)管业科技有限公司</w:t>
                  </w:r>
                </w:p>
              </w:tc>
              <w:tc>
                <w:tcPr>
                  <w:tcW w:w="390" w:type="dxa"/>
                  <w:vAlign w:val="center"/>
                </w:tcPr>
                <w:p w14:paraId="6C4F53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372A8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AE94B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47574.68</w:t>
                  </w:r>
                </w:p>
              </w:tc>
              <w:tc>
                <w:tcPr>
                  <w:tcW w:w="2129" w:type="dxa"/>
                  <w:vAlign w:val="center"/>
                </w:tcPr>
                <w:p w14:paraId="1D71FA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管材 16820 吨</w:t>
                  </w:r>
                </w:p>
              </w:tc>
              <w:tc>
                <w:tcPr>
                  <w:tcW w:w="1346" w:type="dxa"/>
                  <w:vAlign w:val="center"/>
                </w:tcPr>
                <w:p w14:paraId="3A79E3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乐环审〔2020〕08 号</w:t>
                  </w:r>
                </w:p>
              </w:tc>
            </w:tr>
            <w:tr w14:paraId="4224A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4CC321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w:t>
                  </w:r>
                </w:p>
              </w:tc>
              <w:tc>
                <w:tcPr>
                  <w:tcW w:w="1401" w:type="dxa"/>
                  <w:vAlign w:val="center"/>
                </w:tcPr>
                <w:p w14:paraId="3E5F34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乐昌市鑫东穗汽车用品有限</w:t>
                  </w:r>
                </w:p>
                <w:p w14:paraId="2B04D2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474BA2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08A4D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1088" w:type="dxa"/>
                  <w:vAlign w:val="center"/>
                </w:tcPr>
                <w:p w14:paraId="085B3C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17932.7</w:t>
                  </w:r>
                </w:p>
              </w:tc>
              <w:tc>
                <w:tcPr>
                  <w:tcW w:w="2129" w:type="dxa"/>
                  <w:vAlign w:val="center"/>
                </w:tcPr>
                <w:p w14:paraId="3012EC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年产汽车零配件 30 万套</w:t>
                  </w:r>
                </w:p>
              </w:tc>
              <w:tc>
                <w:tcPr>
                  <w:tcW w:w="1346" w:type="dxa"/>
                  <w:vAlign w:val="center"/>
                </w:tcPr>
                <w:p w14:paraId="397D9C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乐环审〔2021〕02 号、韶环乐审</w:t>
                  </w:r>
                </w:p>
                <w:p w14:paraId="1CB48E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〔2024〕23 号</w:t>
                  </w:r>
                </w:p>
              </w:tc>
            </w:tr>
            <w:tr w14:paraId="7A25D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3FC9A2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w:t>
                  </w:r>
                </w:p>
              </w:tc>
              <w:tc>
                <w:tcPr>
                  <w:tcW w:w="1401" w:type="dxa"/>
                  <w:vAlign w:val="center"/>
                </w:tcPr>
                <w:p w14:paraId="594AA5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杨氏婴童用品(广东)有限公司</w:t>
                  </w:r>
                </w:p>
              </w:tc>
              <w:tc>
                <w:tcPr>
                  <w:tcW w:w="390" w:type="dxa"/>
                  <w:vAlign w:val="center"/>
                </w:tcPr>
                <w:p w14:paraId="71DD40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0DF2A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49545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20215.42</w:t>
                  </w:r>
                </w:p>
              </w:tc>
              <w:tc>
                <w:tcPr>
                  <w:tcW w:w="2129" w:type="dxa"/>
                  <w:vAlign w:val="center"/>
                </w:tcPr>
                <w:p w14:paraId="2A5F63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年产奶瓶、水杯 600 万件</w:t>
                  </w:r>
                </w:p>
              </w:tc>
              <w:tc>
                <w:tcPr>
                  <w:tcW w:w="1346" w:type="dxa"/>
                  <w:vAlign w:val="center"/>
                </w:tcPr>
                <w:p w14:paraId="2908DF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韶环乐审〔2023〕06 号</w:t>
                  </w:r>
                </w:p>
              </w:tc>
            </w:tr>
            <w:tr w14:paraId="731FC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3243C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67</w:t>
                  </w:r>
                </w:p>
              </w:tc>
              <w:tc>
                <w:tcPr>
                  <w:tcW w:w="1401" w:type="dxa"/>
                  <w:vAlign w:val="center"/>
                </w:tcPr>
                <w:p w14:paraId="12E985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广东邦嘉硅胶科技有限公司</w:t>
                  </w:r>
                </w:p>
              </w:tc>
              <w:tc>
                <w:tcPr>
                  <w:tcW w:w="390" w:type="dxa"/>
                  <w:vAlign w:val="center"/>
                </w:tcPr>
                <w:p w14:paraId="1B7718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3EDC7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56CF4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36000</w:t>
                  </w:r>
                </w:p>
              </w:tc>
              <w:tc>
                <w:tcPr>
                  <w:tcW w:w="2129" w:type="dxa"/>
                  <w:vAlign w:val="center"/>
                </w:tcPr>
                <w:p w14:paraId="41E469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年产固体硅胶 300 吨、注塑件 300 万件、硅胶件（奶嘴）100万个、玻璃奶瓶 100 万个、硅胶护层产品 100 万件</w:t>
                  </w:r>
                </w:p>
              </w:tc>
              <w:tc>
                <w:tcPr>
                  <w:tcW w:w="1346" w:type="dxa"/>
                  <w:vAlign w:val="center"/>
                </w:tcPr>
                <w:p w14:paraId="42CD0E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韶关乐审〔2023〕03 号</w:t>
                  </w:r>
                </w:p>
              </w:tc>
            </w:tr>
            <w:tr w14:paraId="508C7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C4598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w:t>
                  </w:r>
                </w:p>
              </w:tc>
              <w:tc>
                <w:tcPr>
                  <w:tcW w:w="1401" w:type="dxa"/>
                  <w:vAlign w:val="center"/>
                </w:tcPr>
                <w:p w14:paraId="735B91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广东奕宸汽车科技有限公司</w:t>
                  </w:r>
                </w:p>
              </w:tc>
              <w:tc>
                <w:tcPr>
                  <w:tcW w:w="390" w:type="dxa"/>
                  <w:vAlign w:val="center"/>
                </w:tcPr>
                <w:p w14:paraId="3CBD80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43560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1088" w:type="dxa"/>
                  <w:vAlign w:val="center"/>
                </w:tcPr>
                <w:p w14:paraId="447DB0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33915.52</w:t>
                  </w:r>
                </w:p>
              </w:tc>
              <w:tc>
                <w:tcPr>
                  <w:tcW w:w="2129" w:type="dxa"/>
                  <w:vAlign w:val="center"/>
                </w:tcPr>
                <w:p w14:paraId="395F38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年产汽车散热器 50 万件</w:t>
                  </w:r>
                </w:p>
              </w:tc>
              <w:tc>
                <w:tcPr>
                  <w:tcW w:w="1346" w:type="dxa"/>
                  <w:vAlign w:val="center"/>
                </w:tcPr>
                <w:p w14:paraId="0EFA40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韶环乐审〔2022〕28 号</w:t>
                  </w:r>
                </w:p>
              </w:tc>
            </w:tr>
            <w:tr w14:paraId="64DF8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51630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w:t>
                  </w:r>
                </w:p>
              </w:tc>
              <w:tc>
                <w:tcPr>
                  <w:tcW w:w="1401" w:type="dxa"/>
                  <w:vAlign w:val="center"/>
                </w:tcPr>
                <w:p w14:paraId="6C6D35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广东熙诚环保科技有限公司</w:t>
                  </w:r>
                </w:p>
              </w:tc>
              <w:tc>
                <w:tcPr>
                  <w:tcW w:w="390" w:type="dxa"/>
                  <w:vAlign w:val="center"/>
                </w:tcPr>
                <w:p w14:paraId="20C979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EC6C8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691AA7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13335</w:t>
                  </w:r>
                </w:p>
              </w:tc>
              <w:tc>
                <w:tcPr>
                  <w:tcW w:w="2129" w:type="dxa"/>
                  <w:vAlign w:val="center"/>
                </w:tcPr>
                <w:p w14:paraId="091DF6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PP 喷淋塔 500 台、PP 活性炭吸附箱 500 台</w:t>
                  </w:r>
                </w:p>
              </w:tc>
              <w:tc>
                <w:tcPr>
                  <w:tcW w:w="1346" w:type="dxa"/>
                  <w:vAlign w:val="center"/>
                </w:tcPr>
                <w:p w14:paraId="6CB54D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37458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29CCA8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w:t>
                  </w:r>
                </w:p>
              </w:tc>
              <w:tc>
                <w:tcPr>
                  <w:tcW w:w="1401" w:type="dxa"/>
                  <w:vAlign w:val="center"/>
                </w:tcPr>
                <w:p w14:paraId="679A7C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韶关市盛源优贝橡塑制品有</w:t>
                  </w:r>
                </w:p>
                <w:p w14:paraId="7D0CBF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90" w:type="dxa"/>
                  <w:vAlign w:val="center"/>
                </w:tcPr>
                <w:p w14:paraId="6A64C0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63030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F32F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6664</w:t>
                  </w:r>
                </w:p>
              </w:tc>
              <w:tc>
                <w:tcPr>
                  <w:tcW w:w="2129" w:type="dxa"/>
                  <w:vAlign w:val="center"/>
                </w:tcPr>
                <w:p w14:paraId="3D7482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年产硅胶件 330 万个、注塑件 200 万个、吹瓶件 602 万个</w:t>
                  </w:r>
                </w:p>
              </w:tc>
              <w:tc>
                <w:tcPr>
                  <w:tcW w:w="1346" w:type="dxa"/>
                  <w:vAlign w:val="center"/>
                </w:tcPr>
                <w:p w14:paraId="4ACF0A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韶关乐审〔2022〕33 号</w:t>
                  </w:r>
                </w:p>
              </w:tc>
            </w:tr>
            <w:tr w14:paraId="7EC4B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3360A8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71</w:t>
                  </w:r>
                </w:p>
              </w:tc>
              <w:tc>
                <w:tcPr>
                  <w:tcW w:w="1401" w:type="dxa"/>
                  <w:vAlign w:val="center"/>
                </w:tcPr>
                <w:p w14:paraId="0B56ED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韶关市南源铜材有限公司</w:t>
                  </w:r>
                </w:p>
              </w:tc>
              <w:tc>
                <w:tcPr>
                  <w:tcW w:w="390" w:type="dxa"/>
                  <w:vAlign w:val="center"/>
                </w:tcPr>
                <w:p w14:paraId="6644CF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BA003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2E521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44981.3</w:t>
                  </w:r>
                </w:p>
              </w:tc>
              <w:tc>
                <w:tcPr>
                  <w:tcW w:w="2129" w:type="dxa"/>
                  <w:vAlign w:val="center"/>
                </w:tcPr>
                <w:p w14:paraId="724FD5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年产含铅黄铜棒 18000 吨、无铅黄铜棒 12000 吨</w:t>
                  </w:r>
                </w:p>
              </w:tc>
              <w:tc>
                <w:tcPr>
                  <w:tcW w:w="1346" w:type="dxa"/>
                  <w:vAlign w:val="center"/>
                </w:tcPr>
                <w:p w14:paraId="6AED23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韶环乐审〔2021〕21 号</w:t>
                  </w:r>
                </w:p>
              </w:tc>
            </w:tr>
            <w:tr w14:paraId="678ED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D8517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72</w:t>
                  </w:r>
                </w:p>
              </w:tc>
              <w:tc>
                <w:tcPr>
                  <w:tcW w:w="1401" w:type="dxa"/>
                  <w:vAlign w:val="center"/>
                </w:tcPr>
                <w:p w14:paraId="01AC19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碧宏自动化（广东）有限责任</w:t>
                  </w:r>
                </w:p>
                <w:p w14:paraId="1A4AF3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5443F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06E09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通用设备制造业、专用设备制造业</w:t>
                  </w:r>
                </w:p>
              </w:tc>
              <w:tc>
                <w:tcPr>
                  <w:tcW w:w="1088" w:type="dxa"/>
                  <w:vAlign w:val="center"/>
                </w:tcPr>
                <w:p w14:paraId="7D1737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31172.2</w:t>
                  </w:r>
                </w:p>
              </w:tc>
              <w:tc>
                <w:tcPr>
                  <w:tcW w:w="2129" w:type="dxa"/>
                  <w:vAlign w:val="center"/>
                </w:tcPr>
                <w:p w14:paraId="22C3FC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年产椭圆印花机 500 台、数码印花机 100 台、拉网机 100 台、</w:t>
                  </w:r>
                </w:p>
                <w:p w14:paraId="472BB0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激光切割机 300 台</w:t>
                  </w:r>
                </w:p>
              </w:tc>
              <w:tc>
                <w:tcPr>
                  <w:tcW w:w="1346" w:type="dxa"/>
                  <w:vAlign w:val="center"/>
                </w:tcPr>
                <w:p w14:paraId="19187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韶环乐审〔2023〕10 号</w:t>
                  </w:r>
                </w:p>
              </w:tc>
            </w:tr>
            <w:tr w14:paraId="2B21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3E53FB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w:t>
                  </w:r>
                </w:p>
              </w:tc>
              <w:tc>
                <w:tcPr>
                  <w:tcW w:w="1401" w:type="dxa"/>
                  <w:vAlign w:val="center"/>
                </w:tcPr>
                <w:p w14:paraId="1F0703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广东冠益灯饰有限公司</w:t>
                  </w:r>
                </w:p>
              </w:tc>
              <w:tc>
                <w:tcPr>
                  <w:tcW w:w="390" w:type="dxa"/>
                  <w:vAlign w:val="center"/>
                </w:tcPr>
                <w:p w14:paraId="1152BE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2E5AD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73AB77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13333.4</w:t>
                  </w:r>
                </w:p>
              </w:tc>
              <w:tc>
                <w:tcPr>
                  <w:tcW w:w="2129" w:type="dxa"/>
                  <w:vAlign w:val="center"/>
                </w:tcPr>
                <w:p w14:paraId="14BE2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年产灯串 200 万套</w:t>
                  </w:r>
                </w:p>
              </w:tc>
              <w:tc>
                <w:tcPr>
                  <w:tcW w:w="1346" w:type="dxa"/>
                  <w:vAlign w:val="center"/>
                </w:tcPr>
                <w:p w14:paraId="0ADD5F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韶环乐审〔2024〕06 号</w:t>
                  </w:r>
                </w:p>
              </w:tc>
            </w:tr>
            <w:tr w14:paraId="18405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AF42C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w:t>
                  </w:r>
                </w:p>
              </w:tc>
              <w:tc>
                <w:tcPr>
                  <w:tcW w:w="1401" w:type="dxa"/>
                  <w:vAlign w:val="center"/>
                </w:tcPr>
                <w:p w14:paraId="1DCEB6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韶关三和磁材电子有限公司</w:t>
                  </w:r>
                </w:p>
              </w:tc>
              <w:tc>
                <w:tcPr>
                  <w:tcW w:w="390" w:type="dxa"/>
                  <w:vAlign w:val="center"/>
                </w:tcPr>
                <w:p w14:paraId="07E655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7EA6B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4F7832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27014.09</w:t>
                  </w:r>
                </w:p>
              </w:tc>
              <w:tc>
                <w:tcPr>
                  <w:tcW w:w="2129" w:type="dxa"/>
                  <w:vAlign w:val="center"/>
                </w:tcPr>
                <w:p w14:paraId="51C004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年产干法铁氧体磁铁 10 亿个</w:t>
                  </w:r>
                </w:p>
              </w:tc>
              <w:tc>
                <w:tcPr>
                  <w:tcW w:w="1346" w:type="dxa"/>
                  <w:vAlign w:val="center"/>
                </w:tcPr>
                <w:p w14:paraId="5088A6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韶环乐审〔2025〕06 号</w:t>
                  </w:r>
                </w:p>
              </w:tc>
            </w:tr>
            <w:tr w14:paraId="2A556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F0CE3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w:t>
                  </w:r>
                </w:p>
              </w:tc>
              <w:tc>
                <w:tcPr>
                  <w:tcW w:w="1401" w:type="dxa"/>
                  <w:vAlign w:val="center"/>
                </w:tcPr>
                <w:p w14:paraId="3B1F00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广东立恒新材料科技有限公</w:t>
                  </w:r>
                </w:p>
                <w:p w14:paraId="5CC765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C8D28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5744C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7A79B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9333</w:t>
                  </w:r>
                </w:p>
              </w:tc>
              <w:tc>
                <w:tcPr>
                  <w:tcW w:w="2129" w:type="dxa"/>
                  <w:vAlign w:val="center"/>
                </w:tcPr>
                <w:p w14:paraId="24992C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8000 吨</w:t>
                  </w:r>
                </w:p>
              </w:tc>
              <w:tc>
                <w:tcPr>
                  <w:tcW w:w="1346" w:type="dxa"/>
                  <w:vAlign w:val="center"/>
                </w:tcPr>
                <w:p w14:paraId="536AEC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 号</w:t>
                  </w:r>
                </w:p>
              </w:tc>
            </w:tr>
            <w:tr w14:paraId="0CA85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F3D6A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76</w:t>
                  </w:r>
                </w:p>
              </w:tc>
              <w:tc>
                <w:tcPr>
                  <w:tcW w:w="1401" w:type="dxa"/>
                  <w:vAlign w:val="center"/>
                </w:tcPr>
                <w:p w14:paraId="51726C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乐昌市赫尔龙体育用品有限</w:t>
                  </w:r>
                </w:p>
                <w:p w14:paraId="5DFC1E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1A5122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E9298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24ABBD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14604.85</w:t>
                  </w:r>
                </w:p>
              </w:tc>
              <w:tc>
                <w:tcPr>
                  <w:tcW w:w="2129" w:type="dxa"/>
                  <w:vAlign w:val="center"/>
                </w:tcPr>
                <w:p w14:paraId="41A227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年产运动服等运动产品 100 万件</w:t>
                  </w:r>
                </w:p>
              </w:tc>
              <w:tc>
                <w:tcPr>
                  <w:tcW w:w="1346" w:type="dxa"/>
                  <w:vAlign w:val="center"/>
                </w:tcPr>
                <w:p w14:paraId="17D14E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乐环审〔2019〕21 号</w:t>
                  </w:r>
                </w:p>
              </w:tc>
            </w:tr>
            <w:tr w14:paraId="0E19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31" w:type="dxa"/>
                  <w:vAlign w:val="center"/>
                </w:tcPr>
                <w:p w14:paraId="37B7F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77</w:t>
                  </w:r>
                </w:p>
              </w:tc>
              <w:tc>
                <w:tcPr>
                  <w:tcW w:w="1401" w:type="dxa"/>
                  <w:vAlign w:val="center"/>
                </w:tcPr>
                <w:p w14:paraId="547D69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广东省合高复合材料有限公</w:t>
                  </w:r>
                </w:p>
                <w:p w14:paraId="5C7BB7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972E7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13C8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24979E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27017.8</w:t>
                  </w:r>
                </w:p>
              </w:tc>
              <w:tc>
                <w:tcPr>
                  <w:tcW w:w="2129" w:type="dxa"/>
                  <w:vAlign w:val="center"/>
                </w:tcPr>
                <w:p w14:paraId="2DB344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年产玻璃纤维板材 1 万吨、玻璃钢拉挤制品 4500 吨、缠绕制品、SMC 模压及玻璃纤维热塑板以及制品各 500 吨、玻璃钢格栅 5000 吨、碳纤维制品及彩色胶衣各200 吨、 玻璃钢夹芯板 2700 吨、 RTM 制品 100 吨</w:t>
                  </w:r>
                </w:p>
              </w:tc>
              <w:tc>
                <w:tcPr>
                  <w:tcW w:w="1346" w:type="dxa"/>
                  <w:vAlign w:val="center"/>
                </w:tcPr>
                <w:p w14:paraId="0AB784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韶环乐审〔2021〕20 号</w:t>
                  </w:r>
                </w:p>
              </w:tc>
            </w:tr>
            <w:tr w14:paraId="03461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C3038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78</w:t>
                  </w:r>
                </w:p>
              </w:tc>
              <w:tc>
                <w:tcPr>
                  <w:tcW w:w="1401" w:type="dxa"/>
                  <w:vAlign w:val="center"/>
                </w:tcPr>
                <w:p w14:paraId="4A24C0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同向（乐昌）精密机械有限公</w:t>
                  </w:r>
                </w:p>
                <w:p w14:paraId="5B1499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63B1E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15527D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64741D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129" w:type="dxa"/>
                  <w:vAlign w:val="center"/>
                </w:tcPr>
                <w:p w14:paraId="6B48CD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年产登机桥、环保水箱、压力机械、建筑自动化设备、加工</w:t>
                  </w:r>
                </w:p>
                <w:p w14:paraId="28BEF9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中心设备。压铸机等合计 3350 套（台）</w:t>
                  </w:r>
                </w:p>
              </w:tc>
              <w:tc>
                <w:tcPr>
                  <w:tcW w:w="1346" w:type="dxa"/>
                  <w:vAlign w:val="center"/>
                </w:tcPr>
                <w:p w14:paraId="692EF9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韶环乐审〔2021〕16 号</w:t>
                  </w:r>
                </w:p>
              </w:tc>
            </w:tr>
            <w:tr w14:paraId="43B92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E400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w:t>
                  </w:r>
                </w:p>
              </w:tc>
              <w:tc>
                <w:tcPr>
                  <w:tcW w:w="1401" w:type="dxa"/>
                  <w:vAlign w:val="center"/>
                </w:tcPr>
                <w:p w14:paraId="77AF85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乐昌市信达实业有限公司</w:t>
                  </w:r>
                </w:p>
              </w:tc>
              <w:tc>
                <w:tcPr>
                  <w:tcW w:w="390" w:type="dxa"/>
                  <w:vAlign w:val="center"/>
                </w:tcPr>
                <w:p w14:paraId="146BF4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1022D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1088" w:type="dxa"/>
                  <w:vAlign w:val="center"/>
                </w:tcPr>
                <w:p w14:paraId="281C8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20000</w:t>
                  </w:r>
                </w:p>
              </w:tc>
              <w:tc>
                <w:tcPr>
                  <w:tcW w:w="2129" w:type="dxa"/>
                  <w:vAlign w:val="center"/>
                </w:tcPr>
                <w:p w14:paraId="7ED9CE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年产滑板 100 万台</w:t>
                  </w:r>
                </w:p>
              </w:tc>
              <w:tc>
                <w:tcPr>
                  <w:tcW w:w="1346" w:type="dxa"/>
                  <w:vAlign w:val="center"/>
                </w:tcPr>
                <w:p w14:paraId="36DF98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乐环审〔2019〕09 号</w:t>
                  </w:r>
                </w:p>
              </w:tc>
            </w:tr>
            <w:tr w14:paraId="72350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84152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w:t>
                  </w:r>
                </w:p>
              </w:tc>
              <w:tc>
                <w:tcPr>
                  <w:tcW w:w="1401" w:type="dxa"/>
                  <w:vAlign w:val="center"/>
                </w:tcPr>
                <w:p w14:paraId="67ABA8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广东威柏乐器制造有限公司</w:t>
                  </w:r>
                </w:p>
              </w:tc>
              <w:tc>
                <w:tcPr>
                  <w:tcW w:w="390" w:type="dxa"/>
                  <w:vAlign w:val="center"/>
                </w:tcPr>
                <w:p w14:paraId="7C7EEA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9AC79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1088" w:type="dxa"/>
                  <w:vAlign w:val="center"/>
                </w:tcPr>
                <w:p w14:paraId="60E20A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43586.57</w:t>
                  </w:r>
                </w:p>
              </w:tc>
              <w:tc>
                <w:tcPr>
                  <w:tcW w:w="2129" w:type="dxa"/>
                  <w:vAlign w:val="center"/>
                </w:tcPr>
                <w:p w14:paraId="5BCD8B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年产电吉他 35 万把、木吉他 15 万把</w:t>
                  </w:r>
                </w:p>
              </w:tc>
              <w:tc>
                <w:tcPr>
                  <w:tcW w:w="1346" w:type="dxa"/>
                  <w:vAlign w:val="center"/>
                </w:tcPr>
                <w:p w14:paraId="063E27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韶环乐审〔2025〕02 号、韶环乐审〔2026〕03 号</w:t>
                  </w:r>
                </w:p>
              </w:tc>
            </w:tr>
            <w:tr w14:paraId="6E535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686727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w:t>
                  </w:r>
                </w:p>
              </w:tc>
              <w:tc>
                <w:tcPr>
                  <w:tcW w:w="1401" w:type="dxa"/>
                  <w:vAlign w:val="center"/>
                </w:tcPr>
                <w:p w14:paraId="147375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广东维创兴电子科技有限公</w:t>
                  </w:r>
                </w:p>
                <w:p w14:paraId="3A552E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7A8AD0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F0659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672441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3925.74</w:t>
                  </w:r>
                </w:p>
              </w:tc>
              <w:tc>
                <w:tcPr>
                  <w:tcW w:w="2129" w:type="dxa"/>
                  <w:vAlign w:val="center"/>
                </w:tcPr>
                <w:p w14:paraId="02D8FE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年产触摸屏 100 万片</w:t>
                  </w:r>
                </w:p>
              </w:tc>
              <w:tc>
                <w:tcPr>
                  <w:tcW w:w="1346" w:type="dxa"/>
                  <w:vAlign w:val="center"/>
                </w:tcPr>
                <w:p w14:paraId="2CB784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韶环乐审〔2025〕20 号</w:t>
                  </w:r>
                </w:p>
              </w:tc>
            </w:tr>
            <w:tr w14:paraId="29D55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6764D4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82</w:t>
                  </w:r>
                </w:p>
              </w:tc>
              <w:tc>
                <w:tcPr>
                  <w:tcW w:w="1401" w:type="dxa"/>
                  <w:vAlign w:val="center"/>
                </w:tcPr>
                <w:p w14:paraId="2F2F1F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韶关金利达塑料制品有限公</w:t>
                  </w:r>
                </w:p>
                <w:p w14:paraId="691AA7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C493E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1A167C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C5EB8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42B0F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2F2699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1088" w:type="dxa"/>
                  <w:vAlign w:val="center"/>
                </w:tcPr>
                <w:p w14:paraId="456CFD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18748.8</w:t>
                  </w:r>
                </w:p>
              </w:tc>
              <w:tc>
                <w:tcPr>
                  <w:tcW w:w="2129" w:type="dxa"/>
                  <w:vAlign w:val="center"/>
                </w:tcPr>
                <w:p w14:paraId="391F14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年产再生塑胶颗粒 3000 吨</w:t>
                  </w:r>
                </w:p>
              </w:tc>
              <w:tc>
                <w:tcPr>
                  <w:tcW w:w="1346" w:type="dxa"/>
                  <w:vAlign w:val="center"/>
                </w:tcPr>
                <w:p w14:paraId="19F9BE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韶环乐审〔2025〕13 号</w:t>
                  </w:r>
                </w:p>
              </w:tc>
            </w:tr>
            <w:tr w14:paraId="630D4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52714D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83</w:t>
                  </w:r>
                </w:p>
              </w:tc>
              <w:tc>
                <w:tcPr>
                  <w:tcW w:w="1401" w:type="dxa"/>
                  <w:vAlign w:val="center"/>
                </w:tcPr>
                <w:p w14:paraId="3783B1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广东铭洋应急消防器材有限</w:t>
                  </w:r>
                </w:p>
                <w:p w14:paraId="6632F0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641F5D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64E971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1088" w:type="dxa"/>
                  <w:vAlign w:val="center"/>
                </w:tcPr>
                <w:p w14:paraId="48BE6F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9850</w:t>
                  </w:r>
                </w:p>
              </w:tc>
              <w:tc>
                <w:tcPr>
                  <w:tcW w:w="2129" w:type="dxa"/>
                  <w:vAlign w:val="center"/>
                </w:tcPr>
                <w:p w14:paraId="00AF1D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750 万具，配套催化剂 720 吨，卡加拉特剂 1080 吨</w:t>
                  </w:r>
                </w:p>
              </w:tc>
              <w:tc>
                <w:tcPr>
                  <w:tcW w:w="1346" w:type="dxa"/>
                  <w:vAlign w:val="center"/>
                </w:tcPr>
                <w:p w14:paraId="671ED8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韶环审〔2025〕24  号</w:t>
                  </w:r>
                </w:p>
              </w:tc>
            </w:tr>
            <w:tr w14:paraId="468B8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1" w:type="dxa"/>
                  <w:vAlign w:val="center"/>
                </w:tcPr>
                <w:p w14:paraId="20B4B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84</w:t>
                  </w:r>
                </w:p>
              </w:tc>
              <w:tc>
                <w:tcPr>
                  <w:tcW w:w="1401" w:type="dxa"/>
                  <w:vAlign w:val="center"/>
                </w:tcPr>
                <w:p w14:paraId="1DCD7F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韶关市建兴新材料科技有限</w:t>
                  </w:r>
                </w:p>
                <w:p w14:paraId="6E3D24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90" w:type="dxa"/>
                  <w:vAlign w:val="center"/>
                </w:tcPr>
                <w:p w14:paraId="05E56C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1CB287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非金属矿采选业</w:t>
                  </w:r>
                </w:p>
              </w:tc>
              <w:tc>
                <w:tcPr>
                  <w:tcW w:w="1088" w:type="dxa"/>
                  <w:vAlign w:val="center"/>
                </w:tcPr>
                <w:p w14:paraId="4AF621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33562.6</w:t>
                  </w:r>
                </w:p>
              </w:tc>
              <w:tc>
                <w:tcPr>
                  <w:tcW w:w="2129" w:type="dxa"/>
                  <w:vAlign w:val="center"/>
                </w:tcPr>
                <w:p w14:paraId="6E3504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年产堂石精矿 5 万吨</w:t>
                  </w:r>
                </w:p>
              </w:tc>
              <w:tc>
                <w:tcPr>
                  <w:tcW w:w="1346" w:type="dxa"/>
                  <w:vAlign w:val="center"/>
                </w:tcPr>
                <w:p w14:paraId="3C1C38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韶环乐审〔2025〕14  号</w:t>
                  </w:r>
                </w:p>
              </w:tc>
            </w:tr>
            <w:tr w14:paraId="1698D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00AE5C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85</w:t>
                  </w:r>
                </w:p>
              </w:tc>
              <w:tc>
                <w:tcPr>
                  <w:tcW w:w="1401" w:type="dxa"/>
                  <w:vAlign w:val="center"/>
                </w:tcPr>
                <w:p w14:paraId="597333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韶关市泳金构造机械有限公</w:t>
                  </w:r>
                </w:p>
                <w:p w14:paraId="7F3659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57F398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8154F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C40CF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20477.32</w:t>
                  </w:r>
                </w:p>
              </w:tc>
              <w:tc>
                <w:tcPr>
                  <w:tcW w:w="2129" w:type="dxa"/>
                  <w:vAlign w:val="center"/>
                </w:tcPr>
                <w:p w14:paraId="45D617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年产钢结构成品 1.3 万吨</w:t>
                  </w:r>
                </w:p>
              </w:tc>
              <w:tc>
                <w:tcPr>
                  <w:tcW w:w="1346" w:type="dxa"/>
                  <w:vAlign w:val="center"/>
                </w:tcPr>
                <w:p w14:paraId="16148D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韶环乐审〔2025〕05 号</w:t>
                  </w:r>
                </w:p>
              </w:tc>
            </w:tr>
            <w:tr w14:paraId="2F375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1494A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w:t>
                  </w:r>
                </w:p>
              </w:tc>
              <w:tc>
                <w:tcPr>
                  <w:tcW w:w="1401" w:type="dxa"/>
                  <w:vAlign w:val="center"/>
                </w:tcPr>
                <w:p w14:paraId="6B72B2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广东欣汇复合材料有限公司</w:t>
                  </w:r>
                </w:p>
              </w:tc>
              <w:tc>
                <w:tcPr>
                  <w:tcW w:w="390" w:type="dxa"/>
                  <w:vAlign w:val="center"/>
                </w:tcPr>
                <w:p w14:paraId="5EAF05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B921C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1088" w:type="dxa"/>
                  <w:vAlign w:val="center"/>
                </w:tcPr>
                <w:p w14:paraId="0B3BFD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29024.94</w:t>
                  </w:r>
                </w:p>
              </w:tc>
              <w:tc>
                <w:tcPr>
                  <w:tcW w:w="2129" w:type="dxa"/>
                  <w:vAlign w:val="center"/>
                </w:tcPr>
                <w:p w14:paraId="78EB0C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年产玻璃纤维增强塑料制品 7200 吨、玻纤布 1200 吨、生活用品 3500 吨、塑料配件 15 吨</w:t>
                  </w:r>
                </w:p>
              </w:tc>
              <w:tc>
                <w:tcPr>
                  <w:tcW w:w="1346" w:type="dxa"/>
                  <w:vAlign w:val="center"/>
                </w:tcPr>
                <w:p w14:paraId="3ABF89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韶环乐审〔2024〕26 号</w:t>
                  </w:r>
                </w:p>
              </w:tc>
            </w:tr>
            <w:tr w14:paraId="36D6C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4C015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87</w:t>
                  </w:r>
                </w:p>
              </w:tc>
              <w:tc>
                <w:tcPr>
                  <w:tcW w:w="1401" w:type="dxa"/>
                  <w:vAlign w:val="center"/>
                </w:tcPr>
                <w:p w14:paraId="400AB7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乐昌市鑫盛塑业有限公司</w:t>
                  </w:r>
                </w:p>
              </w:tc>
              <w:tc>
                <w:tcPr>
                  <w:tcW w:w="390" w:type="dxa"/>
                  <w:vAlign w:val="center"/>
                </w:tcPr>
                <w:p w14:paraId="312A9B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255477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A8079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1182.71</w:t>
                  </w:r>
                </w:p>
              </w:tc>
              <w:tc>
                <w:tcPr>
                  <w:tcW w:w="2129" w:type="dxa"/>
                  <w:vAlign w:val="center"/>
                </w:tcPr>
                <w:p w14:paraId="691331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年产编织袋 5000 吨</w:t>
                  </w:r>
                </w:p>
              </w:tc>
              <w:tc>
                <w:tcPr>
                  <w:tcW w:w="1346" w:type="dxa"/>
                  <w:vAlign w:val="center"/>
                </w:tcPr>
                <w:p w14:paraId="66AF33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679EF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2D519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88</w:t>
                  </w:r>
                </w:p>
              </w:tc>
              <w:tc>
                <w:tcPr>
                  <w:tcW w:w="1401" w:type="dxa"/>
                  <w:vAlign w:val="center"/>
                </w:tcPr>
                <w:p w14:paraId="270A37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广东金康新材料有限公司</w:t>
                  </w:r>
                </w:p>
              </w:tc>
              <w:tc>
                <w:tcPr>
                  <w:tcW w:w="390" w:type="dxa"/>
                  <w:vAlign w:val="center"/>
                </w:tcPr>
                <w:p w14:paraId="7CEB9E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1767C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化学原料和化学制品制造业</w:t>
                  </w:r>
                </w:p>
              </w:tc>
              <w:tc>
                <w:tcPr>
                  <w:tcW w:w="1088" w:type="dxa"/>
                  <w:vAlign w:val="center"/>
                </w:tcPr>
                <w:p w14:paraId="29BEFB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11260.7</w:t>
                  </w:r>
                </w:p>
              </w:tc>
              <w:tc>
                <w:tcPr>
                  <w:tcW w:w="2129" w:type="dxa"/>
                  <w:vAlign w:val="center"/>
                </w:tcPr>
                <w:p w14:paraId="7BB23A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稳定剂 3600 吨、助剂 2400 吨</w:t>
                  </w:r>
                </w:p>
              </w:tc>
              <w:tc>
                <w:tcPr>
                  <w:tcW w:w="1346" w:type="dxa"/>
                  <w:vAlign w:val="center"/>
                </w:tcPr>
                <w:p w14:paraId="6E3ADF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乐环审〔2020〕10 号</w:t>
                  </w:r>
                </w:p>
              </w:tc>
            </w:tr>
            <w:tr w14:paraId="57D00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7694FA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89</w:t>
                  </w:r>
                </w:p>
              </w:tc>
              <w:tc>
                <w:tcPr>
                  <w:tcW w:w="1401" w:type="dxa"/>
                  <w:vAlign w:val="center"/>
                </w:tcPr>
                <w:p w14:paraId="186BCD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韶关市恒琦耐磨材料有限公</w:t>
                  </w:r>
                </w:p>
                <w:p w14:paraId="6235E4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69932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1DA3D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FAAE8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2200</w:t>
                  </w:r>
                </w:p>
              </w:tc>
              <w:tc>
                <w:tcPr>
                  <w:tcW w:w="2129" w:type="dxa"/>
                  <w:vAlign w:val="center"/>
                </w:tcPr>
                <w:p w14:paraId="2B2F87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年产耐磨钢球 1 万吨</w:t>
                  </w:r>
                </w:p>
              </w:tc>
              <w:tc>
                <w:tcPr>
                  <w:tcW w:w="1346" w:type="dxa"/>
                  <w:vAlign w:val="center"/>
                </w:tcPr>
                <w:p w14:paraId="7F5098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韶环乐审〔2023〕26 号</w:t>
                  </w:r>
                </w:p>
              </w:tc>
            </w:tr>
            <w:tr w14:paraId="6C760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2871C4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w:t>
                  </w:r>
                </w:p>
              </w:tc>
              <w:tc>
                <w:tcPr>
                  <w:tcW w:w="1401" w:type="dxa"/>
                  <w:vAlign w:val="center"/>
                </w:tcPr>
                <w:p w14:paraId="0FAAA6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乐昌市永成智能厨房设备制造有限公司</w:t>
                  </w:r>
                </w:p>
              </w:tc>
              <w:tc>
                <w:tcPr>
                  <w:tcW w:w="390" w:type="dxa"/>
                  <w:vAlign w:val="center"/>
                </w:tcPr>
                <w:p w14:paraId="04EB70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74A79D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1088" w:type="dxa"/>
                  <w:vAlign w:val="center"/>
                </w:tcPr>
                <w:p w14:paraId="2241A8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33333.33</w:t>
                  </w:r>
                </w:p>
              </w:tc>
              <w:tc>
                <w:tcPr>
                  <w:tcW w:w="2129" w:type="dxa"/>
                  <w:vAlign w:val="center"/>
                </w:tcPr>
                <w:p w14:paraId="60FEF4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年产锅炉具类、蒸炉具类、工作台类、层架类、星盆类、柜式类、消毒柜类、备餐类、餐车类、餐台类、西餐类、环保</w:t>
                  </w:r>
                </w:p>
                <w:p w14:paraId="26A32F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设备类 12570 台</w:t>
                  </w:r>
                </w:p>
              </w:tc>
              <w:tc>
                <w:tcPr>
                  <w:tcW w:w="1346" w:type="dxa"/>
                  <w:vAlign w:val="center"/>
                </w:tcPr>
                <w:p w14:paraId="3D84A2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7AF0F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801A4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91</w:t>
                  </w:r>
                </w:p>
              </w:tc>
              <w:tc>
                <w:tcPr>
                  <w:tcW w:w="1401" w:type="dxa"/>
                  <w:vAlign w:val="center"/>
                </w:tcPr>
                <w:p w14:paraId="3FD707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广东润昕新材料有限公司</w:t>
                  </w:r>
                </w:p>
              </w:tc>
              <w:tc>
                <w:tcPr>
                  <w:tcW w:w="390" w:type="dxa"/>
                  <w:vAlign w:val="center"/>
                </w:tcPr>
                <w:p w14:paraId="4A7827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0DD601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F9796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34905.44</w:t>
                  </w:r>
                </w:p>
              </w:tc>
              <w:tc>
                <w:tcPr>
                  <w:tcW w:w="2129" w:type="dxa"/>
                  <w:vAlign w:val="center"/>
                </w:tcPr>
                <w:p w14:paraId="430DDF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100 万平方米</w:t>
                  </w:r>
                </w:p>
              </w:tc>
              <w:tc>
                <w:tcPr>
                  <w:tcW w:w="1346" w:type="dxa"/>
                  <w:vAlign w:val="center"/>
                </w:tcPr>
                <w:p w14:paraId="52D974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韶环乐审〔2025〕21 号</w:t>
                  </w:r>
                </w:p>
              </w:tc>
            </w:tr>
            <w:tr w14:paraId="0E499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53B515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92</w:t>
                  </w:r>
                </w:p>
              </w:tc>
              <w:tc>
                <w:tcPr>
                  <w:tcW w:w="1401" w:type="dxa"/>
                  <w:vAlign w:val="center"/>
                </w:tcPr>
                <w:p w14:paraId="7C29FC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筑能（韶关）精工制造有限公</w:t>
                  </w:r>
                </w:p>
                <w:p w14:paraId="0F2FE6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11EA96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299242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6D93A6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36212.64</w:t>
                  </w:r>
                </w:p>
              </w:tc>
              <w:tc>
                <w:tcPr>
                  <w:tcW w:w="2129" w:type="dxa"/>
                  <w:vAlign w:val="center"/>
                </w:tcPr>
                <w:p w14:paraId="77B58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150 万平方米</w:t>
                  </w:r>
                </w:p>
              </w:tc>
              <w:tc>
                <w:tcPr>
                  <w:tcW w:w="1346" w:type="dxa"/>
                  <w:vAlign w:val="center"/>
                </w:tcPr>
                <w:p w14:paraId="3AF152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韶环乐审〔2025〕19 号</w:t>
                  </w:r>
                </w:p>
              </w:tc>
            </w:tr>
            <w:tr w14:paraId="7B75B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168339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w:t>
                  </w:r>
                </w:p>
              </w:tc>
              <w:tc>
                <w:tcPr>
                  <w:tcW w:w="1401" w:type="dxa"/>
                  <w:vAlign w:val="center"/>
                </w:tcPr>
                <w:p w14:paraId="26FD17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美伦建材（韶关）有限公司</w:t>
                  </w:r>
                </w:p>
              </w:tc>
              <w:tc>
                <w:tcPr>
                  <w:tcW w:w="390" w:type="dxa"/>
                  <w:vAlign w:val="center"/>
                </w:tcPr>
                <w:p w14:paraId="4801FB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73EF0D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C8DD3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54969.22</w:t>
                  </w:r>
                </w:p>
              </w:tc>
              <w:tc>
                <w:tcPr>
                  <w:tcW w:w="2129" w:type="dxa"/>
                  <w:vAlign w:val="center"/>
                </w:tcPr>
                <w:p w14:paraId="6B1061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200 万平方米</w:t>
                  </w:r>
                </w:p>
              </w:tc>
              <w:tc>
                <w:tcPr>
                  <w:tcW w:w="1346" w:type="dxa"/>
                  <w:vAlign w:val="center"/>
                </w:tcPr>
                <w:p w14:paraId="0216B5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韶环乐审〔2025〕08 号</w:t>
                  </w:r>
                </w:p>
              </w:tc>
            </w:tr>
            <w:tr w14:paraId="7BC4D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1E8A69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w:t>
                  </w:r>
                </w:p>
              </w:tc>
              <w:tc>
                <w:tcPr>
                  <w:tcW w:w="1401" w:type="dxa"/>
                  <w:vAlign w:val="center"/>
                </w:tcPr>
                <w:p w14:paraId="73DE04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中荣印刷（韶关）有限公司</w:t>
                  </w:r>
                </w:p>
              </w:tc>
              <w:tc>
                <w:tcPr>
                  <w:tcW w:w="390" w:type="dxa"/>
                  <w:vAlign w:val="center"/>
                </w:tcPr>
                <w:p w14:paraId="03836E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53A9BF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造纸和纸制品业</w:t>
                  </w:r>
                </w:p>
              </w:tc>
              <w:tc>
                <w:tcPr>
                  <w:tcW w:w="1088" w:type="dxa"/>
                  <w:vAlign w:val="center"/>
                </w:tcPr>
                <w:p w14:paraId="120784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3227.65</w:t>
                  </w:r>
                </w:p>
              </w:tc>
              <w:tc>
                <w:tcPr>
                  <w:tcW w:w="2129" w:type="dxa"/>
                  <w:vAlign w:val="center"/>
                </w:tcPr>
                <w:p w14:paraId="24329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500 万个、礼盒 50 万个、卡类 500 万张</w:t>
                  </w:r>
                </w:p>
              </w:tc>
              <w:tc>
                <w:tcPr>
                  <w:tcW w:w="1346" w:type="dxa"/>
                  <w:vAlign w:val="center"/>
                </w:tcPr>
                <w:p w14:paraId="175B98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韶环乐审〔2024〕24 号</w:t>
                  </w:r>
                </w:p>
              </w:tc>
            </w:tr>
            <w:tr w14:paraId="4215B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623084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w:t>
                  </w:r>
                </w:p>
              </w:tc>
              <w:tc>
                <w:tcPr>
                  <w:tcW w:w="1401" w:type="dxa"/>
                  <w:vAlign w:val="center"/>
                </w:tcPr>
                <w:p w14:paraId="0BEAE5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廓鑫建材（韶关）有限公司</w:t>
                  </w:r>
                </w:p>
              </w:tc>
              <w:tc>
                <w:tcPr>
                  <w:tcW w:w="390" w:type="dxa"/>
                  <w:vAlign w:val="center"/>
                </w:tcPr>
                <w:p w14:paraId="448469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51C5EE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1B91AB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33373.03</w:t>
                  </w:r>
                </w:p>
              </w:tc>
              <w:tc>
                <w:tcPr>
                  <w:tcW w:w="2129" w:type="dxa"/>
                  <w:vAlign w:val="center"/>
                </w:tcPr>
                <w:p w14:paraId="15BFE5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年产钣金件 8100 吨</w:t>
                  </w:r>
                </w:p>
              </w:tc>
              <w:tc>
                <w:tcPr>
                  <w:tcW w:w="1346" w:type="dxa"/>
                  <w:vAlign w:val="center"/>
                </w:tcPr>
                <w:p w14:paraId="609174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韶环乐审〔2025〕25 号</w:t>
                  </w:r>
                </w:p>
              </w:tc>
            </w:tr>
            <w:tr w14:paraId="79DCA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5C2BCF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w:t>
                  </w:r>
                </w:p>
              </w:tc>
              <w:tc>
                <w:tcPr>
                  <w:tcW w:w="1401" w:type="dxa"/>
                  <w:vAlign w:val="center"/>
                </w:tcPr>
                <w:p w14:paraId="5EB78B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广东三筑金属制品有限公司</w:t>
                  </w:r>
                </w:p>
              </w:tc>
              <w:tc>
                <w:tcPr>
                  <w:tcW w:w="390" w:type="dxa"/>
                  <w:vAlign w:val="center"/>
                </w:tcPr>
                <w:p w14:paraId="75C29E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4F1C9D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57A4A8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54139.29</w:t>
                  </w:r>
                </w:p>
              </w:tc>
              <w:tc>
                <w:tcPr>
                  <w:tcW w:w="2129" w:type="dxa"/>
                  <w:vAlign w:val="center"/>
                </w:tcPr>
                <w:p w14:paraId="192E84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年产各类板及其他铝制品 110 万平方米</w:t>
                  </w:r>
                </w:p>
              </w:tc>
              <w:tc>
                <w:tcPr>
                  <w:tcW w:w="1346" w:type="dxa"/>
                  <w:vAlign w:val="center"/>
                </w:tcPr>
                <w:p w14:paraId="2BDD09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韶环乐审〔2025〕24 号</w:t>
                  </w:r>
                </w:p>
              </w:tc>
            </w:tr>
            <w:tr w14:paraId="3B5A2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94705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97</w:t>
                  </w:r>
                </w:p>
              </w:tc>
              <w:tc>
                <w:tcPr>
                  <w:tcW w:w="1401" w:type="dxa"/>
                  <w:vAlign w:val="center"/>
                </w:tcPr>
                <w:p w14:paraId="1B036E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广东启健净水设备有限公司</w:t>
                  </w:r>
                </w:p>
              </w:tc>
              <w:tc>
                <w:tcPr>
                  <w:tcW w:w="390" w:type="dxa"/>
                  <w:vAlign w:val="center"/>
                </w:tcPr>
                <w:p w14:paraId="317ABD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6A7C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家具制造业</w:t>
                  </w:r>
                </w:p>
              </w:tc>
              <w:tc>
                <w:tcPr>
                  <w:tcW w:w="1088" w:type="dxa"/>
                  <w:vAlign w:val="center"/>
                </w:tcPr>
                <w:p w14:paraId="7EB2B0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9598</w:t>
                  </w:r>
                </w:p>
              </w:tc>
              <w:tc>
                <w:tcPr>
                  <w:tcW w:w="2129" w:type="dxa"/>
                  <w:vAlign w:val="center"/>
                </w:tcPr>
                <w:p w14:paraId="3BB0D3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年产直沸水壶机、饮水机、直饮水机、净水器、纯水机等净水设备 120 万台、饮用水机配件、净水机配件 150 万件</w:t>
                  </w:r>
                </w:p>
              </w:tc>
              <w:tc>
                <w:tcPr>
                  <w:tcW w:w="1346" w:type="dxa"/>
                  <w:vAlign w:val="center"/>
                </w:tcPr>
                <w:p w14:paraId="638A9B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乐环审〔2019〕42 号</w:t>
                  </w:r>
                </w:p>
              </w:tc>
            </w:tr>
            <w:tr w14:paraId="4ED91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68728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w:t>
                  </w:r>
                </w:p>
              </w:tc>
              <w:tc>
                <w:tcPr>
                  <w:tcW w:w="1401" w:type="dxa"/>
                  <w:vAlign w:val="center"/>
                </w:tcPr>
                <w:p w14:paraId="15587D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乐昌产业园工业固体废弃物设施补短板项目</w:t>
                  </w:r>
                </w:p>
              </w:tc>
              <w:tc>
                <w:tcPr>
                  <w:tcW w:w="390" w:type="dxa"/>
                  <w:vAlign w:val="center"/>
                </w:tcPr>
                <w:p w14:paraId="05EA46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5598A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装卸搬运和仓储业</w:t>
                  </w:r>
                </w:p>
              </w:tc>
              <w:tc>
                <w:tcPr>
                  <w:tcW w:w="1088" w:type="dxa"/>
                  <w:vAlign w:val="center"/>
                </w:tcPr>
                <w:p w14:paraId="312F41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w:t>
                  </w:r>
                </w:p>
              </w:tc>
              <w:tc>
                <w:tcPr>
                  <w:tcW w:w="2129" w:type="dxa"/>
                  <w:vAlign w:val="center"/>
                </w:tcPr>
                <w:p w14:paraId="0D6EC7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年收集危险废物 2806 吨，一般固体废物 8.5 万吨。</w:t>
                  </w:r>
                </w:p>
              </w:tc>
              <w:tc>
                <w:tcPr>
                  <w:tcW w:w="1346" w:type="dxa"/>
                  <w:vAlign w:val="center"/>
                </w:tcPr>
                <w:p w14:paraId="54D540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韶环乐审〔2023〕05 号</w:t>
                  </w:r>
                </w:p>
              </w:tc>
            </w:tr>
            <w:tr w14:paraId="79B01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1" w:type="dxa"/>
                  <w:vAlign w:val="center"/>
                </w:tcPr>
                <w:p w14:paraId="55DA49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99</w:t>
                  </w:r>
                </w:p>
              </w:tc>
              <w:tc>
                <w:tcPr>
                  <w:tcW w:w="1401" w:type="dxa"/>
                  <w:vAlign w:val="center"/>
                </w:tcPr>
                <w:p w14:paraId="22D2D5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乐昌市鑫盛威塑胶新材料科技有限公司</w:t>
                  </w:r>
                </w:p>
              </w:tc>
              <w:tc>
                <w:tcPr>
                  <w:tcW w:w="390" w:type="dxa"/>
                  <w:vAlign w:val="center"/>
                </w:tcPr>
                <w:p w14:paraId="554C03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307E9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橡胶和塑料制品业、非金属矿物制</w:t>
                  </w:r>
                </w:p>
                <w:p w14:paraId="6476D2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品业</w:t>
                  </w:r>
                </w:p>
              </w:tc>
              <w:tc>
                <w:tcPr>
                  <w:tcW w:w="1088" w:type="dxa"/>
                  <w:vAlign w:val="center"/>
                </w:tcPr>
                <w:p w14:paraId="0FA9A1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8000</w:t>
                  </w:r>
                </w:p>
              </w:tc>
              <w:tc>
                <w:tcPr>
                  <w:tcW w:w="2129" w:type="dxa"/>
                  <w:vAlign w:val="center"/>
                </w:tcPr>
                <w:p w14:paraId="2DF25D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膜2600 吨、PU 膜 500 吨、人造石墨 2 万吨</w:t>
                  </w:r>
                </w:p>
              </w:tc>
              <w:tc>
                <w:tcPr>
                  <w:tcW w:w="1346" w:type="dxa"/>
                  <w:vAlign w:val="center"/>
                </w:tcPr>
                <w:p w14:paraId="58CA8E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 号、韶环乐审</w:t>
                  </w:r>
                </w:p>
                <w:p w14:paraId="678D5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5CAE6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A38E6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w:t>
                  </w:r>
                </w:p>
              </w:tc>
              <w:tc>
                <w:tcPr>
                  <w:tcW w:w="1401" w:type="dxa"/>
                  <w:vAlign w:val="center"/>
                </w:tcPr>
                <w:p w14:paraId="66C5CE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乐昌市众诚塑㬵制品有限公</w:t>
                  </w:r>
                </w:p>
                <w:p w14:paraId="40A009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90" w:type="dxa"/>
                  <w:vAlign w:val="center"/>
                </w:tcPr>
                <w:p w14:paraId="436364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61405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04C42B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12419.5</w:t>
                  </w:r>
                </w:p>
              </w:tc>
              <w:tc>
                <w:tcPr>
                  <w:tcW w:w="2129" w:type="dxa"/>
                  <w:vAlign w:val="center"/>
                </w:tcPr>
                <w:p w14:paraId="7B64D9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1300 吨、聚氨酯装饰制品 200 吨</w:t>
                  </w:r>
                </w:p>
              </w:tc>
              <w:tc>
                <w:tcPr>
                  <w:tcW w:w="1346" w:type="dxa"/>
                  <w:vAlign w:val="center"/>
                </w:tcPr>
                <w:p w14:paraId="6A4368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15 号</w:t>
                  </w:r>
                </w:p>
              </w:tc>
            </w:tr>
            <w:tr w14:paraId="4C03B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1" w:type="dxa"/>
                  <w:vAlign w:val="center"/>
                </w:tcPr>
                <w:p w14:paraId="6FB3AF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101</w:t>
                  </w:r>
                </w:p>
              </w:tc>
              <w:tc>
                <w:tcPr>
                  <w:tcW w:w="1401" w:type="dxa"/>
                  <w:vAlign w:val="center"/>
                </w:tcPr>
                <w:p w14:paraId="3BA68C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韶关盖邦建材有限公司</w:t>
                  </w:r>
                </w:p>
              </w:tc>
              <w:tc>
                <w:tcPr>
                  <w:tcW w:w="390" w:type="dxa"/>
                  <w:vAlign w:val="center"/>
                </w:tcPr>
                <w:p w14:paraId="7689D1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83" w:type="dxa"/>
                  <w:vAlign w:val="center"/>
                </w:tcPr>
                <w:p w14:paraId="409C25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3A93E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129" w:type="dxa"/>
                  <w:vAlign w:val="center"/>
                </w:tcPr>
                <w:p w14:paraId="4FD4C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6000 个不锈钢井盖、排水沟盖板</w:t>
                  </w:r>
                </w:p>
              </w:tc>
              <w:tc>
                <w:tcPr>
                  <w:tcW w:w="1346" w:type="dxa"/>
                  <w:vAlign w:val="center"/>
                </w:tcPr>
                <w:p w14:paraId="35FA03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乐环审〔2019〕33 号</w:t>
                  </w:r>
                </w:p>
              </w:tc>
            </w:tr>
            <w:tr w14:paraId="769E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72D2BE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102</w:t>
                  </w:r>
                </w:p>
              </w:tc>
              <w:tc>
                <w:tcPr>
                  <w:tcW w:w="1401" w:type="dxa"/>
                  <w:vAlign w:val="center"/>
                </w:tcPr>
                <w:p w14:paraId="654349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广东力齐铝模科技有限公司</w:t>
                  </w:r>
                </w:p>
              </w:tc>
              <w:tc>
                <w:tcPr>
                  <w:tcW w:w="390" w:type="dxa"/>
                  <w:vAlign w:val="center"/>
                </w:tcPr>
                <w:p w14:paraId="1D8ED4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13303B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2AE3DD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32404.8</w:t>
                  </w:r>
                </w:p>
              </w:tc>
              <w:tc>
                <w:tcPr>
                  <w:tcW w:w="2129" w:type="dxa"/>
                  <w:vAlign w:val="center"/>
                </w:tcPr>
                <w:p w14:paraId="66F897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年产铝合金建筑模板 24 万平方米，年处理结构件 6630 吨</w:t>
                  </w:r>
                </w:p>
              </w:tc>
              <w:tc>
                <w:tcPr>
                  <w:tcW w:w="1346" w:type="dxa"/>
                  <w:vAlign w:val="center"/>
                </w:tcPr>
                <w:p w14:paraId="73AC50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乐环审〔2020〕31 号、韶环乐审</w:t>
                  </w:r>
                </w:p>
                <w:p w14:paraId="30BEC3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〔2022〕08 号</w:t>
                  </w:r>
                </w:p>
              </w:tc>
            </w:tr>
            <w:tr w14:paraId="180DE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31" w:type="dxa"/>
                  <w:vAlign w:val="center"/>
                </w:tcPr>
                <w:p w14:paraId="4215D4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103</w:t>
                  </w:r>
                </w:p>
              </w:tc>
              <w:tc>
                <w:tcPr>
                  <w:tcW w:w="1401" w:type="dxa"/>
                  <w:vAlign w:val="center"/>
                </w:tcPr>
                <w:p w14:paraId="188E78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乐昌市吉焱实业有限公司</w:t>
                  </w:r>
                </w:p>
              </w:tc>
              <w:tc>
                <w:tcPr>
                  <w:tcW w:w="390" w:type="dxa"/>
                  <w:vAlign w:val="center"/>
                </w:tcPr>
                <w:p w14:paraId="34345F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591BCD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388AC4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24875.4</w:t>
                  </w:r>
                </w:p>
              </w:tc>
              <w:tc>
                <w:tcPr>
                  <w:tcW w:w="2129" w:type="dxa"/>
                  <w:vAlign w:val="center"/>
                </w:tcPr>
                <w:p w14:paraId="77B5A9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346" w:type="dxa"/>
                  <w:vAlign w:val="center"/>
                </w:tcPr>
                <w:p w14:paraId="0506CF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14 号</w:t>
                  </w:r>
                </w:p>
              </w:tc>
            </w:tr>
            <w:tr w14:paraId="1082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49654F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104</w:t>
                  </w:r>
                </w:p>
              </w:tc>
              <w:tc>
                <w:tcPr>
                  <w:tcW w:w="1401" w:type="dxa"/>
                  <w:vAlign w:val="center"/>
                </w:tcPr>
                <w:p w14:paraId="7570F5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广东省嘉上实业有限公司</w:t>
                  </w:r>
                </w:p>
              </w:tc>
              <w:tc>
                <w:tcPr>
                  <w:tcW w:w="390" w:type="dxa"/>
                  <w:vAlign w:val="center"/>
                </w:tcPr>
                <w:p w14:paraId="26B422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4E28CA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6CC3F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12926.42</w:t>
                  </w:r>
                </w:p>
              </w:tc>
              <w:tc>
                <w:tcPr>
                  <w:tcW w:w="2129" w:type="dxa"/>
                  <w:vAlign w:val="center"/>
                </w:tcPr>
                <w:p w14:paraId="0865C9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年产塑胶桶 500 万个</w:t>
                  </w:r>
                </w:p>
              </w:tc>
              <w:tc>
                <w:tcPr>
                  <w:tcW w:w="1346" w:type="dxa"/>
                  <w:vAlign w:val="center"/>
                </w:tcPr>
                <w:p w14:paraId="42D9D7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1BE66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31" w:type="dxa"/>
                  <w:vAlign w:val="center"/>
                </w:tcPr>
                <w:p w14:paraId="0D7C8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105</w:t>
                  </w:r>
                </w:p>
              </w:tc>
              <w:tc>
                <w:tcPr>
                  <w:tcW w:w="1401" w:type="dxa"/>
                  <w:vAlign w:val="center"/>
                </w:tcPr>
                <w:p w14:paraId="16518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溢拓新能源(广东)有限公司</w:t>
                  </w:r>
                </w:p>
              </w:tc>
              <w:tc>
                <w:tcPr>
                  <w:tcW w:w="390" w:type="dxa"/>
                  <w:vAlign w:val="center"/>
                </w:tcPr>
                <w:p w14:paraId="3D823A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64C1C4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1088" w:type="dxa"/>
                  <w:vAlign w:val="center"/>
                </w:tcPr>
                <w:p w14:paraId="0ED56A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11000</w:t>
                  </w:r>
                </w:p>
              </w:tc>
              <w:tc>
                <w:tcPr>
                  <w:tcW w:w="2129" w:type="dxa"/>
                  <w:vAlign w:val="center"/>
                </w:tcPr>
                <w:p w14:paraId="45B01B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300 万件星空灯、20 万件防触电排插、12 万件擦窗机</w:t>
                  </w:r>
                </w:p>
              </w:tc>
              <w:tc>
                <w:tcPr>
                  <w:tcW w:w="1346" w:type="dxa"/>
                  <w:vAlign w:val="center"/>
                </w:tcPr>
                <w:p w14:paraId="764130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韶环乐审〔2025〕11 号</w:t>
                  </w:r>
                </w:p>
              </w:tc>
            </w:tr>
            <w:tr w14:paraId="1B2A0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00D033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w:t>
                  </w:r>
                </w:p>
              </w:tc>
              <w:tc>
                <w:tcPr>
                  <w:tcW w:w="1401" w:type="dxa"/>
                  <w:vAlign w:val="center"/>
                </w:tcPr>
                <w:p w14:paraId="1BDB51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乐昌皓强科技有限公司</w:t>
                  </w:r>
                </w:p>
              </w:tc>
              <w:tc>
                <w:tcPr>
                  <w:tcW w:w="390" w:type="dxa"/>
                  <w:vAlign w:val="center"/>
                </w:tcPr>
                <w:p w14:paraId="4C45F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1FBDB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1088" w:type="dxa"/>
                  <w:vAlign w:val="center"/>
                </w:tcPr>
                <w:p w14:paraId="17300C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9600</w:t>
                  </w:r>
                </w:p>
              </w:tc>
              <w:tc>
                <w:tcPr>
                  <w:tcW w:w="2129" w:type="dxa"/>
                  <w:vAlign w:val="center"/>
                </w:tcPr>
                <w:p w14:paraId="6FD579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106 万平方米新型先进复合建筑塑料模板</w:t>
                  </w:r>
                </w:p>
              </w:tc>
              <w:tc>
                <w:tcPr>
                  <w:tcW w:w="1346" w:type="dxa"/>
                  <w:vAlign w:val="center"/>
                </w:tcPr>
                <w:p w14:paraId="53AB91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韶环乐审〔2022〕02 号</w:t>
                  </w:r>
                </w:p>
              </w:tc>
            </w:tr>
            <w:tr w14:paraId="7980B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A752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w:t>
                  </w:r>
                </w:p>
              </w:tc>
              <w:tc>
                <w:tcPr>
                  <w:tcW w:w="1401" w:type="dxa"/>
                  <w:vAlign w:val="center"/>
                </w:tcPr>
                <w:p w14:paraId="2D3626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乐昌市保利发矿山机械配件</w:t>
                  </w:r>
                </w:p>
                <w:p w14:paraId="1A1610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90" w:type="dxa"/>
                  <w:vAlign w:val="center"/>
                </w:tcPr>
                <w:p w14:paraId="42CE7E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83" w:type="dxa"/>
                  <w:vAlign w:val="center"/>
                </w:tcPr>
                <w:p w14:paraId="3F5408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4CDD4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4050</w:t>
                  </w:r>
                </w:p>
              </w:tc>
              <w:tc>
                <w:tcPr>
                  <w:tcW w:w="2129" w:type="dxa"/>
                  <w:vAlign w:val="center"/>
                </w:tcPr>
                <w:p w14:paraId="3D1C7E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年产破碎机边板 3000 吨、锤头 2000 吨、配件 5000 吨</w:t>
                  </w:r>
                </w:p>
              </w:tc>
              <w:tc>
                <w:tcPr>
                  <w:tcW w:w="1346" w:type="dxa"/>
                  <w:vAlign w:val="center"/>
                </w:tcPr>
                <w:p w14:paraId="0B68D6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 号、韶环乐审</w:t>
                  </w:r>
                </w:p>
                <w:p w14:paraId="2E49AE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0008A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636A59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108</w:t>
                  </w:r>
                </w:p>
              </w:tc>
              <w:tc>
                <w:tcPr>
                  <w:tcW w:w="1401" w:type="dxa"/>
                  <w:vAlign w:val="center"/>
                </w:tcPr>
                <w:p w14:paraId="2F8466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乐昌市第二污水处理厂</w:t>
                  </w:r>
                </w:p>
              </w:tc>
              <w:tc>
                <w:tcPr>
                  <w:tcW w:w="390" w:type="dxa"/>
                  <w:vAlign w:val="center"/>
                </w:tcPr>
                <w:p w14:paraId="35BBA6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4F665D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1088" w:type="dxa"/>
                  <w:vAlign w:val="center"/>
                </w:tcPr>
                <w:p w14:paraId="037479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56850</w:t>
                  </w:r>
                </w:p>
              </w:tc>
              <w:tc>
                <w:tcPr>
                  <w:tcW w:w="2129" w:type="dxa"/>
                  <w:vAlign w:val="center"/>
                </w:tcPr>
                <w:p w14:paraId="649FFF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处理量 30000 立方米/天</w:t>
                  </w:r>
                </w:p>
              </w:tc>
              <w:tc>
                <w:tcPr>
                  <w:tcW w:w="1346" w:type="dxa"/>
                  <w:vAlign w:val="center"/>
                </w:tcPr>
                <w:p w14:paraId="3C8619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韶环乐审〔2021〕07 号</w:t>
                  </w:r>
                </w:p>
              </w:tc>
            </w:tr>
            <w:tr w14:paraId="04D89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2D255A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109</w:t>
                  </w:r>
                </w:p>
              </w:tc>
              <w:tc>
                <w:tcPr>
                  <w:tcW w:w="1401" w:type="dxa"/>
                  <w:vAlign w:val="center"/>
                </w:tcPr>
                <w:p w14:paraId="51A9A4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乐昌市芬乐制衣有限公司</w:t>
                  </w:r>
                </w:p>
              </w:tc>
              <w:tc>
                <w:tcPr>
                  <w:tcW w:w="390" w:type="dxa"/>
                  <w:vAlign w:val="center"/>
                </w:tcPr>
                <w:p w14:paraId="2B6CD7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1CC68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1088" w:type="dxa"/>
                  <w:vAlign w:val="center"/>
                </w:tcPr>
                <w:p w14:paraId="77313B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40000</w:t>
                  </w:r>
                </w:p>
              </w:tc>
              <w:tc>
                <w:tcPr>
                  <w:tcW w:w="2129" w:type="dxa"/>
                  <w:vAlign w:val="center"/>
                </w:tcPr>
                <w:p w14:paraId="70EDF7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服装、内衣裤、卫生用品类（纸内裤）、纺织品、第二类医疗器械（医用口罩、防护服）、日用罩（非医用）</w:t>
                  </w:r>
                </w:p>
              </w:tc>
              <w:tc>
                <w:tcPr>
                  <w:tcW w:w="1346" w:type="dxa"/>
                  <w:vAlign w:val="center"/>
                </w:tcPr>
                <w:p w14:paraId="546B18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202044028100000158</w:t>
                  </w:r>
                </w:p>
              </w:tc>
            </w:tr>
            <w:tr w14:paraId="06AF4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1" w:type="dxa"/>
                  <w:vAlign w:val="center"/>
                </w:tcPr>
                <w:p w14:paraId="3CCCBD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w:t>
                  </w:r>
                </w:p>
              </w:tc>
              <w:tc>
                <w:tcPr>
                  <w:tcW w:w="1401" w:type="dxa"/>
                  <w:vAlign w:val="center"/>
                </w:tcPr>
                <w:p w14:paraId="6469DD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乐昌市瑞昊机械厂</w:t>
                  </w:r>
                </w:p>
              </w:tc>
              <w:tc>
                <w:tcPr>
                  <w:tcW w:w="390" w:type="dxa"/>
                  <w:vAlign w:val="center"/>
                </w:tcPr>
                <w:p w14:paraId="7785E8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237BF5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3B3A0B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600</w:t>
                  </w:r>
                </w:p>
              </w:tc>
              <w:tc>
                <w:tcPr>
                  <w:tcW w:w="2129" w:type="dxa"/>
                  <w:vAlign w:val="center"/>
                </w:tcPr>
                <w:p w14:paraId="1B9178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年加工金属机械零部件 360 吨</w:t>
                  </w:r>
                </w:p>
              </w:tc>
              <w:tc>
                <w:tcPr>
                  <w:tcW w:w="1346" w:type="dxa"/>
                  <w:vAlign w:val="center"/>
                </w:tcPr>
                <w:p w14:paraId="4D8A24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201744028100000317</w:t>
                  </w:r>
                </w:p>
              </w:tc>
            </w:tr>
            <w:tr w14:paraId="7C5D8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CFE8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111</w:t>
                  </w:r>
                </w:p>
              </w:tc>
              <w:tc>
                <w:tcPr>
                  <w:tcW w:w="1401" w:type="dxa"/>
                  <w:vAlign w:val="center"/>
                </w:tcPr>
                <w:p w14:paraId="1480D3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广东创睿极光光电有限公司</w:t>
                  </w:r>
                </w:p>
              </w:tc>
              <w:tc>
                <w:tcPr>
                  <w:tcW w:w="390" w:type="dxa"/>
                  <w:vAlign w:val="center"/>
                </w:tcPr>
                <w:p w14:paraId="2399EA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348BA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1088" w:type="dxa"/>
                  <w:vAlign w:val="center"/>
                </w:tcPr>
                <w:p w14:paraId="1198C6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1735</w:t>
                  </w:r>
                </w:p>
              </w:tc>
              <w:tc>
                <w:tcPr>
                  <w:tcW w:w="2129" w:type="dxa"/>
                  <w:vAlign w:val="center"/>
                </w:tcPr>
                <w:p w14:paraId="3A2BD4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年产约 2000 万条 LED 灯条</w:t>
                  </w:r>
                </w:p>
              </w:tc>
              <w:tc>
                <w:tcPr>
                  <w:tcW w:w="1346" w:type="dxa"/>
                  <w:vAlign w:val="center"/>
                </w:tcPr>
                <w:p w14:paraId="77A9DD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201944028100000140</w:t>
                  </w:r>
                </w:p>
              </w:tc>
            </w:tr>
            <w:tr w14:paraId="61470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31" w:type="dxa"/>
                  <w:vAlign w:val="center"/>
                </w:tcPr>
                <w:p w14:paraId="15459C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w:t>
                  </w:r>
                </w:p>
              </w:tc>
              <w:tc>
                <w:tcPr>
                  <w:tcW w:w="1401" w:type="dxa"/>
                  <w:vAlign w:val="center"/>
                </w:tcPr>
                <w:p w14:paraId="5D97F9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昇翰科技（广东）有限公司</w:t>
                  </w:r>
                </w:p>
              </w:tc>
              <w:tc>
                <w:tcPr>
                  <w:tcW w:w="390" w:type="dxa"/>
                  <w:vAlign w:val="center"/>
                </w:tcPr>
                <w:p w14:paraId="6E3FB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83" w:type="dxa"/>
                  <w:vAlign w:val="center"/>
                </w:tcPr>
                <w:p w14:paraId="0BC819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75866B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1700</w:t>
                  </w:r>
                </w:p>
              </w:tc>
              <w:tc>
                <w:tcPr>
                  <w:tcW w:w="2129" w:type="dxa"/>
                  <w:vAlign w:val="center"/>
                </w:tcPr>
                <w:p w14:paraId="3EA6A2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生产加工滚珠螺母、滚珠丝杆、梯形螺母、梯形丝杆、传动元件、直线导轨、直线滑块、自动化机械设备、电子元件、电子材料、五金材料、自动化软硬件、电子产品。</w:t>
                  </w:r>
                </w:p>
              </w:tc>
              <w:tc>
                <w:tcPr>
                  <w:tcW w:w="1346" w:type="dxa"/>
                  <w:vAlign w:val="center"/>
                </w:tcPr>
                <w:p w14:paraId="531B29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202044028100000048</w:t>
                  </w:r>
                </w:p>
              </w:tc>
            </w:tr>
            <w:tr w14:paraId="02E4A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1" w:type="dxa"/>
                  <w:vAlign w:val="center"/>
                </w:tcPr>
                <w:p w14:paraId="334248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113</w:t>
                  </w:r>
                </w:p>
              </w:tc>
              <w:tc>
                <w:tcPr>
                  <w:tcW w:w="1401" w:type="dxa"/>
                  <w:vAlign w:val="center"/>
                </w:tcPr>
                <w:p w14:paraId="0B3EA6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广东运南新材料有限公司</w:t>
                  </w:r>
                </w:p>
              </w:tc>
              <w:tc>
                <w:tcPr>
                  <w:tcW w:w="390" w:type="dxa"/>
                  <w:vAlign w:val="center"/>
                </w:tcPr>
                <w:p w14:paraId="26F763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5D3D60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废弃资源综合利用业</w:t>
                  </w:r>
                </w:p>
              </w:tc>
              <w:tc>
                <w:tcPr>
                  <w:tcW w:w="1088" w:type="dxa"/>
                  <w:vAlign w:val="center"/>
                </w:tcPr>
                <w:p w14:paraId="278A47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37346.12</w:t>
                  </w:r>
                </w:p>
              </w:tc>
              <w:tc>
                <w:tcPr>
                  <w:tcW w:w="2129" w:type="dxa"/>
                  <w:vAlign w:val="center"/>
                </w:tcPr>
                <w:p w14:paraId="091184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年产破碎料 7.1 万吨</w:t>
                  </w:r>
                </w:p>
              </w:tc>
              <w:tc>
                <w:tcPr>
                  <w:tcW w:w="1346" w:type="dxa"/>
                  <w:vAlign w:val="center"/>
                </w:tcPr>
                <w:p w14:paraId="2256F8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韶环乐审〔2026〕05 号</w:t>
                  </w:r>
                </w:p>
              </w:tc>
            </w:tr>
            <w:tr w14:paraId="581AE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1" w:type="dxa"/>
                  <w:vAlign w:val="center"/>
                </w:tcPr>
                <w:p w14:paraId="263319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114</w:t>
                  </w:r>
                </w:p>
              </w:tc>
              <w:tc>
                <w:tcPr>
                  <w:tcW w:w="1401" w:type="dxa"/>
                  <w:vAlign w:val="center"/>
                </w:tcPr>
                <w:p w14:paraId="41A0A9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韶关九为新材料有限公司</w:t>
                  </w:r>
                </w:p>
              </w:tc>
              <w:tc>
                <w:tcPr>
                  <w:tcW w:w="390" w:type="dxa"/>
                  <w:vAlign w:val="center"/>
                </w:tcPr>
                <w:p w14:paraId="3DFD3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83" w:type="dxa"/>
                  <w:vAlign w:val="center"/>
                </w:tcPr>
                <w:p w14:paraId="7B3633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1088" w:type="dxa"/>
                  <w:vAlign w:val="center"/>
                </w:tcPr>
                <w:p w14:paraId="021D22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129" w:type="dxa"/>
                  <w:vAlign w:val="center"/>
                </w:tcPr>
                <w:p w14:paraId="0E0A5D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年产铝模板 50 万平方米</w:t>
                  </w:r>
                </w:p>
              </w:tc>
              <w:tc>
                <w:tcPr>
                  <w:tcW w:w="1346" w:type="dxa"/>
                  <w:vAlign w:val="center"/>
                </w:tcPr>
                <w:p w14:paraId="686AFD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韶环乐审〔2025〕26 号</w:t>
                  </w:r>
                </w:p>
              </w:tc>
            </w:tr>
            <w:bookmarkEnd w:id="36"/>
          </w:tbl>
          <w:p w14:paraId="10EE78F4">
            <w:pPr>
              <w:pStyle w:val="16"/>
              <w:pageBreakBefore w:val="0"/>
              <w:numPr>
                <w:ilvl w:val="0"/>
                <w:numId w:val="8"/>
              </w:numPr>
              <w:kinsoku/>
              <w:overflowPunct/>
              <w:topLinePunct w:val="0"/>
              <w:bidi w:val="0"/>
              <w:snapToGrid/>
              <w:spacing w:line="240" w:lineRule="auto"/>
              <w:ind w:left="0" w:leftChars="0" w:firstLine="40" w:firstLineChars="0"/>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园区已通过审批企业三废排放情况汇总表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99"/>
              <w:gridCol w:w="1443"/>
              <w:gridCol w:w="2495"/>
              <w:gridCol w:w="3019"/>
            </w:tblGrid>
            <w:tr w14:paraId="250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vAlign w:val="center"/>
                </w:tcPr>
                <w:p w14:paraId="08ACB1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环境影响因素</w:t>
                  </w:r>
                </w:p>
              </w:tc>
              <w:tc>
                <w:tcPr>
                  <w:tcW w:w="1921" w:type="pct"/>
                  <w:vAlign w:val="center"/>
                </w:tcPr>
                <w:p w14:paraId="4949E0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排放量</w:t>
                  </w:r>
                </w:p>
              </w:tc>
            </w:tr>
            <w:tr w14:paraId="574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588666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918" w:type="pct"/>
                  <w:vMerge w:val="restart"/>
                  <w:vAlign w:val="center"/>
                </w:tcPr>
                <w:p w14:paraId="55BDE7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1587" w:type="pct"/>
                  <w:vAlign w:val="center"/>
                </w:tcPr>
                <w:p w14:paraId="74C4F4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废水量（m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w:t>
                  </w:r>
                </w:p>
              </w:tc>
              <w:tc>
                <w:tcPr>
                  <w:tcW w:w="3583" w:type="dxa"/>
                  <w:vAlign w:val="center"/>
                </w:tcPr>
                <w:p w14:paraId="728067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2462.21</w:t>
                  </w:r>
                </w:p>
              </w:tc>
            </w:tr>
            <w:tr w14:paraId="0477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49CB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49C0B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32827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COD（t/a）</w:t>
                  </w:r>
                </w:p>
              </w:tc>
              <w:tc>
                <w:tcPr>
                  <w:tcW w:w="3583" w:type="dxa"/>
                  <w:vAlign w:val="center"/>
                </w:tcPr>
                <w:p w14:paraId="4BC66C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30.39</w:t>
                  </w:r>
                </w:p>
              </w:tc>
            </w:tr>
            <w:tr w14:paraId="57FD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3B0D4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3EB22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70E8AF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氨氮（t/a）</w:t>
                  </w:r>
                </w:p>
              </w:tc>
              <w:tc>
                <w:tcPr>
                  <w:tcW w:w="3583" w:type="dxa"/>
                  <w:vAlign w:val="center"/>
                </w:tcPr>
                <w:p w14:paraId="0C9465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3.794</w:t>
                  </w:r>
                </w:p>
              </w:tc>
            </w:tr>
            <w:tr w14:paraId="3FB3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3B25F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918" w:type="pct"/>
                  <w:vMerge w:val="restart"/>
                  <w:vAlign w:val="center"/>
                </w:tcPr>
                <w:p w14:paraId="271613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w:t>
                  </w:r>
                </w:p>
              </w:tc>
              <w:tc>
                <w:tcPr>
                  <w:tcW w:w="1587" w:type="pct"/>
                  <w:vAlign w:val="center"/>
                </w:tcPr>
                <w:p w14:paraId="6380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3583" w:type="dxa"/>
                  <w:vAlign w:val="center"/>
                </w:tcPr>
                <w:p w14:paraId="22A109B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1.44</w:t>
                  </w:r>
                </w:p>
              </w:tc>
            </w:tr>
            <w:tr w14:paraId="6FD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36AB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0E5E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1A74D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氮氧化物（t/a）</w:t>
                  </w:r>
                </w:p>
              </w:tc>
              <w:tc>
                <w:tcPr>
                  <w:tcW w:w="3583" w:type="dxa"/>
                  <w:vAlign w:val="center"/>
                </w:tcPr>
                <w:p w14:paraId="0430E79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14:textFill>
                        <w14:solidFill>
                          <w14:schemeClr w14:val="tx1"/>
                        </w14:solidFill>
                      </w14:textFill>
                    </w:rPr>
                    <w:t>14.78</w:t>
                  </w:r>
                </w:p>
              </w:tc>
            </w:tr>
            <w:tr w14:paraId="7E1B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273BF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3B279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1C2CB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烟（粉）尘（t/a）</w:t>
                  </w:r>
                </w:p>
              </w:tc>
              <w:tc>
                <w:tcPr>
                  <w:tcW w:w="3583" w:type="dxa"/>
                  <w:vAlign w:val="center"/>
                </w:tcPr>
                <w:p w14:paraId="40C005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104.36</w:t>
                  </w:r>
                </w:p>
              </w:tc>
            </w:tr>
            <w:tr w14:paraId="3AFE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4C76E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vAlign w:val="center"/>
                </w:tcPr>
                <w:p w14:paraId="25A3B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vAlign w:val="center"/>
                </w:tcPr>
                <w:p w14:paraId="73DCDD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非甲烷总烃（t/a）</w:t>
                  </w:r>
                </w:p>
              </w:tc>
              <w:tc>
                <w:tcPr>
                  <w:tcW w:w="3583" w:type="dxa"/>
                  <w:vAlign w:val="center"/>
                </w:tcPr>
                <w:p w14:paraId="5ECDE7E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43.72</w:t>
                  </w:r>
                </w:p>
              </w:tc>
            </w:tr>
            <w:tr w14:paraId="732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vAlign w:val="center"/>
                </w:tcPr>
                <w:p w14:paraId="0B6221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w:t>
                  </w:r>
                </w:p>
                <w:p w14:paraId="3355C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废物</w:t>
                  </w:r>
                </w:p>
              </w:tc>
              <w:tc>
                <w:tcPr>
                  <w:tcW w:w="2506" w:type="pct"/>
                  <w:gridSpan w:val="2"/>
                  <w:vAlign w:val="center"/>
                </w:tcPr>
                <w:p w14:paraId="46C3C1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危险废物（t/a）</w:t>
                  </w:r>
                </w:p>
              </w:tc>
              <w:tc>
                <w:tcPr>
                  <w:tcW w:w="3583" w:type="dxa"/>
                  <w:vAlign w:val="center"/>
                </w:tcPr>
                <w:p w14:paraId="462DCDD2">
                  <w:pPr>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2278.37</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r>
                    <w:rPr>
                      <w:rFonts w:hint="eastAsia" w:ascii="Times New Roman" w:hAnsi="Times New Roman" w:eastAsia="宋体" w:cs="Times New Roman"/>
                      <w:color w:val="000000" w:themeColor="text1"/>
                      <w:spacing w:val="-1"/>
                      <w:sz w:val="21"/>
                      <w:szCs w:val="21"/>
                      <w:lang w:val="en-US" w:eastAsia="zh-CN"/>
                      <w14:textFill>
                        <w14:solidFill>
                          <w14:schemeClr w14:val="tx1"/>
                        </w14:solidFill>
                      </w14:textFill>
                    </w:rPr>
                    <w:t>委外处置</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p>
              </w:tc>
            </w:tr>
            <w:tr w14:paraId="598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02E42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vAlign w:val="center"/>
                </w:tcPr>
                <w:p w14:paraId="73B430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一般固废（t/a）</w:t>
                  </w:r>
                </w:p>
              </w:tc>
              <w:tc>
                <w:tcPr>
                  <w:tcW w:w="3583" w:type="dxa"/>
                  <w:vAlign w:val="center"/>
                </w:tcPr>
                <w:p w14:paraId="1BB2A8D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14:textFill>
                        <w14:solidFill>
                          <w14:schemeClr w14:val="tx1"/>
                        </w14:solidFill>
                      </w14:textFill>
                    </w:rPr>
                    <w:t>174050.52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（综合利用，环卫清运）</w:t>
                  </w:r>
                </w:p>
              </w:tc>
            </w:tr>
            <w:tr w14:paraId="2FB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vAlign w:val="center"/>
                </w:tcPr>
                <w:p w14:paraId="55B0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vAlign w:val="center"/>
                </w:tcPr>
                <w:p w14:paraId="01B07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生活垃圾（t/a）</w:t>
                  </w:r>
                </w:p>
              </w:tc>
              <w:tc>
                <w:tcPr>
                  <w:tcW w:w="3583" w:type="dxa"/>
                  <w:vAlign w:val="center"/>
                </w:tcPr>
                <w:p w14:paraId="502ACA9F">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3129.21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（环卫清运）</w:t>
                  </w:r>
                </w:p>
              </w:tc>
            </w:tr>
          </w:tbl>
          <w:p w14:paraId="084F80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3、主要环境问题</w:t>
            </w:r>
          </w:p>
          <w:p w14:paraId="373D06D8">
            <w:pPr>
              <w:keepNext w:val="0"/>
              <w:keepLines w:val="0"/>
              <w:widowControl/>
              <w:suppressLineNumbers w:val="0"/>
              <w:spacing w:before="0" w:beforeAutospacing="0" w:after="0" w:afterAutospacing="0" w:line="360" w:lineRule="auto"/>
              <w:ind w:left="0" w:right="0" w:firstLine="480" w:firstLineChars="200"/>
              <w:jc w:val="left"/>
              <w:rPr>
                <w:rFonts w:hint="default" w:cs="宋体"/>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环境质量现状监测数据表明，项目所在区域各类环境要素均能达到相应的环境规划要求，无突出环境问题。</w:t>
            </w:r>
          </w:p>
        </w:tc>
      </w:tr>
    </w:tbl>
    <w:p w14:paraId="6F567B9D">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37" w:name="_Toc30365"/>
      <w:bookmarkStart w:id="38" w:name="_Toc4052"/>
      <w:bookmarkStart w:id="39" w:name="_Toc29511"/>
      <w:r>
        <w:rPr>
          <w:rFonts w:hint="default" w:ascii="Times New Roman" w:hAnsi="Times New Roman" w:cs="Times New Roman"/>
          <w:color w:val="000000" w:themeColor="text1"/>
          <w:highlight w:val="none"/>
          <w14:textFill>
            <w14:solidFill>
              <w14:schemeClr w14:val="tx1"/>
            </w14:solidFill>
          </w14:textFill>
        </w:rPr>
        <w:t>三、区域环境质量现状、环境保护目标及评价标准</w:t>
      </w:r>
      <w:bookmarkEnd w:id="37"/>
      <w:bookmarkEnd w:id="38"/>
      <w:bookmarkEnd w:id="39"/>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081"/>
      </w:tblGrid>
      <w:tr w14:paraId="71C5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262" w:type="pct"/>
            <w:vAlign w:val="center"/>
          </w:tcPr>
          <w:p w14:paraId="64986B96">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40" w:name="_Toc24283"/>
            <w:bookmarkStart w:id="41" w:name="_Toc14318"/>
            <w:bookmarkStart w:id="42" w:name="_Toc21642"/>
            <w:bookmarkStart w:id="43" w:name="_Toc11366"/>
            <w:bookmarkStart w:id="44" w:name="_Toc21960"/>
            <w:r>
              <w:rPr>
                <w:rFonts w:hint="default" w:ascii="Times New Roman" w:hAnsi="Times New Roman" w:cs="Times New Roman"/>
                <w:color w:val="000000" w:themeColor="text1"/>
                <w:highlight w:val="none"/>
                <w14:textFill>
                  <w14:solidFill>
                    <w14:schemeClr w14:val="tx1"/>
                  </w14:solidFill>
                </w14:textFill>
              </w:rPr>
              <w:t>区域环境质量现状</w:t>
            </w:r>
            <w:bookmarkEnd w:id="40"/>
            <w:bookmarkEnd w:id="41"/>
            <w:bookmarkEnd w:id="42"/>
            <w:bookmarkEnd w:id="43"/>
            <w:bookmarkEnd w:id="44"/>
          </w:p>
        </w:tc>
        <w:tc>
          <w:tcPr>
            <w:tcW w:w="4737" w:type="pct"/>
          </w:tcPr>
          <w:p w14:paraId="5B9104EA">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一、环境空气质量现状</w:t>
            </w:r>
          </w:p>
          <w:p w14:paraId="0A8BFE2E">
            <w:pPr>
              <w:pStyle w:val="2"/>
              <w:ind w:firstLine="480" w:firstLineChars="200"/>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（1）项目所在区域达标判定</w:t>
            </w:r>
          </w:p>
          <w:p w14:paraId="743ED661">
            <w:pPr>
              <w:pStyle w:val="2"/>
              <w:spacing w:line="360" w:lineRule="auto"/>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根据《韶关市生态环境保护战略规划（2020-2035）》，本项目选址周围空气环境质量功能区划为二类功能区，因此项目所在区域环境空气质量执行国家《环境空气质量标准》（</w:t>
            </w:r>
            <w:r>
              <w:rPr>
                <w:rFonts w:hint="eastAsia" w:ascii="Times New Roman"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cs="Times New Roman"/>
                <w:color w:val="000000" w:themeColor="text1"/>
                <w:highlight w:val="none"/>
                <w:lang w:val="en-US" w:eastAsia="zh-CN"/>
                <w14:textFill>
                  <w14:solidFill>
                    <w14:schemeClr w14:val="tx1"/>
                  </w14:solidFill>
                </w14:textFill>
              </w:rPr>
              <w:t>过渡阶段浓度限值二级标准</w:t>
            </w:r>
            <w:r>
              <w:rPr>
                <w:rFonts w:hint="default" w:ascii="Times New Roman" w:hAnsi="Times New Roman" w:cs="Times New Roman"/>
                <w:color w:val="000000" w:themeColor="text1"/>
                <w:highlight w:val="none"/>
                <w14:textFill>
                  <w14:solidFill>
                    <w14:schemeClr w14:val="tx1"/>
                  </w14:solidFill>
                </w14:textFill>
              </w:rPr>
              <w:t>。</w:t>
            </w:r>
          </w:p>
          <w:p w14:paraId="42BEC103">
            <w:pPr>
              <w:pStyle w:val="2"/>
              <w:spacing w:line="360" w:lineRule="auto"/>
              <w:ind w:firstLine="480" w:firstLineChars="200"/>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根据《韶关市生态环境状况公报》（202</w:t>
            </w:r>
            <w:r>
              <w:rPr>
                <w:rFonts w:hint="eastAsia" w:asci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年），</w:t>
            </w:r>
            <w:r>
              <w:rPr>
                <w:rFonts w:hint="eastAsia" w:ascii="Times New Roman" w:cs="Times New Roman"/>
                <w:color w:val="000000" w:themeColor="text1"/>
                <w:highlight w:val="none"/>
                <w:lang w:val="en-US" w:eastAsia="zh-CN"/>
                <w14:textFill>
                  <w14:solidFill>
                    <w14:schemeClr w14:val="tx1"/>
                  </w14:solidFill>
                </w14:textFill>
              </w:rPr>
              <w:t>乐昌</w:t>
            </w:r>
            <w:r>
              <w:rPr>
                <w:rFonts w:hint="default" w:ascii="Times New Roman" w:hAnsi="Times New Roman" w:cs="Times New Roman"/>
                <w:color w:val="000000" w:themeColor="text1"/>
                <w:highlight w:val="none"/>
                <w14:textFill>
                  <w14:solidFill>
                    <w14:schemeClr w14:val="tx1"/>
                  </w14:solidFill>
                </w14:textFill>
              </w:rPr>
              <w:t>市各常规监测因子均可满足国家《环境空气质量标准》（</w:t>
            </w:r>
            <w:r>
              <w:rPr>
                <w:rFonts w:hint="eastAsia" w:ascii="Times New Roman"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cs="Times New Roman"/>
                <w:color w:val="000000" w:themeColor="text1"/>
                <w:highlight w:val="none"/>
                <w:lang w:val="en-US" w:eastAsia="zh-CN"/>
                <w14:textFill>
                  <w14:solidFill>
                    <w14:schemeClr w14:val="tx1"/>
                  </w14:solidFill>
                </w14:textFill>
              </w:rPr>
              <w:t>过渡阶段浓度限值二级标准</w:t>
            </w:r>
            <w:r>
              <w:rPr>
                <w:rFonts w:hint="default" w:ascii="Times New Roman" w:hAnsi="Times New Roman" w:cs="Times New Roman"/>
                <w:color w:val="000000" w:themeColor="text1"/>
                <w:highlight w:val="none"/>
                <w14:textFill>
                  <w14:solidFill>
                    <w14:schemeClr w14:val="tx1"/>
                  </w14:solidFill>
                </w14:textFill>
              </w:rPr>
              <w:t>，本项目所在区域属于达标区，详见下表。</w:t>
            </w:r>
          </w:p>
          <w:p w14:paraId="78E87550">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45" w:name="_Toc26003"/>
            <w:bookmarkStart w:id="46" w:name="_Toc19677"/>
            <w:bookmarkStart w:id="47" w:name="_Toc944"/>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区域空气质量现状评价表</w:t>
            </w:r>
          </w:p>
          <w:tbl>
            <w:tblPr>
              <w:tblStyle w:val="46"/>
              <w:tblW w:w="4998"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80"/>
              <w:gridCol w:w="2482"/>
              <w:gridCol w:w="1048"/>
              <w:gridCol w:w="1059"/>
              <w:gridCol w:w="1263"/>
              <w:gridCol w:w="1020"/>
            </w:tblGrid>
            <w:tr w14:paraId="218D951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6F935F79">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污染物</w:t>
                  </w:r>
                </w:p>
              </w:tc>
              <w:tc>
                <w:tcPr>
                  <w:tcW w:w="1580" w:type="pct"/>
                  <w:vAlign w:val="center"/>
                </w:tcPr>
                <w:p w14:paraId="4DE61547">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年评价指标</w:t>
                  </w:r>
                </w:p>
              </w:tc>
              <w:tc>
                <w:tcPr>
                  <w:tcW w:w="667" w:type="pct"/>
                  <w:vAlign w:val="center"/>
                </w:tcPr>
                <w:p w14:paraId="1250A52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现状浓度</w:t>
                  </w:r>
                </w:p>
              </w:tc>
              <w:tc>
                <w:tcPr>
                  <w:tcW w:w="674" w:type="pct"/>
                  <w:vAlign w:val="center"/>
                </w:tcPr>
                <w:p w14:paraId="04955591">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标准值</w:t>
                  </w:r>
                </w:p>
              </w:tc>
              <w:tc>
                <w:tcPr>
                  <w:tcW w:w="804" w:type="pct"/>
                  <w:vAlign w:val="center"/>
                </w:tcPr>
                <w:p w14:paraId="359EC1D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占标率%</w:t>
                  </w:r>
                </w:p>
              </w:tc>
              <w:tc>
                <w:tcPr>
                  <w:tcW w:w="649" w:type="pct"/>
                  <w:vAlign w:val="center"/>
                </w:tcPr>
                <w:p w14:paraId="21DEAB32">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pPr>
                  <w:r>
                    <w:rPr>
                      <w:rFonts w:hint="default" w:ascii="Times New Roman" w:hAnsi="Times New Roman" w:cs="Times New Roman"/>
                      <w:b/>
                      <w:bCs/>
                      <w:color w:val="000000" w:themeColor="text1"/>
                      <w:kern w:val="0"/>
                      <w:position w:val="-3"/>
                      <w:sz w:val="21"/>
                      <w:szCs w:val="21"/>
                      <w:highlight w:val="none"/>
                      <w14:textFill>
                        <w14:solidFill>
                          <w14:schemeClr w14:val="tx1"/>
                        </w14:solidFill>
                      </w14:textFill>
                    </w:rPr>
                    <w:t>达标情况</w:t>
                  </w:r>
                </w:p>
              </w:tc>
            </w:tr>
            <w:tr w14:paraId="5DBBEF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C58925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580" w:type="pct"/>
                  <w:vAlign w:val="center"/>
                </w:tcPr>
                <w:p w14:paraId="1C1D758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4040F7A2">
                  <w:pPr>
                    <w:pStyle w:val="25"/>
                    <w:keepNext w:val="0"/>
                    <w:keepLines w:val="0"/>
                    <w:pageBreakBefore w:val="0"/>
                    <w:kinsoku/>
                    <w:wordWrap/>
                    <w:overflowPunct/>
                    <w:topLinePunct w:val="0"/>
                    <w:bidi w:val="0"/>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p>
              </w:tc>
              <w:tc>
                <w:tcPr>
                  <w:tcW w:w="674" w:type="pct"/>
                  <w:vAlign w:val="center"/>
                </w:tcPr>
                <w:p w14:paraId="02C4C8D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7F46B153">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649" w:type="pct"/>
                  <w:vAlign w:val="center"/>
                </w:tcPr>
                <w:p w14:paraId="717676C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7030C2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428E0B3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580" w:type="pct"/>
                  <w:vAlign w:val="center"/>
                </w:tcPr>
                <w:p w14:paraId="1C554F2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FD8936B">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00ECD55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6F25EAAD">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649" w:type="pct"/>
                  <w:vAlign w:val="center"/>
                </w:tcPr>
                <w:p w14:paraId="79D1B3B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BDDE6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6F4D675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1580" w:type="pct"/>
                  <w:vAlign w:val="center"/>
                </w:tcPr>
                <w:p w14:paraId="702860C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F5E55B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58549D1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5E785394">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51.6</w:t>
                  </w:r>
                </w:p>
              </w:tc>
              <w:tc>
                <w:tcPr>
                  <w:tcW w:w="649" w:type="pct"/>
                  <w:vAlign w:val="center"/>
                </w:tcPr>
                <w:p w14:paraId="48A466D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147221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7CCFBC7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1580" w:type="pct"/>
                  <w:vAlign w:val="center"/>
                </w:tcPr>
                <w:p w14:paraId="0D80489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667" w:type="pct"/>
                  <w:vAlign w:val="center"/>
                </w:tcPr>
                <w:p w14:paraId="3624097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33FD08C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46DD0AF7">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70</w:t>
                  </w:r>
                </w:p>
              </w:tc>
              <w:tc>
                <w:tcPr>
                  <w:tcW w:w="649" w:type="pct"/>
                  <w:vAlign w:val="center"/>
                </w:tcPr>
                <w:p w14:paraId="2D651B0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3DE9C8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540255E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w:t>
                  </w:r>
                </w:p>
              </w:tc>
              <w:tc>
                <w:tcPr>
                  <w:tcW w:w="1580" w:type="pct"/>
                  <w:vAlign w:val="center"/>
                </w:tcPr>
                <w:p w14:paraId="2B0C771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24小时均值第95百分位数</w:t>
                  </w:r>
                </w:p>
              </w:tc>
              <w:tc>
                <w:tcPr>
                  <w:tcW w:w="667" w:type="pct"/>
                  <w:vAlign w:val="center"/>
                </w:tcPr>
                <w:p w14:paraId="33BEEFE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4A9FA9F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68D5B496">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649" w:type="pct"/>
                  <w:vAlign w:val="center"/>
                </w:tcPr>
                <w:p w14:paraId="7FEF118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400D213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6C734C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p>
              </w:tc>
              <w:tc>
                <w:tcPr>
                  <w:tcW w:w="1580" w:type="pct"/>
                  <w:vAlign w:val="center"/>
                </w:tcPr>
                <w:p w14:paraId="3CEE536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最大8小时值第90百分位数</w:t>
                  </w:r>
                </w:p>
              </w:tc>
              <w:tc>
                <w:tcPr>
                  <w:tcW w:w="667" w:type="pct"/>
                  <w:vAlign w:val="center"/>
                </w:tcPr>
                <w:p w14:paraId="2CFBFA60">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674" w:type="pct"/>
                  <w:vAlign w:val="center"/>
                </w:tcPr>
                <w:p w14:paraId="175E11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160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μ</w:t>
                  </w:r>
                  <w:r>
                    <w:rPr>
                      <w:rFonts w:hint="default" w:ascii="Times New Roman" w:hAnsi="Times New Roman" w:cs="Times New Roman"/>
                      <w:color w:val="000000" w:themeColor="text1"/>
                      <w:sz w:val="21"/>
                      <w:szCs w:val="21"/>
                      <w:highlight w:val="none"/>
                      <w14:textFill>
                        <w14:solidFill>
                          <w14:schemeClr w14:val="tx1"/>
                        </w14:solidFill>
                      </w14:textFill>
                    </w:rPr>
                    <w:t>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436" w:type="dxa"/>
                  <w:vAlign w:val="center"/>
                </w:tcPr>
                <w:p w14:paraId="06A22559">
                  <w:pPr>
                    <w:keepNext w:val="0"/>
                    <w:keepLines w:val="0"/>
                    <w:pageBreakBefore w:val="0"/>
                    <w:widowControl/>
                    <w:kinsoku/>
                    <w:wordWrap/>
                    <w:overflowPunct/>
                    <w:topLinePunct w:val="0"/>
                    <w:bidi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67.5</w:t>
                  </w:r>
                </w:p>
              </w:tc>
              <w:tc>
                <w:tcPr>
                  <w:tcW w:w="649" w:type="pct"/>
                  <w:vAlign w:val="center"/>
                </w:tcPr>
                <w:p w14:paraId="2C8EA3B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bookmarkEnd w:id="45"/>
            <w:bookmarkEnd w:id="46"/>
            <w:bookmarkEnd w:id="47"/>
          </w:tbl>
          <w:p w14:paraId="00656C9D">
            <w:pPr>
              <w:keepNext w:val="0"/>
              <w:keepLines w:val="0"/>
              <w:pageBreakBefore w:val="0"/>
              <w:widowControl w:val="0"/>
              <w:kinsoku/>
              <w:wordWrap/>
              <w:overflowPunct/>
              <w:topLinePunct w:val="0"/>
              <w:autoSpaceDE/>
              <w:autoSpaceDN/>
              <w:bidi w:val="0"/>
              <w:adjustRightInd/>
              <w:snapToGrid/>
              <w:spacing w:before="156" w:beforeLines="50"/>
              <w:ind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cs="Times New Roman"/>
                <w:b/>
                <w:bCs/>
                <w:color w:val="000000" w:themeColor="text1"/>
                <w:highlight w:val="none"/>
                <w14:textFill>
                  <w14:solidFill>
                    <w14:schemeClr w14:val="tx1"/>
                  </w14:solidFill>
                </w14:textFill>
              </w:rPr>
              <w:t>）特征因子补充监测</w:t>
            </w:r>
          </w:p>
          <w:p w14:paraId="52D44842">
            <w:pPr>
              <w:keepNext w:val="0"/>
              <w:keepLines w:val="0"/>
              <w:widowControl/>
              <w:suppressLineNumbers w:val="0"/>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Cs w:val="22"/>
                <w:highlight w:val="none"/>
                <w14:textFill>
                  <w14:solidFill>
                    <w14:schemeClr w14:val="tx1"/>
                  </w14:solidFill>
                </w14:textFill>
              </w:rPr>
              <w:t>根据《建设项目环境影响报告表编制技术指南（污染影响类）（试行）》：排放国家、地方环境空气质量标准中有标准限值要求的特征污染物时，引用建设项目周边5千米范围内近3年的现有监测数据。本项目引用《乐昌产业转移工业园202</w:t>
            </w:r>
            <w:r>
              <w:rPr>
                <w:rFonts w:hint="eastAsia" w:cs="Times New Roman"/>
                <w:bCs/>
                <w:color w:val="000000" w:themeColor="text1"/>
                <w:szCs w:val="22"/>
                <w:highlight w:val="none"/>
                <w:lang w:val="en-US" w:eastAsia="zh-CN"/>
                <w14:textFill>
                  <w14:solidFill>
                    <w14:schemeClr w14:val="tx1"/>
                  </w14:solidFill>
                </w14:textFill>
              </w:rPr>
              <w:t>3</w:t>
            </w:r>
            <w:r>
              <w:rPr>
                <w:rFonts w:hint="default" w:ascii="Times New Roman" w:hAnsi="Times New Roman" w:cs="Times New Roman"/>
                <w:bCs/>
                <w:color w:val="000000" w:themeColor="text1"/>
                <w:szCs w:val="22"/>
                <w:highlight w:val="none"/>
                <w14:textFill>
                  <w14:solidFill>
                    <w14:schemeClr w14:val="tx1"/>
                  </w14:solidFill>
                </w14:textFill>
              </w:rPr>
              <w:t>年度环境管理状况评估监测》（报告编号</w:t>
            </w:r>
            <w:r>
              <w:rPr>
                <w:rFonts w:hint="default" w:ascii="Times New Roman" w:hAnsi="Times New Roman" w:cs="Times New Roman"/>
                <w:bCs/>
                <w:color w:val="000000" w:themeColor="text1"/>
                <w:szCs w:val="22"/>
                <w:highlight w:val="none"/>
                <w:lang w:eastAsia="zh-CN"/>
                <w14:textFill>
                  <w14:solidFill>
                    <w14:schemeClr w14:val="tx1"/>
                  </w14:solidFill>
                </w14:textFill>
              </w:rPr>
              <w:t>：</w:t>
            </w:r>
            <w:r>
              <w:rPr>
                <w:rFonts w:hint="eastAsia" w:cs="Times New Roman"/>
                <w:bCs/>
                <w:color w:val="000000" w:themeColor="text1"/>
                <w:szCs w:val="22"/>
                <w:highlight w:val="none"/>
                <w:lang w:val="en-US" w:eastAsia="zh-CN"/>
                <w14:textFill>
                  <w14:solidFill>
                    <w14:schemeClr w14:val="tx1"/>
                  </w14:solidFill>
                </w14:textFill>
              </w:rPr>
              <w:t>QHT-202312271026</w:t>
            </w:r>
            <w:r>
              <w:rPr>
                <w:rFonts w:hint="default" w:ascii="Times New Roman" w:hAnsi="Times New Roman" w:cs="Times New Roman"/>
                <w:bCs/>
                <w:color w:val="000000" w:themeColor="text1"/>
                <w:szCs w:val="22"/>
                <w:highlight w:val="none"/>
                <w14:textFill>
                  <w14:solidFill>
                    <w14:schemeClr w14:val="tx1"/>
                  </w14:solidFill>
                </w14:textFill>
              </w:rPr>
              <w:t>）用于评价</w:t>
            </w:r>
            <w:r>
              <w:rPr>
                <w:rFonts w:hint="eastAsia" w:cs="Times New Roman"/>
                <w:bCs/>
                <w:color w:val="000000" w:themeColor="text1"/>
                <w:szCs w:val="22"/>
                <w:highlight w:val="none"/>
                <w:lang w:val="en-US" w:eastAsia="zh-CN"/>
                <w14:textFill>
                  <w14:solidFill>
                    <w14:schemeClr w14:val="tx1"/>
                  </w14:solidFill>
                </w14:textFill>
              </w:rPr>
              <w:t>非甲烷总烃、臭气浓度环境质量</w:t>
            </w:r>
            <w:r>
              <w:rPr>
                <w:rFonts w:hint="default" w:ascii="Times New Roman" w:hAnsi="Times New Roman" w:cs="Times New Roman"/>
                <w:bCs/>
                <w:color w:val="000000" w:themeColor="text1"/>
                <w:szCs w:val="22"/>
                <w:highlight w:val="none"/>
                <w14:textFill>
                  <w14:solidFill>
                    <w14:schemeClr w14:val="tx1"/>
                  </w14:solidFill>
                </w14:textFill>
              </w:rPr>
              <w:t>现状。</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深圳市清华环科检测技术有限公司</w:t>
            </w:r>
            <w:r>
              <w:rPr>
                <w:rFonts w:hint="default" w:ascii="Times New Roman" w:hAnsi="Times New Roman" w:cs="Times New Roman"/>
                <w:bCs/>
                <w:color w:val="000000" w:themeColor="text1"/>
                <w:szCs w:val="22"/>
                <w:highlight w:val="none"/>
                <w:lang w:eastAsia="zh-CN"/>
                <w14:textFill>
                  <w14:solidFill>
                    <w14:schemeClr w14:val="tx1"/>
                  </w14:solidFill>
                </w14:textFill>
              </w:rPr>
              <w:t>于</w:t>
            </w:r>
            <w:r>
              <w:rPr>
                <w:rFonts w:hint="default" w:ascii="Times New Roman" w:hAnsi="Times New Roman" w:cs="Times New Roman"/>
                <w:color w:val="000000" w:themeColor="text1"/>
                <w:highlight w:val="none"/>
                <w14:textFill>
                  <w14:solidFill>
                    <w14:schemeClr w14:val="tx1"/>
                  </w14:solidFill>
                </w14:textFill>
              </w:rPr>
              <w:t>202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年12月</w:t>
            </w:r>
            <w:r>
              <w:rPr>
                <w:rFonts w:hint="eastAsia" w:cs="Times New Roman"/>
                <w:color w:val="000000" w:themeColor="text1"/>
                <w:highlight w:val="none"/>
                <w:lang w:val="en-US" w:eastAsia="zh-CN"/>
                <w14:textFill>
                  <w14:solidFill>
                    <w14:schemeClr w14:val="tx1"/>
                  </w14:solidFill>
                </w14:textFill>
              </w:rPr>
              <w:t>19</w:t>
            </w:r>
            <w:r>
              <w:rPr>
                <w:rFonts w:hint="default" w:ascii="Times New Roman" w:hAnsi="Times New Roman" w:cs="Times New Roman"/>
                <w:color w:val="000000" w:themeColor="text1"/>
                <w:highlight w:val="none"/>
                <w14:textFill>
                  <w14:solidFill>
                    <w14:schemeClr w14:val="tx1"/>
                  </w14:solidFill>
                </w14:textFill>
              </w:rPr>
              <w:t>日-202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年12月2</w:t>
            </w:r>
            <w:r>
              <w:rPr>
                <w:rFonts w:hint="eastAsia" w:cs="Times New Roman"/>
                <w:color w:val="000000" w:themeColor="text1"/>
                <w:highlight w:val="none"/>
                <w:lang w:val="en-US" w:eastAsia="zh-CN"/>
                <w14:textFill>
                  <w14:solidFill>
                    <w14:schemeClr w14:val="tx1"/>
                  </w14:solidFill>
                </w14:textFill>
              </w:rPr>
              <w:t>5日</w:t>
            </w:r>
            <w:r>
              <w:rPr>
                <w:rFonts w:hint="default" w:ascii="Times New Roman" w:hAnsi="Times New Roman" w:cs="Times New Roman"/>
                <w:color w:val="000000" w:themeColor="text1"/>
                <w:highlight w:val="none"/>
                <w14:textFill>
                  <w14:solidFill>
                    <w14:schemeClr w14:val="tx1"/>
                  </w14:solidFill>
                </w14:textFill>
              </w:rPr>
              <w:t>在本项目</w:t>
            </w:r>
            <w:r>
              <w:rPr>
                <w:rFonts w:hint="eastAsia" w:cs="Times New Roman"/>
                <w:color w:val="000000" w:themeColor="text1"/>
                <w:highlight w:val="none"/>
                <w:lang w:val="en-US" w:eastAsia="zh-CN"/>
                <w14:textFill>
                  <w14:solidFill>
                    <w14:schemeClr w14:val="tx1"/>
                  </w14:solidFill>
                </w14:textFill>
              </w:rPr>
              <w:t>南</w:t>
            </w:r>
            <w:r>
              <w:rPr>
                <w:rFonts w:hint="default" w:ascii="Times New Roman" w:hAnsi="Times New Roman" w:cs="Times New Roman"/>
                <w:color w:val="000000" w:themeColor="text1"/>
                <w:highlight w:val="none"/>
                <w14:textFill>
                  <w14:solidFill>
                    <w14:schemeClr w14:val="tx1"/>
                  </w14:solidFill>
                </w14:textFill>
              </w:rPr>
              <w:t>侧</w:t>
            </w:r>
            <w:r>
              <w:rPr>
                <w:rFonts w:hint="eastAsia" w:cs="Times New Roman"/>
                <w:color w:val="000000" w:themeColor="text1"/>
                <w:highlight w:val="none"/>
                <w:lang w:val="en-US" w:eastAsia="zh-CN"/>
                <w14:textFill>
                  <w14:solidFill>
                    <w14:schemeClr w14:val="tx1"/>
                  </w14:solidFill>
                </w14:textFill>
              </w:rPr>
              <w:t>3745</w:t>
            </w:r>
            <w:r>
              <w:rPr>
                <w:rFonts w:hint="default" w:ascii="Times New Roman" w:hAnsi="Times New Roman" w:cs="Times New Roman"/>
                <w:color w:val="000000" w:themeColor="text1"/>
                <w:highlight w:val="none"/>
                <w14:textFill>
                  <w14:solidFill>
                    <w14:schemeClr w14:val="tx1"/>
                  </w14:solidFill>
                </w14:textFill>
              </w:rPr>
              <w:t>m处G1</w:t>
            </w:r>
            <w:r>
              <w:rPr>
                <w:rFonts w:hint="eastAsia" w:cs="Times New Roman"/>
                <w:color w:val="000000" w:themeColor="text1"/>
                <w:highlight w:val="none"/>
                <w:lang w:val="en-US"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村地进行采样监测的监测数据，连续监测7天。</w:t>
            </w:r>
            <w:r>
              <w:rPr>
                <w:rFonts w:hint="default" w:ascii="Times New Roman" w:hAnsi="Times New Roman" w:cs="Times New Roman"/>
                <w:bCs/>
                <w:color w:val="000000" w:themeColor="text1"/>
                <w:szCs w:val="22"/>
                <w:highlight w:val="none"/>
                <w14:textFill>
                  <w14:solidFill>
                    <w14:schemeClr w14:val="tx1"/>
                  </w14:solidFill>
                </w14:textFill>
              </w:rPr>
              <w:t>本项目其他污染物补充监测点位基本信息见表3-2，其他污染物环境质量现状（监测结果）表3-3。</w:t>
            </w:r>
          </w:p>
          <w:p w14:paraId="1AEE2273">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bookmarkStart w:id="48" w:name="_Toc17582"/>
            <w:bookmarkStart w:id="49" w:name="_Toc8763"/>
            <w:bookmarkStart w:id="50" w:name="_Toc6616"/>
            <w:bookmarkStart w:id="51" w:name="_Toc20439"/>
            <w:bookmarkStart w:id="52" w:name="_Toc8230"/>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其他污染物补充监测点位基本信息</w:t>
            </w:r>
            <w:bookmarkEnd w:id="48"/>
            <w:bookmarkEnd w:id="49"/>
            <w:bookmarkEnd w:id="50"/>
            <w:bookmarkEnd w:id="51"/>
            <w:bookmarkEnd w:id="52"/>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7"/>
              <w:gridCol w:w="1357"/>
              <w:gridCol w:w="1095"/>
              <w:gridCol w:w="1065"/>
              <w:gridCol w:w="1169"/>
              <w:gridCol w:w="977"/>
              <w:gridCol w:w="1049"/>
            </w:tblGrid>
            <w:tr w14:paraId="2A32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4" w:type="pct"/>
                  <w:vMerge w:val="restart"/>
                  <w:shd w:val="clear" w:color="auto" w:fill="auto"/>
                  <w:vAlign w:val="center"/>
                </w:tcPr>
                <w:p w14:paraId="3B9814D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监测点名称</w:t>
                  </w:r>
                </w:p>
              </w:tc>
              <w:tc>
                <w:tcPr>
                  <w:tcW w:w="1561" w:type="pct"/>
                  <w:gridSpan w:val="2"/>
                  <w:shd w:val="clear" w:color="auto" w:fill="auto"/>
                  <w:vAlign w:val="center"/>
                </w:tcPr>
                <w:p w14:paraId="58A3DCBE">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监测点坐标/m</w:t>
                  </w:r>
                </w:p>
              </w:tc>
              <w:tc>
                <w:tcPr>
                  <w:tcW w:w="678" w:type="pct"/>
                  <w:vMerge w:val="restart"/>
                  <w:shd w:val="clear" w:color="auto" w:fill="auto"/>
                  <w:vAlign w:val="center"/>
                </w:tcPr>
                <w:p w14:paraId="64967312">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监测因子</w:t>
                  </w:r>
                </w:p>
              </w:tc>
              <w:tc>
                <w:tcPr>
                  <w:tcW w:w="744" w:type="pct"/>
                  <w:vMerge w:val="restart"/>
                  <w:shd w:val="clear" w:color="auto" w:fill="auto"/>
                  <w:vAlign w:val="center"/>
                </w:tcPr>
                <w:p w14:paraId="7680FB6D">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监测时段</w:t>
                  </w:r>
                </w:p>
              </w:tc>
              <w:tc>
                <w:tcPr>
                  <w:tcW w:w="622" w:type="pct"/>
                  <w:vMerge w:val="restart"/>
                  <w:shd w:val="clear" w:color="auto" w:fill="auto"/>
                  <w:vAlign w:val="center"/>
                </w:tcPr>
                <w:p w14:paraId="14C0E418">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相对厂址方位</w:t>
                  </w:r>
                </w:p>
              </w:tc>
              <w:tc>
                <w:tcPr>
                  <w:tcW w:w="668" w:type="pct"/>
                  <w:vMerge w:val="restart"/>
                  <w:shd w:val="clear" w:color="auto" w:fill="auto"/>
                  <w:vAlign w:val="center"/>
                </w:tcPr>
                <w:p w14:paraId="4C1C9F3D">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相对厂界距离/m</w:t>
                  </w:r>
                </w:p>
              </w:tc>
            </w:tr>
            <w:tr w14:paraId="5CAF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4" w:type="pct"/>
                  <w:vMerge w:val="continue"/>
                  <w:shd w:val="clear" w:color="auto" w:fill="auto"/>
                  <w:vAlign w:val="center"/>
                </w:tcPr>
                <w:p w14:paraId="74304E44">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864" w:type="pct"/>
                  <w:shd w:val="clear" w:color="auto" w:fill="auto"/>
                  <w:vAlign w:val="center"/>
                </w:tcPr>
                <w:p w14:paraId="6C5E4783">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cs="Times New Roman"/>
                      <w:b/>
                      <w:bCs/>
                      <w:color w:val="000000" w:themeColor="text1"/>
                      <w:sz w:val="21"/>
                      <w:szCs w:val="21"/>
                      <w:highlight w:val="none"/>
                      <w:lang w:val="en-US" w:eastAsia="zh-CN"/>
                      <w14:textFill>
                        <w14:solidFill>
                          <w14:schemeClr w14:val="tx1"/>
                        </w14:solidFill>
                      </w14:textFill>
                    </w:rPr>
                    <w:t>经度</w:t>
                  </w:r>
                </w:p>
              </w:tc>
              <w:tc>
                <w:tcPr>
                  <w:tcW w:w="697" w:type="pct"/>
                  <w:shd w:val="clear" w:color="auto" w:fill="auto"/>
                  <w:vAlign w:val="center"/>
                </w:tcPr>
                <w:p w14:paraId="0A3B5A2C">
                  <w:pPr>
                    <w:pStyle w:val="2"/>
                    <w:pageBreakBefore w:val="0"/>
                    <w:widowControl w:val="0"/>
                    <w:kinsoku/>
                    <w:overflowPunct/>
                    <w:topLinePunct w:val="0"/>
                    <w:bidi w:val="0"/>
                    <w:snapToGrid w:val="0"/>
                    <w:spacing w:line="240" w:lineRule="auto"/>
                    <w:jc w:val="center"/>
                    <w:textAlignment w:val="auto"/>
                    <w:outlineLvl w:val="9"/>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cs="Times New Roman"/>
                      <w:b/>
                      <w:bCs/>
                      <w:color w:val="000000" w:themeColor="text1"/>
                      <w:sz w:val="21"/>
                      <w:szCs w:val="21"/>
                      <w:highlight w:val="none"/>
                      <w:lang w:val="en-US" w:eastAsia="zh-CN"/>
                      <w14:textFill>
                        <w14:solidFill>
                          <w14:schemeClr w14:val="tx1"/>
                        </w14:solidFill>
                      </w14:textFill>
                    </w:rPr>
                    <w:t>纬度</w:t>
                  </w:r>
                </w:p>
              </w:tc>
              <w:tc>
                <w:tcPr>
                  <w:tcW w:w="678" w:type="pct"/>
                  <w:vMerge w:val="continue"/>
                  <w:shd w:val="clear" w:color="auto" w:fill="auto"/>
                  <w:vAlign w:val="center"/>
                </w:tcPr>
                <w:p w14:paraId="3C263458">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vMerge w:val="continue"/>
                  <w:shd w:val="clear" w:color="auto" w:fill="auto"/>
                  <w:vAlign w:val="center"/>
                </w:tcPr>
                <w:p w14:paraId="56315F92">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622" w:type="pct"/>
                  <w:vMerge w:val="continue"/>
                  <w:shd w:val="clear" w:color="auto" w:fill="auto"/>
                  <w:vAlign w:val="center"/>
                </w:tcPr>
                <w:p w14:paraId="1C065BFA">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668" w:type="pct"/>
                  <w:vMerge w:val="continue"/>
                  <w:shd w:val="clear" w:color="auto" w:fill="auto"/>
                  <w:vAlign w:val="center"/>
                </w:tcPr>
                <w:p w14:paraId="54E30F54">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r>
            <w:tr w14:paraId="4229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4" w:type="pct"/>
                  <w:shd w:val="clear" w:color="auto" w:fill="auto"/>
                  <w:vAlign w:val="center"/>
                </w:tcPr>
                <w:p w14:paraId="642D16C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asci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864" w:type="pct"/>
                  <w:shd w:val="clear" w:color="auto" w:fill="auto"/>
                  <w:vAlign w:val="center"/>
                </w:tcPr>
                <w:p w14:paraId="1DEEA7DB">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113°24′21.197″</w:t>
                  </w:r>
                </w:p>
              </w:tc>
              <w:tc>
                <w:tcPr>
                  <w:tcW w:w="697" w:type="pct"/>
                  <w:shd w:val="clear" w:color="auto" w:fill="auto"/>
                  <w:vAlign w:val="center"/>
                </w:tcPr>
                <w:p w14:paraId="37F03B4E">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25°6′48.133″</w:t>
                  </w:r>
                </w:p>
              </w:tc>
              <w:tc>
                <w:tcPr>
                  <w:tcW w:w="678" w:type="pct"/>
                  <w:shd w:val="clear" w:color="auto" w:fill="auto"/>
                  <w:vAlign w:val="center"/>
                </w:tcPr>
                <w:p w14:paraId="23A0C50E">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非甲烷总烃、臭气浓度</w:t>
                  </w:r>
                </w:p>
              </w:tc>
              <w:tc>
                <w:tcPr>
                  <w:tcW w:w="744" w:type="pct"/>
                  <w:shd w:val="clear" w:color="auto" w:fill="auto"/>
                  <w:vAlign w:val="center"/>
                </w:tcPr>
                <w:p w14:paraId="6430F5DA">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w:t>
                  </w:r>
                  <w:r>
                    <w:rPr>
                      <w:rFonts w:hint="eastAsia" w:ascii="Times New Roman" w:cs="Times New Roman"/>
                      <w:bCs/>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bCs/>
                      <w:color w:val="000000" w:themeColor="text1"/>
                      <w:sz w:val="21"/>
                      <w:szCs w:val="21"/>
                      <w:highlight w:val="none"/>
                      <w14:textFill>
                        <w14:solidFill>
                          <w14:schemeClr w14:val="tx1"/>
                        </w14:solidFill>
                      </w14:textFill>
                    </w:rPr>
                    <w:t>日</w:t>
                  </w:r>
                  <w:r>
                    <w:rPr>
                      <w:rFonts w:hint="eastAsia" w:ascii="Times New Roman" w:cs="Times New Roman"/>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年12月2</w:t>
                  </w:r>
                  <w:r>
                    <w:rPr>
                      <w:rFonts w:hint="eastAsia" w:ascii="Times New Roman" w:cs="Times New Roman"/>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Cs/>
                      <w:color w:val="000000" w:themeColor="text1"/>
                      <w:sz w:val="21"/>
                      <w:szCs w:val="21"/>
                      <w:highlight w:val="none"/>
                      <w14:textFill>
                        <w14:solidFill>
                          <w14:schemeClr w14:val="tx1"/>
                        </w14:solidFill>
                      </w14:textFill>
                    </w:rPr>
                    <w:t>日</w:t>
                  </w:r>
                </w:p>
              </w:tc>
              <w:tc>
                <w:tcPr>
                  <w:tcW w:w="622" w:type="pct"/>
                  <w:shd w:val="clear" w:color="auto" w:fill="auto"/>
                  <w:vAlign w:val="center"/>
                </w:tcPr>
                <w:p w14:paraId="67716DAD">
                  <w:pPr>
                    <w:pStyle w:val="2"/>
                    <w:pageBreakBefore w:val="0"/>
                    <w:widowControl w:val="0"/>
                    <w:kinsoku/>
                    <w:overflowPunct/>
                    <w:topLinePunct w:val="0"/>
                    <w:bidi w:val="0"/>
                    <w:snapToGrid w:val="0"/>
                    <w:spacing w:line="240" w:lineRule="auto"/>
                    <w:jc w:val="center"/>
                    <w:textAlignment w:val="auto"/>
                    <w:outlineLvl w:val="9"/>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南</w:t>
                  </w:r>
                </w:p>
              </w:tc>
              <w:tc>
                <w:tcPr>
                  <w:tcW w:w="668" w:type="pct"/>
                  <w:shd w:val="clear" w:color="auto" w:fill="auto"/>
                  <w:vAlign w:val="center"/>
                </w:tcPr>
                <w:p w14:paraId="66055435">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3745</w:t>
                  </w:r>
                </w:p>
              </w:tc>
            </w:tr>
          </w:tbl>
          <w:p w14:paraId="7D9F3491">
            <w:pPr>
              <w:pageBreakBefore w:val="0"/>
              <w:widowControl w:val="0"/>
              <w:kinsoku/>
              <w:overflowPunct/>
              <w:topLinePunct w:val="0"/>
              <w:bidi w:val="0"/>
              <w:jc w:val="left"/>
              <w:textAlignment w:val="auto"/>
              <w:outlineLvl w:val="9"/>
              <w:rPr>
                <w:rFonts w:hint="default" w:ascii="Times New Roman" w:hAnsi="Times New Roman" w:eastAsia="宋体" w:cs="Times New Roman"/>
                <w:b/>
                <w:color w:val="000000" w:themeColor="text1"/>
                <w:kern w:val="2"/>
                <w:sz w:val="21"/>
                <w:szCs w:val="21"/>
                <w:highlight w:val="none"/>
                <w:lang w:val="en-GB" w:eastAsia="zh-CN" w:bidi="ar-SA"/>
                <w14:textFill>
                  <w14:solidFill>
                    <w14:schemeClr w14:val="tx1"/>
                  </w14:solidFill>
                </w14:textFill>
              </w:rPr>
            </w:pPr>
            <w:bookmarkStart w:id="53" w:name="_Toc21557"/>
            <w:bookmarkStart w:id="54" w:name="_Toc21186"/>
            <w:bookmarkStart w:id="55" w:name="_Toc698"/>
            <w:bookmarkStart w:id="56" w:name="_Toc14154"/>
            <w:bookmarkStart w:id="57" w:name="_Toc4447"/>
            <w:r>
              <w:rPr>
                <w:rFonts w:hint="default" w:ascii="Times New Roman" w:hAnsi="Times New Roman" w:cs="Times New Roman"/>
                <w:b/>
                <w:bCs/>
                <w:color w:val="000000" w:themeColor="text1"/>
                <w:sz w:val="21"/>
                <w:szCs w:val="21"/>
                <w:highlight w:val="none"/>
                <w:lang w:val="en-GB"/>
                <w14:textFill>
                  <w14:solidFill>
                    <w14:schemeClr w14:val="tx1"/>
                  </w14:solidFill>
                </w14:textFill>
              </w:rPr>
              <w:t>注：设本</w:t>
            </w:r>
            <w:r>
              <w:rPr>
                <w:rFonts w:hint="default" w:ascii="Times New Roman" w:hAnsi="Times New Roman" w:cs="Times New Roman"/>
                <w:b/>
                <w:bCs/>
                <w:color w:val="000000" w:themeColor="text1"/>
                <w:sz w:val="21"/>
                <w:szCs w:val="21"/>
                <w:highlight w:val="none"/>
                <w14:textFill>
                  <w14:solidFill>
                    <w14:schemeClr w14:val="tx1"/>
                  </w14:solidFill>
                </w14:textFill>
              </w:rPr>
              <w:t>项目中心坐标（X，Y）为（0，0）</w:t>
            </w:r>
            <w:bookmarkEnd w:id="53"/>
            <w:bookmarkEnd w:id="54"/>
            <w:bookmarkEnd w:id="55"/>
            <w:bookmarkEnd w:id="56"/>
            <w:bookmarkEnd w:id="57"/>
          </w:p>
          <w:p w14:paraId="68D6D552">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lang w:val="en-GB"/>
                <w14:textFill>
                  <w14:solidFill>
                    <w14:schemeClr w14:val="tx1"/>
                  </w14:solidFill>
                </w14:textFill>
              </w:rPr>
            </w:pPr>
            <w:bookmarkStart w:id="58" w:name="_Toc24683"/>
            <w:bookmarkStart w:id="59" w:name="_Toc13955"/>
            <w:bookmarkStart w:id="60" w:name="_Toc8233"/>
            <w:bookmarkStart w:id="61" w:name="_Toc24731"/>
            <w:bookmarkStart w:id="62" w:name="_Toc14846"/>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GB"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GB"/>
                <w14:textFill>
                  <w14:solidFill>
                    <w14:schemeClr w14:val="tx1"/>
                  </w14:solidFill>
                </w14:textFill>
              </w:rPr>
              <w:t>其他污染物环境质量现状（监测结果）表</w:t>
            </w:r>
            <w:bookmarkEnd w:id="58"/>
            <w:bookmarkEnd w:id="59"/>
            <w:bookmarkEnd w:id="60"/>
            <w:bookmarkEnd w:id="61"/>
            <w:bookmarkEnd w:id="62"/>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3"/>
              <w:gridCol w:w="862"/>
              <w:gridCol w:w="889"/>
              <w:gridCol w:w="1107"/>
              <w:gridCol w:w="1316"/>
              <w:gridCol w:w="1081"/>
              <w:gridCol w:w="699"/>
              <w:gridCol w:w="742"/>
            </w:tblGrid>
            <w:tr w14:paraId="03CA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restart"/>
                  <w:shd w:val="clear" w:color="auto" w:fill="auto"/>
                  <w:vAlign w:val="center"/>
                </w:tcPr>
                <w:p w14:paraId="5B388893">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监测点位</w:t>
                  </w:r>
                </w:p>
              </w:tc>
              <w:tc>
                <w:tcPr>
                  <w:tcW w:w="549" w:type="pct"/>
                  <w:vMerge w:val="restart"/>
                  <w:shd w:val="clear" w:color="auto" w:fill="auto"/>
                  <w:vAlign w:val="center"/>
                </w:tcPr>
                <w:p w14:paraId="2595EA8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w:t>
                  </w:r>
                </w:p>
              </w:tc>
              <w:tc>
                <w:tcPr>
                  <w:tcW w:w="566" w:type="pct"/>
                  <w:vMerge w:val="restart"/>
                  <w:shd w:val="clear" w:color="auto" w:fill="auto"/>
                  <w:vAlign w:val="center"/>
                </w:tcPr>
                <w:p w14:paraId="46C0E3F3">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平均</w:t>
                  </w:r>
                </w:p>
                <w:p w14:paraId="3F362C6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时间</w:t>
                  </w:r>
                </w:p>
              </w:tc>
              <w:tc>
                <w:tcPr>
                  <w:tcW w:w="705" w:type="pct"/>
                  <w:vMerge w:val="restart"/>
                  <w:shd w:val="clear" w:color="auto" w:fill="auto"/>
                  <w:vAlign w:val="center"/>
                </w:tcPr>
                <w:p w14:paraId="6E99F24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评价标准/</w:t>
                  </w:r>
                  <w:r>
                    <w:rPr>
                      <w:rFonts w:hint="default" w:ascii="Times New Roman" w:hAnsi="Times New Roman" w:cs="Times New Roman"/>
                      <w:b/>
                      <w:color w:val="000000" w:themeColor="text1"/>
                      <w:kern w:val="0"/>
                      <w:sz w:val="21"/>
                      <w:szCs w:val="21"/>
                      <w:highlight w:val="none"/>
                      <w14:textFill>
                        <w14:solidFill>
                          <w14:schemeClr w14:val="tx1"/>
                        </w14:solidFill>
                      </w14:textFill>
                    </w:rPr>
                    <w:t>（μg/m</w:t>
                  </w:r>
                  <w:r>
                    <w:rPr>
                      <w:rFonts w:hint="default" w:ascii="Times New Roman" w:hAnsi="Times New Roman" w:cs="Times New Roman"/>
                      <w:b/>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kern w:val="0"/>
                      <w:sz w:val="21"/>
                      <w:szCs w:val="21"/>
                      <w:highlight w:val="none"/>
                      <w14:textFill>
                        <w14:solidFill>
                          <w14:schemeClr w14:val="tx1"/>
                        </w14:solidFill>
                      </w14:textFill>
                    </w:rPr>
                    <w:t>）</w:t>
                  </w:r>
                </w:p>
              </w:tc>
              <w:tc>
                <w:tcPr>
                  <w:tcW w:w="838" w:type="pct"/>
                  <w:vMerge w:val="restart"/>
                  <w:shd w:val="clear" w:color="auto" w:fill="auto"/>
                  <w:vAlign w:val="center"/>
                </w:tcPr>
                <w:p w14:paraId="495A8CC4">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监测浓度范围/（</w:t>
                  </w:r>
                  <w:r>
                    <w:rPr>
                      <w:rFonts w:hint="default" w:ascii="Times New Roman" w:hAnsi="Times New Roman" w:cs="Times New Roman"/>
                      <w:b/>
                      <w:color w:val="000000" w:themeColor="text1"/>
                      <w:kern w:val="0"/>
                      <w:sz w:val="21"/>
                      <w:szCs w:val="21"/>
                      <w:highlight w:val="none"/>
                      <w14:textFill>
                        <w14:solidFill>
                          <w14:schemeClr w14:val="tx1"/>
                        </w14:solidFill>
                      </w14:textFill>
                    </w:rPr>
                    <w:t>mg/m</w:t>
                  </w:r>
                  <w:r>
                    <w:rPr>
                      <w:rFonts w:hint="default" w:ascii="Times New Roman" w:hAnsi="Times New Roman" w:cs="Times New Roman"/>
                      <w:b/>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w:t>
                  </w:r>
                </w:p>
              </w:tc>
              <w:tc>
                <w:tcPr>
                  <w:tcW w:w="688" w:type="pct"/>
                  <w:vMerge w:val="restart"/>
                  <w:shd w:val="clear" w:color="auto" w:fill="auto"/>
                  <w:vAlign w:val="center"/>
                </w:tcPr>
                <w:p w14:paraId="1B717B45">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最大浓度占标率/%</w:t>
                  </w:r>
                </w:p>
              </w:tc>
              <w:tc>
                <w:tcPr>
                  <w:tcW w:w="445" w:type="pct"/>
                  <w:vMerge w:val="restart"/>
                  <w:shd w:val="clear" w:color="auto" w:fill="auto"/>
                  <w:vAlign w:val="center"/>
                </w:tcPr>
                <w:p w14:paraId="5F29D72E">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超标频率/%</w:t>
                  </w:r>
                </w:p>
              </w:tc>
              <w:tc>
                <w:tcPr>
                  <w:tcW w:w="472" w:type="pct"/>
                  <w:vMerge w:val="restart"/>
                  <w:shd w:val="clear" w:color="auto" w:fill="auto"/>
                  <w:vAlign w:val="center"/>
                </w:tcPr>
                <w:p w14:paraId="443F1BAF">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达标情况</w:t>
                  </w:r>
                </w:p>
              </w:tc>
            </w:tr>
            <w:tr w14:paraId="5B0E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continue"/>
                  <w:shd w:val="clear" w:color="auto" w:fill="auto"/>
                  <w:vAlign w:val="center"/>
                </w:tcPr>
                <w:p w14:paraId="560A5328">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549" w:type="pct"/>
                  <w:vMerge w:val="continue"/>
                  <w:shd w:val="clear" w:color="auto" w:fill="auto"/>
                  <w:vAlign w:val="center"/>
                </w:tcPr>
                <w:p w14:paraId="3EF4FE6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566" w:type="pct"/>
                  <w:vMerge w:val="continue"/>
                  <w:shd w:val="clear" w:color="auto" w:fill="auto"/>
                  <w:vAlign w:val="center"/>
                </w:tcPr>
                <w:p w14:paraId="43E10191">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705" w:type="pct"/>
                  <w:vMerge w:val="continue"/>
                  <w:shd w:val="clear" w:color="auto" w:fill="auto"/>
                  <w:vAlign w:val="center"/>
                </w:tcPr>
                <w:p w14:paraId="13DAAAB7">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8" w:type="pct"/>
                  <w:vMerge w:val="continue"/>
                  <w:shd w:val="clear" w:color="auto" w:fill="auto"/>
                  <w:vAlign w:val="center"/>
                </w:tcPr>
                <w:p w14:paraId="704CEAF2">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688" w:type="pct"/>
                  <w:vMerge w:val="continue"/>
                  <w:shd w:val="clear" w:color="auto" w:fill="auto"/>
                  <w:vAlign w:val="center"/>
                </w:tcPr>
                <w:p w14:paraId="1721167F">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445" w:type="pct"/>
                  <w:vMerge w:val="continue"/>
                  <w:shd w:val="clear" w:color="auto" w:fill="auto"/>
                  <w:vAlign w:val="center"/>
                </w:tcPr>
                <w:p w14:paraId="2CD03CB2">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c>
                <w:tcPr>
                  <w:tcW w:w="472" w:type="pct"/>
                  <w:vMerge w:val="continue"/>
                  <w:shd w:val="clear" w:color="auto" w:fill="auto"/>
                  <w:vAlign w:val="center"/>
                </w:tcPr>
                <w:p w14:paraId="62A78445">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p>
              </w:tc>
            </w:tr>
            <w:tr w14:paraId="3BB5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restart"/>
                  <w:shd w:val="clear" w:color="auto" w:fill="auto"/>
                  <w:vAlign w:val="center"/>
                </w:tcPr>
                <w:p w14:paraId="763FD418">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549" w:type="pct"/>
                  <w:shd w:val="clear" w:color="auto" w:fill="auto"/>
                  <w:vAlign w:val="center"/>
                </w:tcPr>
                <w:p w14:paraId="66927850">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非甲烷总烃</w:t>
                  </w:r>
                </w:p>
              </w:tc>
              <w:tc>
                <w:tcPr>
                  <w:tcW w:w="566" w:type="pct"/>
                  <w:shd w:val="clear" w:color="auto" w:fill="auto"/>
                  <w:vAlign w:val="center"/>
                </w:tcPr>
                <w:p w14:paraId="7AD49400">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05" w:type="pct"/>
                  <w:shd w:val="clear" w:color="auto" w:fill="auto"/>
                  <w:vAlign w:val="center"/>
                </w:tcPr>
                <w:p w14:paraId="78D8E025">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2.0mg/</w:t>
                  </w:r>
                  <w:r>
                    <w:rPr>
                      <w:rFonts w:hint="default" w:ascii="Times New Roman" w:hAnsi="Times New Roman" w:cs="Times New Roman"/>
                      <w:b w:val="0"/>
                      <w:bCs/>
                      <w:color w:val="000000" w:themeColor="text1"/>
                      <w:kern w:val="0"/>
                      <w:sz w:val="21"/>
                      <w:szCs w:val="21"/>
                      <w:highlight w:val="none"/>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14:textFill>
                        <w14:solidFill>
                          <w14:schemeClr w14:val="tx1"/>
                        </w14:solidFill>
                      </w14:textFill>
                    </w:rPr>
                    <w:t>3</w:t>
                  </w:r>
                </w:p>
              </w:tc>
              <w:tc>
                <w:tcPr>
                  <w:tcW w:w="838" w:type="pct"/>
                  <w:shd w:val="clear" w:color="auto" w:fill="auto"/>
                  <w:vAlign w:val="center"/>
                </w:tcPr>
                <w:p w14:paraId="2000579D">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0.812~0.972</w:t>
                  </w:r>
                </w:p>
              </w:tc>
              <w:tc>
                <w:tcPr>
                  <w:tcW w:w="688" w:type="pct"/>
                  <w:shd w:val="clear" w:color="auto" w:fill="auto"/>
                  <w:vAlign w:val="center"/>
                </w:tcPr>
                <w:p w14:paraId="6CB6585E">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48.6</w:t>
                  </w:r>
                </w:p>
              </w:tc>
              <w:tc>
                <w:tcPr>
                  <w:tcW w:w="445" w:type="pct"/>
                  <w:shd w:val="clear" w:color="auto" w:fill="auto"/>
                  <w:vAlign w:val="center"/>
                </w:tcPr>
                <w:p w14:paraId="5C86967B">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72" w:type="pct"/>
                  <w:shd w:val="clear" w:color="auto" w:fill="auto"/>
                  <w:vAlign w:val="center"/>
                </w:tcPr>
                <w:p w14:paraId="0F17C698">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达标</w:t>
                  </w:r>
                </w:p>
              </w:tc>
            </w:tr>
            <w:tr w14:paraId="3399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4" w:type="pct"/>
                  <w:vMerge w:val="continue"/>
                  <w:shd w:val="clear" w:color="auto" w:fill="auto"/>
                  <w:vAlign w:val="center"/>
                </w:tcPr>
                <w:p w14:paraId="3AD354E6">
                  <w:pPr>
                    <w:pStyle w:val="26"/>
                    <w:pageBreakBefore w:val="0"/>
                    <w:widowControl w:val="0"/>
                    <w:kinsoku/>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tc>
              <w:tc>
                <w:tcPr>
                  <w:tcW w:w="549" w:type="pct"/>
                  <w:shd w:val="clear" w:color="auto" w:fill="auto"/>
                  <w:vAlign w:val="center"/>
                </w:tcPr>
                <w:p w14:paraId="29954D52">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臭气浓度</w:t>
                  </w:r>
                </w:p>
              </w:tc>
              <w:tc>
                <w:tcPr>
                  <w:tcW w:w="566" w:type="pct"/>
                  <w:shd w:val="clear" w:color="auto" w:fill="auto"/>
                  <w:vAlign w:val="center"/>
                </w:tcPr>
                <w:p w14:paraId="1931BC8D">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05" w:type="pct"/>
                  <w:shd w:val="clear" w:color="auto" w:fill="auto"/>
                  <w:vAlign w:val="center"/>
                </w:tcPr>
                <w:p w14:paraId="5D9ACF53">
                  <w:pPr>
                    <w:pStyle w:val="56"/>
                    <w:pageBreakBefore w:val="0"/>
                    <w:widowControl w:val="0"/>
                    <w:kinsoku/>
                    <w:overflowPunct/>
                    <w:topLinePunct w:val="0"/>
                    <w:bidi w:val="0"/>
                    <w:spacing w:before="46" w:after="46" w:line="240" w:lineRule="auto"/>
                    <w:textAlignment w:val="auto"/>
                    <w:outlineLvl w:val="9"/>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w:t>
                  </w:r>
                </w:p>
              </w:tc>
              <w:tc>
                <w:tcPr>
                  <w:tcW w:w="838" w:type="pct"/>
                  <w:shd w:val="clear" w:color="auto" w:fill="auto"/>
                  <w:vAlign w:val="center"/>
                </w:tcPr>
                <w:p w14:paraId="7AD01454">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＜10</w:t>
                  </w:r>
                </w:p>
              </w:tc>
              <w:tc>
                <w:tcPr>
                  <w:tcW w:w="688" w:type="pct"/>
                  <w:shd w:val="clear" w:color="auto" w:fill="auto"/>
                  <w:vAlign w:val="center"/>
                </w:tcPr>
                <w:p w14:paraId="206DBE31">
                  <w:pPr>
                    <w:pStyle w:val="26"/>
                    <w:pageBreakBefore w:val="0"/>
                    <w:widowControl w:val="0"/>
                    <w:kinsoku/>
                    <w:overflowPunct/>
                    <w:topLinePunct w:val="0"/>
                    <w:bidi w:val="0"/>
                    <w:spacing w:line="240" w:lineRule="auto"/>
                    <w:ind w:firstLine="0" w:firstLineChars="0"/>
                    <w:jc w:val="center"/>
                    <w:textAlignment w:val="auto"/>
                    <w:outlineLvl w:val="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445" w:type="pct"/>
                  <w:shd w:val="clear" w:color="auto" w:fill="auto"/>
                  <w:vAlign w:val="center"/>
                </w:tcPr>
                <w:p w14:paraId="35A62143">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72" w:type="pct"/>
                  <w:shd w:val="clear" w:color="auto" w:fill="auto"/>
                  <w:vAlign w:val="center"/>
                </w:tcPr>
                <w:p w14:paraId="577B3F98">
                  <w:pPr>
                    <w:pageBreakBefore w:val="0"/>
                    <w:widowControl w:val="0"/>
                    <w:kinsoku/>
                    <w:overflowPunct/>
                    <w:topLinePunct w:val="0"/>
                    <w:bidi w:val="0"/>
                    <w:spacing w:line="240" w:lineRule="auto"/>
                    <w:jc w:val="center"/>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1A00C1BC">
            <w:pPr>
              <w:pageBreakBefore w:val="0"/>
              <w:widowControl w:val="0"/>
              <w:kinsoku/>
              <w:overflowPunct/>
              <w:topLinePunct w:val="0"/>
              <w:bidi w:val="0"/>
              <w:ind w:firstLine="480" w:firstLineChars="200"/>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szCs w:val="22"/>
                <w:highlight w:val="none"/>
                <w14:textFill>
                  <w14:solidFill>
                    <w14:schemeClr w14:val="tx1"/>
                  </w14:solidFill>
                </w14:textFill>
              </w:rPr>
              <w:t>监测结果表明，项目周围区域空气中，非甲烷总烃</w:t>
            </w:r>
            <w:r>
              <w:rPr>
                <w:rFonts w:hint="eastAsia" w:cs="Times New Roman"/>
                <w:bCs/>
                <w:color w:val="000000" w:themeColor="text1"/>
                <w:szCs w:val="22"/>
                <w:highlight w:val="none"/>
                <w:lang w:val="en-US" w:eastAsia="zh-CN"/>
                <w14:textFill>
                  <w14:solidFill>
                    <w14:schemeClr w14:val="tx1"/>
                  </w14:solidFill>
                </w14:textFill>
              </w:rPr>
              <w:t>可达到《大气污染物综合排放标准详解》（1997）要求</w:t>
            </w:r>
            <w:r>
              <w:rPr>
                <w:rFonts w:hint="default" w:ascii="Times New Roman" w:hAnsi="Times New Roman" w:cs="Times New Roman"/>
                <w:bCs/>
                <w:color w:val="000000" w:themeColor="text1"/>
                <w:szCs w:val="22"/>
                <w:highlight w:val="none"/>
                <w14:textFill>
                  <w14:solidFill>
                    <w14:schemeClr w14:val="tx1"/>
                  </w14:solidFill>
                </w14:textFill>
              </w:rPr>
              <w:t>。</w:t>
            </w:r>
          </w:p>
          <w:p w14:paraId="003BF0B0">
            <w:pPr>
              <w:pageBreakBefore w:val="0"/>
              <w:widowControl w:val="0"/>
              <w:numPr>
                <w:ilvl w:val="2"/>
                <w:numId w:val="0"/>
              </w:numPr>
              <w:tabs>
                <w:tab w:val="left" w:pos="420"/>
              </w:tabs>
              <w:kinsoku/>
              <w:overflowPunct/>
              <w:topLinePunct w:val="0"/>
              <w:bidi w:val="0"/>
              <w:ind w:left="-2" w:firstLine="482"/>
              <w:textAlignment w:val="auto"/>
              <w:outlineLvl w:val="9"/>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二、水环境质量现状</w:t>
            </w:r>
          </w:p>
          <w:p w14:paraId="4EEB2B84">
            <w:pPr>
              <w:autoSpaceDE w:val="0"/>
              <w:autoSpaceDN w:val="0"/>
              <w:adjustRightInd w:val="0"/>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根据《广东省地表水环境功能区划》（粤环</w:t>
            </w:r>
            <w:r>
              <w:rPr>
                <w:color w:val="000000" w:themeColor="text1"/>
                <w:kern w:val="0"/>
                <w:highlight w:val="none"/>
                <w14:textFill>
                  <w14:solidFill>
                    <w14:schemeClr w14:val="tx1"/>
                  </w14:solidFill>
                </w14:textFill>
              </w:rPr>
              <w:t>〔201</w:t>
            </w:r>
            <w:r>
              <w:rPr>
                <w:rFonts w:hint="eastAsia"/>
                <w:color w:val="000000" w:themeColor="text1"/>
                <w:kern w:val="0"/>
                <w:highlight w:val="none"/>
                <w:lang w:val="en-US" w:eastAsia="zh-CN"/>
                <w14:textFill>
                  <w14:solidFill>
                    <w14:schemeClr w14:val="tx1"/>
                  </w14:solidFill>
                </w14:textFill>
              </w:rPr>
              <w:t>1</w:t>
            </w:r>
            <w:r>
              <w:rPr>
                <w:color w:val="000000" w:themeColor="text1"/>
                <w:kern w:val="0"/>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14号）</w:t>
            </w:r>
            <w:r>
              <w:rPr>
                <w:rFonts w:hint="eastAsia" w:cs="Times New Roman"/>
                <w:color w:val="000000" w:themeColor="text1"/>
                <w:highlight w:val="none"/>
                <w:lang w:eastAsia="zh-CN"/>
                <w14:textFill>
                  <w14:solidFill>
                    <w14:schemeClr w14:val="tx1"/>
                  </w14:solidFill>
                </w14:textFill>
              </w:rPr>
              <w:t>和《广东省水利厅关于印发&lt;韶关市部分饮用水水源保护区调整方案&gt;的通知》（粤环函</w:t>
            </w:r>
            <w:r>
              <w:rPr>
                <w:color w:val="000000" w:themeColor="text1"/>
                <w:kern w:val="0"/>
                <w:highlight w:val="none"/>
                <w14:textFill>
                  <w14:solidFill>
                    <w14:schemeClr w14:val="tx1"/>
                  </w14:solidFill>
                </w14:textFill>
              </w:rPr>
              <w:t>〔20</w:t>
            </w:r>
            <w:r>
              <w:rPr>
                <w:rFonts w:hint="eastAsia"/>
                <w:color w:val="000000" w:themeColor="text1"/>
                <w:kern w:val="0"/>
                <w:highlight w:val="none"/>
                <w:lang w:val="en-US" w:eastAsia="zh-CN"/>
                <w14:textFill>
                  <w14:solidFill>
                    <w14:schemeClr w14:val="tx1"/>
                  </w14:solidFill>
                </w14:textFill>
              </w:rPr>
              <w:t>24</w:t>
            </w:r>
            <w:r>
              <w:rPr>
                <w:color w:val="000000" w:themeColor="text1"/>
                <w:kern w:val="0"/>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146号）</w:t>
            </w:r>
            <w:r>
              <w:rPr>
                <w:rFonts w:hint="default" w:ascii="Times New Roman" w:hAnsi="Times New Roman" w:cs="Times New Roman"/>
                <w:color w:val="000000" w:themeColor="text1"/>
                <w:highlight w:val="none"/>
                <w14:textFill>
                  <w14:solidFill>
                    <w14:schemeClr w14:val="tx1"/>
                  </w14:solidFill>
                </w14:textFill>
              </w:rPr>
              <w:t>，本项目所在区域主要地表水及纳污水体为武江（乐昌城-犁市</w:t>
            </w:r>
            <w:r>
              <w:rPr>
                <w:rFonts w:hint="eastAsia" w:cs="Times New Roman"/>
                <w:color w:val="000000" w:themeColor="text1"/>
                <w:highlight w:val="none"/>
                <w:lang w:val="en-US" w:eastAsia="zh-CN"/>
                <w14:textFill>
                  <w14:solidFill>
                    <w14:schemeClr w14:val="tx1"/>
                  </w14:solidFill>
                </w14:textFill>
              </w:rPr>
              <w:t>河段</w:t>
            </w:r>
            <w:r>
              <w:rPr>
                <w:rFonts w:hint="default" w:ascii="Times New Roman" w:hAnsi="Times New Roman" w:cs="Times New Roman"/>
                <w:color w:val="000000" w:themeColor="text1"/>
                <w:highlight w:val="none"/>
                <w14:textFill>
                  <w14:solidFill>
                    <w14:schemeClr w14:val="tx1"/>
                  </w14:solidFill>
                </w14:textFill>
              </w:rPr>
              <w:t>），为III类水质功能区，执行《地表水环境质量标准》（GB3838-2002）中的III类标准。</w:t>
            </w:r>
          </w:p>
          <w:p w14:paraId="721E2B06">
            <w:pPr>
              <w:autoSpaceDE w:val="0"/>
              <w:autoSpaceDN w:val="0"/>
              <w:adjustRightInd w:val="0"/>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根据《韶关市生态环境状况公报》</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，2024年，韶关市11条主要江河(北江、武江、浈江、南水河、墨江、锦江、马坝河、滃江、新丰江、横石水和大潭河)34个市考以上手工监测断面水质优良率为100%，与2023年持平</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其中</w:t>
            </w:r>
            <w:r>
              <w:rPr>
                <w:rFonts w:hint="default" w:ascii="Times New Roman" w:hAnsi="Times New Roman" w:cs="Times New Roman"/>
                <w:color w:val="000000" w:themeColor="text1"/>
                <w:highlight w:val="none"/>
                <w14:textFill>
                  <w14:solidFill>
                    <w14:schemeClr w14:val="tx1"/>
                  </w14:solidFill>
                </w14:textFill>
              </w:rPr>
              <w:t>I</w:t>
            </w:r>
            <w:r>
              <w:rPr>
                <w:rFonts w:hint="eastAsia"/>
                <w:color w:val="000000" w:themeColor="text1"/>
                <w:highlight w:val="none"/>
                <w14:textFill>
                  <w14:solidFill>
                    <w14:schemeClr w14:val="tx1"/>
                  </w14:solidFill>
                </w14:textFill>
              </w:rPr>
              <w:t>类比例为2.9%、</w:t>
            </w:r>
            <w:r>
              <w:rPr>
                <w:rFonts w:hint="eastAsia"/>
                <w:color w:val="000000" w:themeColor="text1"/>
                <w:highlight w:val="none"/>
                <w:lang w:eastAsia="zh-CN"/>
                <w14:textFill>
                  <w14:solidFill>
                    <w14:schemeClr w14:val="tx1"/>
                  </w14:solidFill>
                </w14:textFill>
              </w:rPr>
              <w:t>II类</w:t>
            </w:r>
            <w:r>
              <w:rPr>
                <w:rFonts w:hint="eastAsia"/>
                <w:color w:val="000000" w:themeColor="text1"/>
                <w:highlight w:val="none"/>
                <w14:textFill>
                  <w14:solidFill>
                    <w14:schemeClr w14:val="tx1"/>
                  </w14:solidFill>
                </w14:textFill>
              </w:rPr>
              <w:t>比例为88.2%、</w:t>
            </w:r>
            <w:r>
              <w:rPr>
                <w:rFonts w:hint="default" w:ascii="Times New Roman" w:hAnsi="Times New Roman" w:cs="Times New Roman"/>
                <w:color w:val="000000" w:themeColor="text1"/>
                <w:highlight w:val="none"/>
                <w14:textFill>
                  <w14:solidFill>
                    <w14:schemeClr w14:val="tx1"/>
                  </w14:solidFill>
                </w14:textFill>
              </w:rPr>
              <w:t>III</w:t>
            </w:r>
            <w:r>
              <w:rPr>
                <w:rFonts w:hint="eastAsia"/>
                <w:color w:val="000000" w:themeColor="text1"/>
                <w:highlight w:val="none"/>
                <w14:textFill>
                  <w14:solidFill>
                    <w14:schemeClr w14:val="tx1"/>
                  </w14:solidFill>
                </w14:textFill>
              </w:rPr>
              <w:t>类比例为8.8%。</w:t>
            </w:r>
            <w:r>
              <w:rPr>
                <w:rFonts w:hint="default" w:ascii="Times New Roman" w:hAnsi="Times New Roman" w:cs="Times New Roman"/>
                <w:color w:val="000000" w:themeColor="text1"/>
                <w:highlight w:val="none"/>
                <w14:textFill>
                  <w14:solidFill>
                    <w14:schemeClr w14:val="tx1"/>
                  </w14:solidFill>
                </w14:textFill>
              </w:rPr>
              <w:t>故项目所在地地表水环境质量现状良好。</w:t>
            </w:r>
          </w:p>
          <w:p w14:paraId="7DC76DB2">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三、声环境质量现状</w:t>
            </w:r>
          </w:p>
          <w:p w14:paraId="48519989">
            <w:pPr>
              <w:ind w:firstLine="480" w:firstLineChars="200"/>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项目所在地为工业园区内，</w:t>
            </w:r>
            <w:r>
              <w:rPr>
                <w:rFonts w:hint="eastAsia" w:cs="Times New Roman"/>
                <w:color w:val="000000" w:themeColor="text1"/>
                <w:kern w:val="0"/>
                <w:highlight w:val="none"/>
                <w:lang w:val="en-US" w:eastAsia="zh-CN"/>
                <w14:textFill>
                  <w14:solidFill>
                    <w14:schemeClr w14:val="tx1"/>
                  </w14:solidFill>
                </w14:textFill>
              </w:rPr>
              <w:t>项目厂界</w:t>
            </w:r>
            <w:r>
              <w:rPr>
                <w:rFonts w:hint="default" w:ascii="Times New Roman" w:hAnsi="Times New Roman" w:cs="Times New Roman"/>
                <w:color w:val="000000" w:themeColor="text1"/>
                <w:kern w:val="0"/>
                <w:highlight w:val="none"/>
                <w14:textFill>
                  <w14:solidFill>
                    <w14:schemeClr w14:val="tx1"/>
                  </w14:solidFill>
                </w14:textFill>
              </w:rPr>
              <w:t>执行《声环境质量标准》（GB3096—2008）3类标准（昼间65dB(A)；夜间55dB(A)）。</w:t>
            </w:r>
          </w:p>
          <w:p w14:paraId="00A57984">
            <w:pPr>
              <w:ind w:firstLine="480" w:firstLineChars="200"/>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根据《建设项目环境影响报告表编制技术指南（污染影响类）（试行）》，</w:t>
            </w:r>
            <w:r>
              <w:rPr>
                <w:rFonts w:hint="default" w:ascii="Times New Roman" w:hAnsi="Times New Roman" w:cs="Times New Roman"/>
                <w:color w:val="000000" w:themeColor="text1"/>
                <w:kern w:val="0"/>
                <w:highlight w:val="none"/>
                <w14:textFill>
                  <w14:solidFill>
                    <w14:schemeClr w14:val="tx1"/>
                  </w14:solidFill>
                </w14:textFill>
              </w:rPr>
              <w:t>本项目周边50米范围内无敏感点，故无需进行声环境质量现状监测与评价。</w:t>
            </w:r>
          </w:p>
          <w:p w14:paraId="6247C7E4">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四、地下水、土壤环境质量现状</w:t>
            </w:r>
          </w:p>
          <w:p w14:paraId="23FE0E9B">
            <w:pPr>
              <w:autoSpaceDE w:val="0"/>
              <w:autoSpaceDN w:val="0"/>
              <w:adjustRightInd w:val="0"/>
              <w:ind w:firstLine="480" w:firstLineChars="200"/>
              <w:jc w:val="left"/>
              <w:rPr>
                <w:rFonts w:hint="default" w:ascii="Times New Roman" w:hAnsi="Times New Roman" w:cs="Times New Roman"/>
                <w:bCs/>
                <w:color w:val="000000" w:themeColor="text1"/>
                <w:kern w:val="28"/>
                <w:sz w:val="24"/>
                <w:highlight w:val="none"/>
                <w:lang w:eastAsia="zh-CN"/>
                <w14:textFill>
                  <w14:solidFill>
                    <w14:schemeClr w14:val="tx1"/>
                  </w14:solidFill>
                </w14:textFill>
              </w:rPr>
            </w:pPr>
            <w:r>
              <w:rPr>
                <w:rFonts w:hint="default" w:ascii="Times New Roman" w:hAnsi="Times New Roman" w:cs="Times New Roman"/>
                <w:bCs/>
                <w:color w:val="000000" w:themeColor="text1"/>
                <w:kern w:val="28"/>
                <w:sz w:val="24"/>
                <w:highlight w:val="none"/>
                <w14:textFill>
                  <w14:solidFill>
                    <w14:schemeClr w14:val="tx1"/>
                  </w14:solidFill>
                </w14:textFill>
              </w:rPr>
              <w:t>本项目</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生产车间</w:t>
            </w:r>
            <w:r>
              <w:rPr>
                <w:rFonts w:hint="default" w:ascii="Times New Roman" w:hAnsi="Times New Roman" w:cs="Times New Roman"/>
                <w:bCs/>
                <w:color w:val="000000" w:themeColor="text1"/>
                <w:kern w:val="28"/>
                <w:sz w:val="24"/>
                <w:highlight w:val="none"/>
                <w14:textFill>
                  <w14:solidFill>
                    <w14:schemeClr w14:val="tx1"/>
                  </w14:solidFill>
                </w14:textFill>
              </w:rPr>
              <w:t>厂区内均已进行地面硬化，</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各厂房</w:t>
            </w:r>
            <w:r>
              <w:rPr>
                <w:rFonts w:hint="default" w:ascii="Times New Roman" w:hAnsi="Times New Roman" w:cs="Times New Roman"/>
                <w:bCs/>
                <w:color w:val="000000" w:themeColor="text1"/>
                <w:kern w:val="28"/>
                <w:sz w:val="24"/>
                <w:highlight w:val="none"/>
                <w14:textFill>
                  <w14:solidFill>
                    <w14:schemeClr w14:val="tx1"/>
                  </w14:solidFill>
                </w14:textFill>
              </w:rPr>
              <w:t>作基础防渗，防渗层为至少</w:t>
            </w:r>
            <w:r>
              <w:rPr>
                <w:rFonts w:hint="eastAsia" w:cs="Times New Roman"/>
                <w:bCs/>
                <w:color w:val="000000" w:themeColor="text1"/>
                <w:kern w:val="28"/>
                <w:sz w:val="24"/>
                <w:highlight w:val="none"/>
                <w:lang w:val="en-US" w:eastAsia="zh-CN"/>
                <w14:textFill>
                  <w14:solidFill>
                    <w14:schemeClr w14:val="tx1"/>
                  </w14:solidFill>
                </w14:textFill>
              </w:rPr>
              <w:t>1</w:t>
            </w:r>
            <w:r>
              <w:rPr>
                <w:rFonts w:hint="default" w:ascii="Times New Roman" w:hAnsi="Times New Roman" w:cs="Times New Roman"/>
                <w:bCs/>
                <w:color w:val="000000" w:themeColor="text1"/>
                <w:kern w:val="28"/>
                <w:sz w:val="24"/>
                <w:highlight w:val="none"/>
                <w14:textFill>
                  <w14:solidFill>
                    <w14:schemeClr w14:val="tx1"/>
                  </w14:solidFill>
                </w14:textFill>
              </w:rPr>
              <w:t>m厚粘土层（渗透系数≤10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-7</w:t>
            </w:r>
            <w:r>
              <w:rPr>
                <w:rFonts w:hint="default" w:ascii="Times New Roman" w:hAnsi="Times New Roman" w:cs="Times New Roman"/>
                <w:bCs/>
                <w:color w:val="000000" w:themeColor="text1"/>
                <w:kern w:val="28"/>
                <w:sz w:val="24"/>
                <w:highlight w:val="none"/>
                <w14:textFill>
                  <w14:solidFill>
                    <w14:schemeClr w14:val="tx1"/>
                  </w14:solidFill>
                </w14:textFill>
              </w:rPr>
              <w:t>cm/s），或2mm厚高密度聚乙烯，或至少2mm厚的其他人工材料，渗透系数≤10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-10</w:t>
            </w:r>
            <w:r>
              <w:rPr>
                <w:rFonts w:hint="default" w:ascii="Times New Roman" w:hAnsi="Times New Roman" w:cs="Times New Roman"/>
                <w:bCs/>
                <w:color w:val="000000" w:themeColor="text1"/>
                <w:kern w:val="28"/>
                <w:sz w:val="24"/>
                <w:highlight w:val="none"/>
                <w14:textFill>
                  <w14:solidFill>
                    <w14:schemeClr w14:val="tx1"/>
                  </w14:solidFill>
                </w14:textFill>
              </w:rPr>
              <w:t>cm/s；本项目液态</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原辅料</w:t>
            </w:r>
            <w:r>
              <w:rPr>
                <w:rFonts w:hint="default" w:ascii="Times New Roman" w:hAnsi="Times New Roman" w:cs="Times New Roman"/>
                <w:bCs/>
                <w:color w:val="000000" w:themeColor="text1"/>
                <w:kern w:val="28"/>
                <w:sz w:val="24"/>
                <w:highlight w:val="none"/>
                <w14:textFill>
                  <w14:solidFill>
                    <w14:schemeClr w14:val="tx1"/>
                  </w14:solidFill>
                </w14:textFill>
              </w:rPr>
              <w:t>均储存在厂房设置的</w:t>
            </w:r>
            <w:r>
              <w:rPr>
                <w:rFonts w:hint="eastAsia" w:cs="Times New Roman"/>
                <w:bCs/>
                <w:color w:val="000000" w:themeColor="text1"/>
                <w:kern w:val="28"/>
                <w:sz w:val="24"/>
                <w:highlight w:val="none"/>
                <w:lang w:eastAsia="zh-CN"/>
                <w14:textFill>
                  <w14:solidFill>
                    <w14:schemeClr w14:val="tx1"/>
                  </w14:solidFill>
                </w14:textFill>
              </w:rPr>
              <w:t>物料仓库</w:t>
            </w:r>
            <w:r>
              <w:rPr>
                <w:rFonts w:hint="default" w:ascii="Times New Roman" w:hAnsi="Times New Roman" w:cs="Times New Roman"/>
                <w:bCs/>
                <w:color w:val="000000" w:themeColor="text1"/>
                <w:kern w:val="28"/>
                <w:sz w:val="24"/>
                <w:highlight w:val="none"/>
                <w14:textFill>
                  <w14:solidFill>
                    <w14:schemeClr w14:val="tx1"/>
                  </w14:solidFill>
                </w14:textFill>
              </w:rPr>
              <w:t>内，且出入口处设置围堰围挡，物料随用随取，不使用时密闭封存，厂界四周设置围墙围挡，仅保留厂区出入口</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w:t>
            </w:r>
          </w:p>
          <w:p w14:paraId="30E9BB89">
            <w:pPr>
              <w:autoSpaceDE w:val="0"/>
              <w:autoSpaceDN w:val="0"/>
              <w:adjustRightInd w:val="0"/>
              <w:ind w:firstLine="480" w:firstLineChars="200"/>
              <w:jc w:val="left"/>
              <w:rPr>
                <w:rFonts w:hint="default" w:ascii="Times New Roman" w:hAnsi="Times New Roman" w:cs="Times New Roman"/>
                <w:bCs/>
                <w:color w:val="000000" w:themeColor="text1"/>
                <w:kern w:val="28"/>
                <w:sz w:val="24"/>
                <w:highlight w:val="none"/>
                <w:lang w:eastAsia="zh-CN"/>
                <w14:textFill>
                  <w14:solidFill>
                    <w14:schemeClr w14:val="tx1"/>
                  </w14:solidFill>
                </w14:textFill>
              </w:rPr>
            </w:pP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本项目周边水体为东南侧</w:t>
            </w:r>
            <w:r>
              <w:rPr>
                <w:rFonts w:hint="eastAsia" w:cs="Times New Roman"/>
                <w:bCs/>
                <w:color w:val="000000" w:themeColor="text1"/>
                <w:kern w:val="28"/>
                <w:sz w:val="24"/>
                <w:highlight w:val="none"/>
                <w:lang w:val="en-US" w:eastAsia="zh-CN"/>
                <w14:textFill>
                  <w14:solidFill>
                    <w14:schemeClr w14:val="tx1"/>
                  </w14:solidFill>
                </w14:textFill>
              </w:rPr>
              <w:t>3309</w:t>
            </w:r>
            <w:r>
              <w:rPr>
                <w:rFonts w:hint="default" w:ascii="Times New Roman" w:hAnsi="Times New Roman" w:cs="Times New Roman"/>
                <w:bCs/>
                <w:color w:val="000000" w:themeColor="text1"/>
                <w:kern w:val="28"/>
                <w:sz w:val="24"/>
                <w:highlight w:val="none"/>
                <w14:textFill>
                  <w14:solidFill>
                    <w14:schemeClr w14:val="tx1"/>
                  </w14:solidFill>
                </w14:textFill>
              </w:rPr>
              <w:t>m</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处的廊田河</w:t>
            </w:r>
            <w:r>
              <w:rPr>
                <w:rFonts w:hint="default" w:ascii="Times New Roman" w:hAnsi="Times New Roman" w:cs="Times New Roman"/>
                <w:bCs/>
                <w:color w:val="000000" w:themeColor="text1"/>
                <w:kern w:val="28"/>
                <w:sz w:val="24"/>
                <w:highlight w:val="none"/>
                <w14:textFill>
                  <w14:solidFill>
                    <w14:schemeClr w14:val="tx1"/>
                  </w14:solidFill>
                </w14:textFill>
              </w:rPr>
              <w:t>，</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在园区道路阻隔，重力引流情况下，本项目厂区内</w:t>
            </w:r>
            <w:r>
              <w:rPr>
                <w:rFonts w:hint="default" w:ascii="Times New Roman" w:hAnsi="Times New Roman" w:cs="Times New Roman"/>
                <w:bCs/>
                <w:color w:val="000000" w:themeColor="text1"/>
                <w:kern w:val="28"/>
                <w:sz w:val="24"/>
                <w:highlight w:val="none"/>
                <w14:textFill>
                  <w14:solidFill>
                    <w14:schemeClr w14:val="tx1"/>
                  </w14:solidFill>
                </w14:textFill>
              </w:rPr>
              <w:t>地表径流</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无法</w:t>
            </w:r>
            <w:r>
              <w:rPr>
                <w:rFonts w:hint="default" w:ascii="Times New Roman" w:hAnsi="Times New Roman" w:cs="Times New Roman"/>
                <w:bCs/>
                <w:color w:val="000000" w:themeColor="text1"/>
                <w:kern w:val="28"/>
                <w:sz w:val="24"/>
                <w:highlight w:val="none"/>
                <w14:textFill>
                  <w14:solidFill>
                    <w14:schemeClr w14:val="tx1"/>
                  </w14:solidFill>
                </w14:textFill>
              </w:rPr>
              <w:t>直接进入</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廊田河</w:t>
            </w:r>
            <w:r>
              <w:rPr>
                <w:rFonts w:hint="default" w:ascii="Times New Roman" w:hAnsi="Times New Roman" w:cs="Times New Roman"/>
                <w:bCs/>
                <w:color w:val="000000" w:themeColor="text1"/>
                <w:kern w:val="28"/>
                <w:sz w:val="24"/>
                <w:highlight w:val="none"/>
                <w14:textFill>
                  <w14:solidFill>
                    <w14:schemeClr w14:val="tx1"/>
                  </w14:solidFill>
                </w14:textFill>
              </w:rPr>
              <w:t>水体中。因此</w:t>
            </w:r>
            <w:r>
              <w:rPr>
                <w:rFonts w:hint="eastAsia" w:cs="Times New Roman"/>
                <w:bCs/>
                <w:color w:val="000000" w:themeColor="text1"/>
                <w:kern w:val="28"/>
                <w:sz w:val="24"/>
                <w:highlight w:val="none"/>
                <w:lang w:val="en-US" w:eastAsia="zh-CN"/>
                <w14:textFill>
                  <w14:solidFill>
                    <w14:schemeClr w14:val="tx1"/>
                  </w14:solidFill>
                </w14:textFill>
              </w:rPr>
              <w:t>无明显</w:t>
            </w:r>
            <w:r>
              <w:rPr>
                <w:rFonts w:hint="default" w:ascii="Times New Roman" w:hAnsi="Times New Roman" w:cs="Times New Roman"/>
                <w:bCs/>
                <w:color w:val="000000" w:themeColor="text1"/>
                <w:kern w:val="28"/>
                <w:sz w:val="24"/>
                <w:highlight w:val="none"/>
                <w14:textFill>
                  <w14:solidFill>
                    <w14:schemeClr w14:val="tx1"/>
                  </w14:solidFill>
                </w14:textFill>
              </w:rPr>
              <w:t>地</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下</w:t>
            </w:r>
            <w:r>
              <w:rPr>
                <w:rFonts w:hint="default" w:ascii="Times New Roman" w:hAnsi="Times New Roman" w:cs="Times New Roman"/>
                <w:bCs/>
                <w:color w:val="000000" w:themeColor="text1"/>
                <w:kern w:val="28"/>
                <w:sz w:val="24"/>
                <w:highlight w:val="none"/>
                <w14:textFill>
                  <w14:solidFill>
                    <w14:schemeClr w14:val="tx1"/>
                  </w14:solidFill>
                </w14:textFill>
              </w:rPr>
              <w:t>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土壤</w:t>
            </w:r>
            <w:r>
              <w:rPr>
                <w:rFonts w:hint="default" w:ascii="Times New Roman" w:hAnsi="Times New Roman" w:cs="Times New Roman"/>
                <w:bCs/>
                <w:color w:val="000000" w:themeColor="text1"/>
                <w:kern w:val="28"/>
                <w:sz w:val="24"/>
                <w:highlight w:val="none"/>
                <w14:textFill>
                  <w14:solidFill>
                    <w14:schemeClr w14:val="tx1"/>
                  </w14:solidFill>
                </w14:textFill>
              </w:rPr>
              <w:t>环境污染途径。其他区域均进行水泥地面硬底化。项目生产经营范围内具有一定的防腐防渗作用，可有效阻断污染物入渗土壤的途径，正常工况下不会对地下水、土壤环境造成显著不良影响，且占地范围内不具备监测条件。因此不存在地下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、土壤</w:t>
            </w:r>
            <w:r>
              <w:rPr>
                <w:rFonts w:hint="default" w:ascii="Times New Roman" w:hAnsi="Times New Roman" w:cs="Times New Roman"/>
                <w:bCs/>
                <w:color w:val="000000" w:themeColor="text1"/>
                <w:kern w:val="28"/>
                <w:sz w:val="24"/>
                <w:highlight w:val="none"/>
                <w14:textFill>
                  <w14:solidFill>
                    <w14:schemeClr w14:val="tx1"/>
                  </w14:solidFill>
                </w14:textFill>
              </w:rPr>
              <w:t>环境污</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染。</w:t>
            </w:r>
          </w:p>
          <w:p w14:paraId="27D068DE">
            <w:pPr>
              <w:pStyle w:val="10"/>
              <w:numPr>
                <w:ilvl w:val="2"/>
                <w:numId w:val="0"/>
              </w:numPr>
              <w:ind w:left="-2"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五、生态环境质量现状</w:t>
            </w:r>
          </w:p>
          <w:p w14:paraId="44EDD17C">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szCs w:val="32"/>
                <w:highlight w:val="none"/>
                <w14:textFill>
                  <w14:solidFill>
                    <w14:schemeClr w14:val="tx1"/>
                  </w14:solidFill>
                </w14:textFill>
              </w:rPr>
              <w:t>本项目位于乐昌市乐昌产业转移工业园内，根据现场勘踏和调查，项目用地范围内不含生态环境保护目标，不需进行生态环境调查。</w:t>
            </w:r>
          </w:p>
        </w:tc>
      </w:tr>
      <w:tr w14:paraId="1060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Align w:val="center"/>
          </w:tcPr>
          <w:p w14:paraId="581EEE2B">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63" w:name="_Toc24022"/>
            <w:bookmarkStart w:id="64" w:name="_Toc241"/>
            <w:bookmarkStart w:id="65" w:name="_Toc31357"/>
            <w:bookmarkStart w:id="66" w:name="_Toc28375"/>
            <w:bookmarkStart w:id="67" w:name="_Toc728"/>
            <w:bookmarkStart w:id="68" w:name="_Toc28210"/>
            <w:bookmarkStart w:id="69" w:name="_Toc461"/>
            <w:bookmarkStart w:id="70" w:name="_Toc14552"/>
            <w:bookmarkStart w:id="71" w:name="_Toc7031"/>
            <w:bookmarkStart w:id="72" w:name="_Toc28582"/>
            <w:r>
              <w:rPr>
                <w:rFonts w:hint="default" w:ascii="Times New Roman" w:hAnsi="Times New Roman" w:cs="Times New Roman"/>
                <w:color w:val="000000" w:themeColor="text1"/>
                <w:highlight w:val="none"/>
                <w14:textFill>
                  <w14:solidFill>
                    <w14:schemeClr w14:val="tx1"/>
                  </w14:solidFill>
                </w14:textFill>
              </w:rPr>
              <w:t>环境保护目标</w:t>
            </w:r>
            <w:bookmarkEnd w:id="63"/>
            <w:bookmarkEnd w:id="64"/>
            <w:bookmarkEnd w:id="65"/>
            <w:bookmarkEnd w:id="66"/>
            <w:bookmarkEnd w:id="67"/>
            <w:bookmarkEnd w:id="68"/>
            <w:bookmarkEnd w:id="69"/>
            <w:bookmarkEnd w:id="70"/>
            <w:bookmarkEnd w:id="71"/>
            <w:bookmarkEnd w:id="72"/>
          </w:p>
        </w:tc>
        <w:tc>
          <w:tcPr>
            <w:tcW w:w="4737" w:type="pct"/>
          </w:tcPr>
          <w:p w14:paraId="1F3737B6">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一、环境空气保护目标</w:t>
            </w:r>
          </w:p>
          <w:p w14:paraId="4854C709">
            <w:pPr>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根据现场调查</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kern w:val="0"/>
                <w:szCs w:val="21"/>
                <w:highlight w:val="none"/>
                <w14:textFill>
                  <w14:solidFill>
                    <w14:schemeClr w14:val="tx1"/>
                  </w14:solidFill>
                </w14:textFill>
              </w:rPr>
              <w:t>本项目厂界外500米范围内不存在自然保护区、风景名胜区、文化区</w:t>
            </w:r>
            <w:r>
              <w:rPr>
                <w:rFonts w:hint="default" w:ascii="Times New Roman" w:hAnsi="Times New Roman"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主要环境敏感目标分布</w:t>
            </w:r>
            <w:r>
              <w:rPr>
                <w:rFonts w:hint="default" w:ascii="Times New Roman" w:hAnsi="Times New Roman" w:eastAsia="宋体" w:cs="Times New Roman"/>
                <w:color w:val="000000" w:themeColor="text1"/>
                <w:highlight w:val="none"/>
                <w:lang w:val="en-US" w:eastAsia="zh-CN"/>
                <w14:textFill>
                  <w14:solidFill>
                    <w14:schemeClr w14:val="tx1"/>
                  </w14:solidFill>
                </w14:textFill>
              </w:rPr>
              <w:t>如下</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p w14:paraId="4712F152">
            <w:pPr>
              <w:pStyle w:val="99"/>
              <w:keepNext w:val="0"/>
              <w:keepLines w:val="0"/>
              <w:pageBreakBefore w:val="0"/>
              <w:widowControl w:val="0"/>
              <w:kinsoku/>
              <w:overflowPunct/>
              <w:topLinePunct w:val="0"/>
              <w:autoSpaceDE/>
              <w:autoSpaceDN/>
              <w:bidi w:val="0"/>
              <w:adjustRightInd w:val="0"/>
              <w:snapToGrid/>
              <w:spacing w:beforeLines="0" w:beforeAutospacing="0" w:afterAutospacing="0" w:line="36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3-4 </w:t>
            </w:r>
            <w:r>
              <w:rPr>
                <w:rFonts w:hint="default" w:ascii="Times New Roman" w:hAnsi="Times New Roman" w:eastAsia="宋体" w:cs="Times New Roman"/>
                <w:b/>
                <w:color w:val="000000" w:themeColor="text1"/>
                <w:sz w:val="21"/>
                <w:szCs w:val="21"/>
                <w:highlight w:val="none"/>
                <w14:textFill>
                  <w14:solidFill>
                    <w14:schemeClr w14:val="tx1"/>
                  </w14:solidFill>
                </w14:textFill>
              </w:rPr>
              <w:t>项目厂址周边环境保护敏感目标一览表</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1"/>
              <w:gridCol w:w="840"/>
              <w:gridCol w:w="559"/>
              <w:gridCol w:w="642"/>
              <w:gridCol w:w="829"/>
              <w:gridCol w:w="1140"/>
              <w:gridCol w:w="755"/>
              <w:gridCol w:w="672"/>
              <w:gridCol w:w="1901"/>
            </w:tblGrid>
            <w:tr w14:paraId="42B6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Merge w:val="restart"/>
                  <w:vAlign w:val="center"/>
                </w:tcPr>
                <w:p w14:paraId="75091DB6">
                  <w:pPr>
                    <w:pStyle w:val="104"/>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序号</w:t>
                  </w:r>
                </w:p>
              </w:tc>
              <w:tc>
                <w:tcPr>
                  <w:tcW w:w="535" w:type="pct"/>
                  <w:vMerge w:val="restart"/>
                  <w:vAlign w:val="center"/>
                </w:tcPr>
                <w:p w14:paraId="39E39A5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敏感点名称</w:t>
                  </w:r>
                </w:p>
              </w:tc>
              <w:tc>
                <w:tcPr>
                  <w:tcW w:w="765" w:type="pct"/>
                  <w:gridSpan w:val="2"/>
                  <w:vAlign w:val="center"/>
                </w:tcPr>
                <w:p w14:paraId="06D29ACD">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b/>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坐标</w:t>
                  </w:r>
                </w:p>
              </w:tc>
              <w:tc>
                <w:tcPr>
                  <w:tcW w:w="528" w:type="pct"/>
                  <w:vMerge w:val="restart"/>
                  <w:vAlign w:val="center"/>
                </w:tcPr>
                <w:p w14:paraId="7D01626A">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b/>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14:textFill>
                        <w14:solidFill>
                          <w14:schemeClr w14:val="tx1"/>
                        </w14:solidFill>
                      </w14:textFill>
                    </w:rPr>
                    <w:t>相对厂址方位</w:t>
                  </w:r>
                </w:p>
              </w:tc>
              <w:tc>
                <w:tcPr>
                  <w:tcW w:w="726" w:type="pct"/>
                  <w:vMerge w:val="restart"/>
                  <w:vAlign w:val="center"/>
                </w:tcPr>
                <w:p w14:paraId="6F154D05">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最近距离</w:t>
                  </w:r>
                  <w:r>
                    <w:rPr>
                      <w:rFonts w:hint="default" w:ascii="Times New Roman" w:hAnsi="Times New Roman" w:eastAsia="宋体" w:cs="Times New Roman"/>
                      <w:b/>
                      <w:snapToGrid w:val="0"/>
                      <w:color w:val="000000" w:themeColor="text1"/>
                      <w:sz w:val="21"/>
                      <w:szCs w:val="21"/>
                      <w:highlight w:val="none"/>
                      <w14:textFill>
                        <w14:solidFill>
                          <w14:schemeClr w14:val="tx1"/>
                        </w14:solidFill>
                      </w14:textFill>
                    </w:rPr>
                    <w:t>（m）</w:t>
                  </w:r>
                </w:p>
              </w:tc>
              <w:tc>
                <w:tcPr>
                  <w:tcW w:w="481" w:type="pct"/>
                  <w:vMerge w:val="restart"/>
                  <w:vAlign w:val="center"/>
                </w:tcPr>
                <w:p w14:paraId="321CD6FE">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snapToGrid w:val="0"/>
                      <w:color w:val="000000" w:themeColor="text1"/>
                      <w:sz w:val="21"/>
                      <w:szCs w:val="21"/>
                      <w:highlight w:val="none"/>
                      <w14:textFill>
                        <w14:solidFill>
                          <w14:schemeClr w14:val="tx1"/>
                        </w14:solidFill>
                      </w14:textFill>
                    </w:rPr>
                    <w:t>规模/人口</w:t>
                  </w:r>
                </w:p>
              </w:tc>
              <w:tc>
                <w:tcPr>
                  <w:tcW w:w="428" w:type="pct"/>
                  <w:vMerge w:val="restart"/>
                  <w:vAlign w:val="center"/>
                </w:tcPr>
                <w:p w14:paraId="3C22A479">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保护对象</w:t>
                  </w:r>
                </w:p>
              </w:tc>
              <w:tc>
                <w:tcPr>
                  <w:tcW w:w="1207" w:type="pct"/>
                  <w:vMerge w:val="restart"/>
                  <w:vAlign w:val="center"/>
                </w:tcPr>
                <w:p w14:paraId="2D3E3BD3">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环境功能区</w:t>
                  </w:r>
                </w:p>
              </w:tc>
            </w:tr>
            <w:tr w14:paraId="7A80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Merge w:val="continue"/>
                  <w:vAlign w:val="center"/>
                </w:tcPr>
                <w:p w14:paraId="71B994A0">
                  <w:pPr>
                    <w:pStyle w:val="104"/>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5" w:type="pct"/>
                  <w:vMerge w:val="continue"/>
                  <w:vAlign w:val="center"/>
                </w:tcPr>
                <w:p w14:paraId="7F44FB29">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56" w:type="pct"/>
                  <w:vAlign w:val="center"/>
                </w:tcPr>
                <w:p w14:paraId="258FB3BF">
                  <w:pPr>
                    <w:pStyle w:val="106"/>
                    <w:keepNext w:val="0"/>
                    <w:keepLines w:val="0"/>
                    <w:pageBreakBefore w:val="0"/>
                    <w:widowControl w:val="0"/>
                    <w:kinsoku/>
                    <w:wordWrap/>
                    <w:overflowPunct/>
                    <w:bidi w:val="0"/>
                    <w:adjustRightInd w:val="0"/>
                    <w:snapToGrid/>
                    <w:spacing w:beforeAutospacing="0" w:afterAutospacing="0" w:line="24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X</w:t>
                  </w:r>
                </w:p>
              </w:tc>
              <w:tc>
                <w:tcPr>
                  <w:tcW w:w="409" w:type="pct"/>
                  <w:vAlign w:val="center"/>
                </w:tcPr>
                <w:p w14:paraId="1BDFE54B">
                  <w:pPr>
                    <w:pStyle w:val="106"/>
                    <w:keepNext w:val="0"/>
                    <w:keepLines w:val="0"/>
                    <w:pageBreakBefore w:val="0"/>
                    <w:widowControl w:val="0"/>
                    <w:kinsoku/>
                    <w:wordWrap/>
                    <w:overflowPunct/>
                    <w:bidi w:val="0"/>
                    <w:adjustRightInd w:val="0"/>
                    <w:snapToGrid/>
                    <w:spacing w:beforeAutospacing="0" w:afterAutospacing="0" w:line="240" w:lineRule="auto"/>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Y</w:t>
                  </w:r>
                </w:p>
              </w:tc>
              <w:tc>
                <w:tcPr>
                  <w:tcW w:w="528" w:type="pct"/>
                  <w:vMerge w:val="continue"/>
                  <w:vAlign w:val="center"/>
                </w:tcPr>
                <w:p w14:paraId="69F9D110">
                  <w:pPr>
                    <w:pStyle w:val="105"/>
                    <w:keepNext w:val="0"/>
                    <w:keepLines w:val="0"/>
                    <w:pageBreakBefore w:val="0"/>
                    <w:widowControl w:val="0"/>
                    <w:kinsoku/>
                    <w:wordWrap/>
                    <w:overflowPunct/>
                    <w:autoSpaceDE/>
                    <w:autoSpaceDN/>
                    <w:bidi w:val="0"/>
                    <w:snapToGrid/>
                    <w:spacing w:beforeAutospacing="0" w:afterAutospacing="0" w:line="240" w:lineRule="auto"/>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726" w:type="pct"/>
                  <w:vMerge w:val="continue"/>
                  <w:vAlign w:val="center"/>
                </w:tcPr>
                <w:p w14:paraId="572B044C">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81" w:type="pct"/>
                  <w:vMerge w:val="continue"/>
                  <w:vAlign w:val="center"/>
                </w:tcPr>
                <w:p w14:paraId="4A29E366">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28" w:type="pct"/>
                  <w:vMerge w:val="continue"/>
                  <w:vAlign w:val="center"/>
                </w:tcPr>
                <w:p w14:paraId="5BCE663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207" w:type="pct"/>
                  <w:vMerge w:val="continue"/>
                  <w:vAlign w:val="center"/>
                </w:tcPr>
                <w:p w14:paraId="310CC33B">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373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326" w:type="pct"/>
                  <w:vAlign w:val="center"/>
                </w:tcPr>
                <w:p w14:paraId="7595F18F">
                  <w:pPr>
                    <w:keepNext w:val="0"/>
                    <w:keepLines w:val="0"/>
                    <w:pageBreakBefore w:val="0"/>
                    <w:widowControl w:val="0"/>
                    <w:kinsoku/>
                    <w:wordWrap/>
                    <w:overflowPunct/>
                    <w:bidi w:val="0"/>
                    <w:adjustRightInd w:val="0"/>
                    <w:snapToGrid/>
                    <w:spacing w:beforeAutospacing="0" w:afterAutospacing="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535" w:type="pct"/>
                  <w:vAlign w:val="center"/>
                </w:tcPr>
                <w:p w14:paraId="5360F9C4">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乐园小学</w:t>
                  </w:r>
                </w:p>
              </w:tc>
              <w:tc>
                <w:tcPr>
                  <w:tcW w:w="356" w:type="pct"/>
                  <w:vAlign w:val="center"/>
                </w:tcPr>
                <w:p w14:paraId="792BF313">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409" w:type="pct"/>
                  <w:vAlign w:val="center"/>
                </w:tcPr>
                <w:p w14:paraId="77283BBB">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490</w:t>
                  </w:r>
                </w:p>
              </w:tc>
              <w:tc>
                <w:tcPr>
                  <w:tcW w:w="528" w:type="pct"/>
                  <w:vAlign w:val="center"/>
                </w:tcPr>
                <w:p w14:paraId="181917AF">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南</w:t>
                  </w:r>
                </w:p>
              </w:tc>
              <w:tc>
                <w:tcPr>
                  <w:tcW w:w="726" w:type="pct"/>
                  <w:vAlign w:val="center"/>
                </w:tcPr>
                <w:p w14:paraId="3BFB0CAB">
                  <w:pPr>
                    <w:keepNext w:val="0"/>
                    <w:keepLines w:val="0"/>
                    <w:pageBreakBefore w:val="0"/>
                    <w:widowControl w:val="0"/>
                    <w:kinsoku/>
                    <w:wordWrap/>
                    <w:overflowPunct/>
                    <w:bidi w:val="0"/>
                    <w:snapToGrid/>
                    <w:spacing w:beforeAutospacing="0" w:afterAutospacing="0"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490</w:t>
                  </w:r>
                </w:p>
              </w:tc>
              <w:tc>
                <w:tcPr>
                  <w:tcW w:w="481" w:type="pct"/>
                  <w:vAlign w:val="center"/>
                </w:tcPr>
                <w:p w14:paraId="7A99D907">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250</w:t>
                  </w:r>
                </w:p>
              </w:tc>
              <w:tc>
                <w:tcPr>
                  <w:tcW w:w="428" w:type="pct"/>
                  <w:vAlign w:val="center"/>
                </w:tcPr>
                <w:p w14:paraId="7DEA007B">
                  <w:pPr>
                    <w:pStyle w:val="108"/>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
                      <w:position w:val="0"/>
                      <w:sz w:val="21"/>
                      <w:szCs w:val="21"/>
                      <w:highlight w:val="none"/>
                      <w:lang w:val="en-US" w:eastAsia="zh-CN"/>
                      <w14:textFill>
                        <w14:solidFill>
                          <w14:schemeClr w14:val="tx1"/>
                        </w14:solidFill>
                      </w14:textFill>
                    </w:rPr>
                    <w:t>居民</w:t>
                  </w:r>
                </w:p>
              </w:tc>
              <w:tc>
                <w:tcPr>
                  <w:tcW w:w="1207" w:type="pct"/>
                  <w:vAlign w:val="center"/>
                </w:tcPr>
                <w:p w14:paraId="64C928C0">
                  <w:pPr>
                    <w:pStyle w:val="107"/>
                    <w:keepNext w:val="0"/>
                    <w:keepLines w:val="0"/>
                    <w:pageBreakBefore w:val="0"/>
                    <w:widowControl w:val="0"/>
                    <w:kinsoku/>
                    <w:wordWrap/>
                    <w:overflowPunct/>
                    <w:bidi w:val="0"/>
                    <w:snapToGrid/>
                    <w:spacing w:beforeAutospacing="0" w:afterAutospacing="0" w:line="240" w:lineRule="auto"/>
                    <w:textAlignment w:val="auto"/>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大气环境二类功能区、声环境</w:t>
                  </w:r>
                  <w:r>
                    <w:rPr>
                      <w:rFonts w:hint="eastAsia" w:eastAsia="宋体" w:cs="Times New Roman"/>
                      <w:snapToGrid w:val="0"/>
                      <w:color w:val="000000" w:themeColor="text1"/>
                      <w:spacing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类功能区</w:t>
                  </w:r>
                </w:p>
              </w:tc>
            </w:tr>
            <w:tr w14:paraId="10A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5000" w:type="pct"/>
                  <w:gridSpan w:val="9"/>
                  <w:vAlign w:val="center"/>
                </w:tcPr>
                <w:p w14:paraId="3E447DAE">
                  <w:pPr>
                    <w:pStyle w:val="107"/>
                    <w:keepNext w:val="0"/>
                    <w:keepLines w:val="0"/>
                    <w:pageBreakBefore w:val="0"/>
                    <w:widowControl w:val="0"/>
                    <w:kinsoku/>
                    <w:wordWrap/>
                    <w:overflowPunct/>
                    <w:bidi w:val="0"/>
                    <w:snapToGrid/>
                    <w:spacing w:beforeAutospacing="0" w:afterAutospacing="0" w:line="240" w:lineRule="auto"/>
                    <w:jc w:val="left"/>
                    <w:textAlignment w:val="auto"/>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2"/>
                      <w:sz w:val="21"/>
                      <w:szCs w:val="21"/>
                      <w:highlight w:val="none"/>
                      <w:lang w:val="en-US" w:eastAsia="zh-CN"/>
                      <w14:textFill>
                        <w14:solidFill>
                          <w14:schemeClr w14:val="tx1"/>
                        </w14:solidFill>
                      </w14:textFill>
                    </w:rPr>
                    <w:t>注：本项目以厂区几何中心作为坐标原点（0，0）</w:t>
                  </w:r>
                  <w:r>
                    <w:rPr>
                      <w:rFonts w:hint="eastAsia" w:cs="Times New Roman"/>
                      <w:snapToGrid w:val="0"/>
                      <w:color w:val="000000" w:themeColor="text1"/>
                      <w:spacing w:val="-2"/>
                      <w:sz w:val="21"/>
                      <w:szCs w:val="21"/>
                      <w:highlight w:val="none"/>
                      <w:lang w:val="en-US" w:eastAsia="zh-CN"/>
                      <w14:textFill>
                        <w14:solidFill>
                          <w14:schemeClr w14:val="tx1"/>
                        </w14:solidFill>
                      </w14:textFill>
                    </w:rPr>
                    <w:t>。</w:t>
                  </w:r>
                </w:p>
              </w:tc>
            </w:tr>
          </w:tbl>
          <w:p w14:paraId="5AD4DF81">
            <w:pPr>
              <w:pStyle w:val="2"/>
              <w:rPr>
                <w:rFonts w:hint="default"/>
                <w:color w:val="000000" w:themeColor="text1"/>
                <w:lang w:val="en-US" w:eastAsia="zh-CN"/>
                <w14:textFill>
                  <w14:solidFill>
                    <w14:schemeClr w14:val="tx1"/>
                  </w14:solidFill>
                </w14:textFill>
              </w:rPr>
            </w:pPr>
          </w:p>
          <w:p w14:paraId="0478742F">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二、声环境保护目标</w:t>
            </w:r>
          </w:p>
          <w:p w14:paraId="6199FA0F">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厂界外50米范围内无声环境保护目标。</w:t>
            </w:r>
          </w:p>
          <w:p w14:paraId="3568B790">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三、地下水环境保护目标</w:t>
            </w:r>
          </w:p>
          <w:p w14:paraId="6EB718A4">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32"/>
                <w:highlight w:val="none"/>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项目厂界外500米范围内无地下水集中式饮用水水源和热水、矿泉水、温泉等特殊地下水资源。</w:t>
            </w:r>
          </w:p>
          <w:p w14:paraId="52ACC5F5">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四、生态环境保护目标</w:t>
            </w:r>
          </w:p>
          <w:p w14:paraId="2220CDEB">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保护本项目建设地块的生态环境，防止水土流失，使其能实现生态环境的良性循环，</w:t>
            </w:r>
            <w:r>
              <w:rPr>
                <w:rFonts w:hint="default" w:ascii="Times New Roman" w:hAnsi="Times New Roman" w:cs="Times New Roman"/>
                <w:color w:val="000000" w:themeColor="text1"/>
                <w:szCs w:val="32"/>
                <w:highlight w:val="none"/>
                <w14:textFill>
                  <w14:solidFill>
                    <w14:schemeClr w14:val="tx1"/>
                  </w14:solidFill>
                </w14:textFill>
              </w:rPr>
              <w:t>不对现有的生态环境造成大面积的破坏。本项目所在区域</w:t>
            </w:r>
            <w:r>
              <w:rPr>
                <w:rFonts w:hint="default" w:ascii="Times New Roman" w:hAnsi="Times New Roman" w:cs="Times New Roman"/>
                <w:color w:val="000000" w:themeColor="text1"/>
                <w:highlight w:val="none"/>
                <w14:textFill>
                  <w14:solidFill>
                    <w14:schemeClr w14:val="tx1"/>
                  </w14:solidFill>
                </w14:textFill>
              </w:rPr>
              <w:t>无生态环境保护目标。</w:t>
            </w:r>
          </w:p>
        </w:tc>
      </w:tr>
      <w:tr w14:paraId="351A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62" w:type="pct"/>
            <w:vAlign w:val="center"/>
          </w:tcPr>
          <w:p w14:paraId="793F564A">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73" w:name="_Toc8874"/>
            <w:bookmarkStart w:id="74" w:name="_Toc4596"/>
            <w:bookmarkStart w:id="75" w:name="_Toc32736"/>
            <w:bookmarkStart w:id="76" w:name="_Toc29246"/>
            <w:bookmarkStart w:id="77" w:name="_Toc14344"/>
            <w:bookmarkStart w:id="78" w:name="_Toc10187"/>
            <w:bookmarkStart w:id="79" w:name="_Toc2437"/>
            <w:bookmarkStart w:id="80" w:name="_Toc24161"/>
            <w:bookmarkStart w:id="81" w:name="_Toc21959"/>
            <w:bookmarkStart w:id="82" w:name="_Toc27828"/>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污染物排放控制标准</w:t>
            </w:r>
            <w:bookmarkEnd w:id="73"/>
            <w:bookmarkEnd w:id="74"/>
            <w:bookmarkEnd w:id="75"/>
            <w:bookmarkEnd w:id="76"/>
            <w:bookmarkEnd w:id="77"/>
            <w:bookmarkEnd w:id="78"/>
            <w:bookmarkEnd w:id="79"/>
            <w:bookmarkEnd w:id="80"/>
            <w:bookmarkEnd w:id="81"/>
            <w:bookmarkEnd w:id="82"/>
          </w:p>
        </w:tc>
        <w:tc>
          <w:tcPr>
            <w:tcW w:w="4737" w:type="pct"/>
          </w:tcPr>
          <w:p w14:paraId="4E7AC4DB">
            <w:pPr>
              <w:keepNext/>
              <w:keepLines/>
              <w:widowControl w:val="0"/>
              <w:numPr>
                <w:ilvl w:val="2"/>
                <w:numId w:val="0"/>
              </w:numPr>
              <w:spacing w:line="360" w:lineRule="auto"/>
              <w:ind w:left="-2" w:leftChars="0" w:firstLine="482" w:firstLineChars="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一、废气排放标准</w:t>
            </w:r>
          </w:p>
          <w:p w14:paraId="74A34412">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cs="Times New Roman"/>
                <w:b/>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）运营期</w:t>
            </w:r>
          </w:p>
          <w:p w14:paraId="4C404061">
            <w:pPr>
              <w:keepNext w:val="0"/>
              <w:keepLines w:val="0"/>
              <w:suppressLineNumbers w:val="0"/>
              <w:tabs>
                <w:tab w:val="left" w:pos="2790"/>
              </w:tabs>
              <w:spacing w:before="0" w:beforeAutospacing="0" w:after="0" w:afterAutospacing="0" w:line="360" w:lineRule="auto"/>
              <w:ind w:left="0" w:right="0" w:firstLine="480" w:firstLineChars="200"/>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非甲烷总烃（以NMHC表征）</w:t>
            </w:r>
            <w:r>
              <w:rPr>
                <w:rFonts w:hint="eastAsia" w:cs="Times New Roman"/>
                <w:color w:val="000000" w:themeColor="text1"/>
                <w:sz w:val="24"/>
                <w:szCs w:val="24"/>
                <w:lang w:val="en-US" w:eastAsia="zh-CN"/>
                <w14:textFill>
                  <w14:solidFill>
                    <w14:schemeClr w14:val="tx1"/>
                  </w14:solidFill>
                </w14:textFill>
              </w:rPr>
              <w:t>有组织排放</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5 </w:t>
            </w:r>
            <w:r>
              <w:rPr>
                <w:rFonts w:hint="eastAsia" w:ascii="宋体" w:hAnsi="宋体" w:eastAsia="宋体" w:cs="宋体"/>
                <w:color w:val="000000" w:themeColor="text1"/>
                <w:kern w:val="0"/>
                <w:sz w:val="24"/>
                <w:szCs w:val="24"/>
                <w:lang w:val="en-US" w:eastAsia="zh-CN"/>
                <w14:textFill>
                  <w14:solidFill>
                    <w14:schemeClr w14:val="tx1"/>
                  </w14:solidFill>
                </w14:textFill>
              </w:rPr>
              <w:t>新建企业大气污染物排放限值</w:t>
            </w:r>
            <w:r>
              <w:rPr>
                <w:rFonts w:hint="eastAsia"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（DB44/815-2010）表2最高允许排放速率第Ⅱ时段标准和</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《印刷工业大气污染物排放标准》（GB</w:t>
            </w:r>
            <w:r>
              <w:rPr>
                <w:rFonts w:hint="eastAsia" w:cs="Times New Roman"/>
                <w:color w:val="000000" w:themeColor="text1"/>
                <w:sz w:val="24"/>
                <w:szCs w:val="24"/>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41616-2022）</w:t>
            </w:r>
            <w:r>
              <w:rPr>
                <w:rFonts w:hint="eastAsia" w:cs="Times New Roman"/>
                <w:color w:val="000000" w:themeColor="text1"/>
                <w:sz w:val="24"/>
                <w:szCs w:val="24"/>
                <w:lang w:val="en-US" w:eastAsia="zh-CN"/>
                <w14:textFill>
                  <w14:solidFill>
                    <w14:schemeClr w14:val="tx1"/>
                  </w14:solidFill>
                </w14:textFill>
              </w:rPr>
              <w:t>表1大气污染物排放限值三者较严值，即执行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 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5 </w:t>
            </w:r>
            <w:r>
              <w:rPr>
                <w:rFonts w:hint="eastAsia" w:ascii="宋体" w:hAnsi="宋体" w:eastAsia="宋体" w:cs="宋体"/>
                <w:color w:val="000000" w:themeColor="text1"/>
                <w:kern w:val="0"/>
                <w:sz w:val="24"/>
                <w:szCs w:val="24"/>
                <w:lang w:val="en-US" w:eastAsia="zh-CN"/>
                <w14:textFill>
                  <w14:solidFill>
                    <w14:schemeClr w14:val="tx1"/>
                  </w14:solidFill>
                </w14:textFill>
              </w:rPr>
              <w:t>新建企业大气污染物排放限值。</w:t>
            </w:r>
          </w:p>
          <w:p w14:paraId="5F6A1FCD">
            <w:pPr>
              <w:keepNext w:val="0"/>
              <w:keepLines w:val="0"/>
              <w:widowControl/>
              <w:suppressLineNumbers w:val="0"/>
              <w:ind w:firstLine="480" w:firstLineChars="200"/>
              <w:jc w:val="left"/>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厂界NMHC</w:t>
            </w:r>
            <w:r>
              <w:rPr>
                <w:rFonts w:hint="default" w:ascii="Times New Roman" w:hAnsi="Times New Roman" w:eastAsia="宋体" w:cs="Times New Roman"/>
                <w:color w:val="000000" w:themeColor="text1"/>
                <w:sz w:val="24"/>
                <w:szCs w:val="24"/>
                <w14:textFill>
                  <w14:solidFill>
                    <w14:schemeClr w14:val="tx1"/>
                  </w14:solidFill>
                </w14:textFill>
              </w:rPr>
              <w:t>执行</w:t>
            </w:r>
            <w:r>
              <w:rPr>
                <w:rFonts w:hint="eastAsia" w:ascii="宋体" w:hAnsi="宋体" w:eastAsia="宋体" w:cs="宋体"/>
                <w:color w:val="000000" w:themeColor="text1"/>
                <w:kern w:val="0"/>
                <w:sz w:val="24"/>
                <w:szCs w:val="24"/>
                <w:lang w:val="en-US" w:eastAsia="zh-CN"/>
                <w14:textFill>
                  <w14:solidFill>
                    <w14:schemeClr w14:val="tx1"/>
                  </w14:solidFill>
                </w14:textFill>
              </w:rPr>
              <w:t>《橡胶制品工业污染物排放标准》（</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GB 27632-2011</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）表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14:textFill>
                  <w14:solidFill>
                    <w14:schemeClr w14:val="tx1"/>
                  </w14:solidFill>
                </w14:textFill>
              </w:rPr>
              <w:t>现有和新建企业厂界无组织排放限值、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w:t>
            </w:r>
            <w:r>
              <w:rPr>
                <w:rFonts w:hint="default" w:ascii="Times New Roman" w:hAnsi="Times New Roman" w:eastAsia="宋体" w:cs="Times New Roman"/>
                <w:color w:val="000000" w:themeColor="text1"/>
                <w:sz w:val="24"/>
                <w:szCs w:val="24"/>
                <w14:textFill>
                  <w14:solidFill>
                    <w14:schemeClr w14:val="tx1"/>
                  </w14:solidFill>
                </w14:textFill>
              </w:rPr>
              <w:t>表3无组织排放监控点浓度限值</w:t>
            </w:r>
            <w:r>
              <w:rPr>
                <w:rFonts w:hint="eastAsia" w:cs="Times New Roman"/>
                <w:color w:val="000000" w:themeColor="text1"/>
                <w:sz w:val="24"/>
                <w:szCs w:val="24"/>
                <w:lang w:val="en-US" w:eastAsia="zh-CN"/>
                <w14:textFill>
                  <w14:solidFill>
                    <w14:schemeClr w14:val="tx1"/>
                  </w14:solidFill>
                </w14:textFill>
              </w:rPr>
              <w:t>两者较严值，即执行</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《印刷行业挥发性有机化合物排放标准》</w:t>
            </w:r>
            <w:r>
              <w:rPr>
                <w:rFonts w:hint="eastAsia" w:cs="Times New Roman"/>
                <w:color w:val="000000" w:themeColor="text1"/>
                <w:sz w:val="24"/>
                <w:szCs w:val="24"/>
                <w:lang w:val="en-US" w:eastAsia="zh-CN"/>
                <w14:textFill>
                  <w14:solidFill>
                    <w14:schemeClr w14:val="tx1"/>
                  </w14:solidFill>
                </w14:textFill>
              </w:rPr>
              <w:t>（DB44/815-2010）</w:t>
            </w:r>
            <w:r>
              <w:rPr>
                <w:rFonts w:hint="default" w:ascii="Times New Roman" w:hAnsi="Times New Roman" w:eastAsia="宋体" w:cs="Times New Roman"/>
                <w:color w:val="000000" w:themeColor="text1"/>
                <w:sz w:val="24"/>
                <w:szCs w:val="24"/>
                <w14:textFill>
                  <w14:solidFill>
                    <w14:schemeClr w14:val="tx1"/>
                  </w14:solidFill>
                </w14:textFill>
              </w:rPr>
              <w:t>表3无组织排放监控点浓度限值</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16BFBFB1">
            <w:pPr>
              <w:spacing w:line="360" w:lineRule="auto"/>
              <w:ind w:firstLine="480" w:firstLineChars="200"/>
              <w:rPr>
                <w:rFonts w:hint="eastAsia"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厂区内</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NMHC</w:t>
            </w:r>
            <w:r>
              <w:rPr>
                <w:rFonts w:hint="default" w:ascii="Times New Roman" w:hAnsi="Times New Roman" w:eastAsia="宋体" w:cs="Times New Roman"/>
                <w:color w:val="000000" w:themeColor="text1"/>
                <w:sz w:val="24"/>
                <w:szCs w:val="24"/>
                <w14:textFill>
                  <w14:solidFill>
                    <w14:schemeClr w14:val="tx1"/>
                  </w14:solidFill>
                </w14:textFill>
              </w:rPr>
              <w:t>执行广东省《固定污染源挥发性有机物综合排放标准》（DB44/2367-2022）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szCs w:val="24"/>
                <w14:textFill>
                  <w14:solidFill>
                    <w14:schemeClr w14:val="tx1"/>
                  </w14:solidFill>
                </w14:textFill>
              </w:rPr>
              <w:t>表3厂区内VOCs无组织排放限值</w:t>
            </w:r>
            <w:r>
              <w:rPr>
                <w:rFonts w:hint="eastAsia" w:cs="Times New Roman"/>
                <w:color w:val="000000" w:themeColor="text1"/>
                <w:sz w:val="24"/>
                <w:szCs w:val="24"/>
                <w:lang w:val="en-US" w:eastAsia="zh-CN"/>
                <w14:textFill>
                  <w14:solidFill>
                    <w14:schemeClr w14:val="tx1"/>
                  </w14:solidFill>
                </w14:textFill>
              </w:rPr>
              <w:t>、</w:t>
            </w:r>
            <w:r>
              <w:rPr>
                <w:rFonts w:hint="eastAsia"/>
                <w:color w:val="000000" w:themeColor="text1"/>
                <w14:textFill>
                  <w14:solidFill>
                    <w14:schemeClr w14:val="tx1"/>
                  </w14:solidFill>
                </w14:textFill>
              </w:rPr>
              <w:t>《印刷工业大气污染物排放标准》（GB41616-2022）表 A.1厂区内 VOCs 无组织排放限值</w:t>
            </w:r>
            <w:r>
              <w:rPr>
                <w:rFonts w:hint="eastAsia"/>
                <w:color w:val="000000" w:themeColor="text1"/>
                <w:lang w:val="en-US" w:eastAsia="zh-CN"/>
                <w14:textFill>
                  <w14:solidFill>
                    <w14:schemeClr w14:val="tx1"/>
                  </w14:solidFill>
                </w14:textFill>
              </w:rPr>
              <w:t>两者较严值，即执行</w:t>
            </w:r>
            <w:r>
              <w:rPr>
                <w:rFonts w:hint="default" w:ascii="Times New Roman" w:hAnsi="Times New Roman" w:eastAsia="宋体" w:cs="Times New Roman"/>
                <w:color w:val="000000" w:themeColor="text1"/>
                <w:sz w:val="24"/>
                <w:szCs w:val="24"/>
                <w14:textFill>
                  <w14:solidFill>
                    <w14:schemeClr w14:val="tx1"/>
                  </w14:solidFill>
                </w14:textFill>
              </w:rPr>
              <w:t>《固定污染源挥发性有机物综合排放标准》（DB44/2367-2022）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szCs w:val="24"/>
                <w14:textFill>
                  <w14:solidFill>
                    <w14:schemeClr w14:val="tx1"/>
                  </w14:solidFill>
                </w14:textFill>
              </w:rPr>
              <w:t>表3厂区内VOCs无组织排放限值</w:t>
            </w:r>
            <w:r>
              <w:rPr>
                <w:rFonts w:hint="eastAsia" w:cs="Times New Roman"/>
                <w:color w:val="000000" w:themeColor="text1"/>
                <w:sz w:val="24"/>
                <w:szCs w:val="24"/>
                <w:lang w:eastAsia="zh-CN"/>
                <w14:textFill>
                  <w14:solidFill>
                    <w14:schemeClr w14:val="tx1"/>
                  </w14:solidFill>
                </w14:textFill>
              </w:rPr>
              <w:t>。</w:t>
            </w:r>
          </w:p>
          <w:p w14:paraId="31612987">
            <w:pPr>
              <w:spacing w:line="360" w:lineRule="auto"/>
              <w:ind w:firstLine="480" w:firstLineChars="200"/>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臭气浓度</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有组织排放</w:t>
            </w:r>
            <w:r>
              <w:rPr>
                <w:rFonts w:hint="default" w:ascii="Times New Roman" w:hAnsi="Times New Roman" w:eastAsia="宋体" w:cs="Times New Roman"/>
                <w:color w:val="000000" w:themeColor="text1"/>
                <w:sz w:val="24"/>
                <w:highlight w:val="none"/>
                <w14:textFill>
                  <w14:solidFill>
                    <w14:schemeClr w14:val="tx1"/>
                  </w14:solidFill>
                </w14:textFill>
              </w:rPr>
              <w:t>执行《恶臭污染物排放标准》（GB14554-93）中</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表2</w:t>
            </w:r>
            <w:r>
              <w:rPr>
                <w:rFonts w:hint="default" w:ascii="Times New Roman" w:hAnsi="Times New Roman" w:eastAsia="宋体" w:cs="Times New Roman"/>
                <w:color w:val="000000" w:themeColor="text1"/>
                <w:sz w:val="24"/>
                <w:highlight w:val="none"/>
                <w14:textFill>
                  <w14:solidFill>
                    <w14:schemeClr w14:val="tx1"/>
                  </w14:solidFill>
                </w14:textFill>
              </w:rPr>
              <w:t>恶臭污染物排放标准值</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无组织排放执行表1恶臭污染物厂界标准值二级新扩改建标准</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具体详见下表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3AFA8999">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color w:val="000000" w:themeColor="text1"/>
                <w:kern w:val="2"/>
                <w:sz w:val="21"/>
                <w:szCs w:val="21"/>
                <w:highlight w:val="none"/>
                <w:lang w:val="en-US" w:eastAsia="zh-CN" w:bidi="ar-SA"/>
                <w14:textFill>
                  <w14:solidFill>
                    <w14:schemeClr w14:val="tx1"/>
                  </w14:solidFill>
                </w14:textFill>
              </w:rPr>
              <w:t>DA001排气筒废气排放标准</w:t>
            </w:r>
          </w:p>
          <w:tbl>
            <w:tblPr>
              <w:tblStyle w:val="46"/>
              <w:tblW w:w="49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9"/>
              <w:gridCol w:w="1257"/>
              <w:gridCol w:w="2714"/>
              <w:gridCol w:w="758"/>
              <w:gridCol w:w="1059"/>
              <w:gridCol w:w="959"/>
            </w:tblGrid>
            <w:tr w14:paraId="0467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67" w:type="pct"/>
                  <w:vAlign w:val="center"/>
                </w:tcPr>
                <w:p w14:paraId="40A3E80F">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生产工序</w:t>
                  </w:r>
                </w:p>
              </w:tc>
              <w:tc>
                <w:tcPr>
                  <w:tcW w:w="807" w:type="pct"/>
                  <w:vAlign w:val="center"/>
                </w:tcPr>
                <w:p w14:paraId="13F80953">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污染物名称</w:t>
                  </w:r>
                </w:p>
              </w:tc>
              <w:tc>
                <w:tcPr>
                  <w:tcW w:w="1743" w:type="pct"/>
                  <w:vAlign w:val="center"/>
                </w:tcPr>
                <w:p w14:paraId="294CB5B4">
                  <w:pPr>
                    <w:autoSpaceDE w:val="0"/>
                    <w:autoSpaceDN w:val="0"/>
                    <w:adjustRightInd w:val="0"/>
                    <w:snapToGrid w:val="0"/>
                    <w:spacing w:line="240" w:lineRule="auto"/>
                    <w:jc w:val="center"/>
                    <w:rPr>
                      <w:rFonts w:hint="eastAsia"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执行标准</w:t>
                  </w:r>
                </w:p>
              </w:tc>
              <w:tc>
                <w:tcPr>
                  <w:tcW w:w="487" w:type="pct"/>
                  <w:vAlign w:val="center"/>
                </w:tcPr>
                <w:p w14:paraId="703B9D49">
                  <w:pPr>
                    <w:autoSpaceDE w:val="0"/>
                    <w:autoSpaceDN w:val="0"/>
                    <w:adjustRightInd w:val="0"/>
                    <w:snapToGrid w:val="0"/>
                    <w:spacing w:line="240" w:lineRule="auto"/>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排放高度</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w:t>
                  </w:r>
                </w:p>
              </w:tc>
              <w:tc>
                <w:tcPr>
                  <w:tcW w:w="680" w:type="pct"/>
                  <w:vAlign w:val="center"/>
                </w:tcPr>
                <w:p w14:paraId="5C7ABB53">
                  <w:pPr>
                    <w:tabs>
                      <w:tab w:val="left" w:pos="552"/>
                    </w:tabs>
                    <w:autoSpaceDE w:val="0"/>
                    <w:autoSpaceDN w:val="0"/>
                    <w:adjustRightInd w:val="0"/>
                    <w:snapToGrid w:val="0"/>
                    <w:spacing w:line="24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浓度</w:t>
                  </w:r>
                </w:p>
                <w:p w14:paraId="2D6D2985">
                  <w:pPr>
                    <w:autoSpaceDE w:val="0"/>
                    <w:autoSpaceDN w:val="0"/>
                    <w:adjustRightInd w:val="0"/>
                    <w:snapToGrid w:val="0"/>
                    <w:spacing w:line="240" w:lineRule="auto"/>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（mg/m</w:t>
                  </w:r>
                  <w:r>
                    <w:rPr>
                      <w:rFonts w:ascii="Times New Roman" w:hAnsi="Times New Roman" w:eastAsia="宋体" w:cs="Times New Roman"/>
                      <w:b/>
                      <w:color w:val="000000" w:themeColor="text1"/>
                      <w:sz w:val="21"/>
                      <w:szCs w:val="21"/>
                      <w:highlight w:val="none"/>
                      <w:vertAlign w:val="superscript"/>
                      <w:lang w:eastAsia="en-US"/>
                      <w14:textFill>
                        <w14:solidFill>
                          <w14:schemeClr w14:val="tx1"/>
                        </w14:solidFill>
                      </w14:textFill>
                    </w:rPr>
                    <w:t>3</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w:t>
                  </w:r>
                </w:p>
              </w:tc>
              <w:tc>
                <w:tcPr>
                  <w:tcW w:w="613" w:type="pct"/>
                  <w:vAlign w:val="center"/>
                </w:tcPr>
                <w:p w14:paraId="3BF0A534">
                  <w:pPr>
                    <w:autoSpaceDE w:val="0"/>
                    <w:autoSpaceDN w:val="0"/>
                    <w:adjustRightInd w:val="0"/>
                    <w:snapToGrid w:val="0"/>
                    <w:spacing w:line="240" w:lineRule="auto"/>
                    <w:jc w:val="center"/>
                    <w:rPr>
                      <w:rFonts w:hint="default" w:ascii="Times New Roman" w:hAnsi="Times New Roman" w:eastAsia="宋体" w:cs="Times New Roman"/>
                      <w:b/>
                      <w:color w:val="000000" w:themeColor="text1"/>
                      <w:sz w:val="21"/>
                      <w:szCs w:val="21"/>
                      <w:highlight w:val="none"/>
                      <w:vertAlign w:val="baseline"/>
                      <w:lang w:val="en-US" w:eastAsia="zh-CN"/>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基准排气量m</w:t>
                  </w:r>
                  <w:r>
                    <w:rPr>
                      <w:rFonts w:hint="eastAsia" w:cs="Times New Roman"/>
                      <w:b/>
                      <w:color w:val="000000" w:themeColor="text1"/>
                      <w:sz w:val="21"/>
                      <w:szCs w:val="21"/>
                      <w:highlight w:val="none"/>
                      <w:vertAlign w:val="superscript"/>
                      <w:lang w:val="en-US" w:eastAsia="zh-CN"/>
                      <w14:textFill>
                        <w14:solidFill>
                          <w14:schemeClr w14:val="tx1"/>
                        </w14:solidFill>
                      </w14:textFill>
                    </w:rPr>
                    <w:t>3</w:t>
                  </w:r>
                  <w:r>
                    <w:rPr>
                      <w:rFonts w:hint="eastAsia" w:cs="Times New Roman"/>
                      <w:b/>
                      <w:color w:val="000000" w:themeColor="text1"/>
                      <w:sz w:val="21"/>
                      <w:szCs w:val="21"/>
                      <w:highlight w:val="none"/>
                      <w:vertAlign w:val="baseline"/>
                      <w:lang w:val="en-US" w:eastAsia="zh-CN"/>
                      <w14:textFill>
                        <w14:solidFill>
                          <w14:schemeClr w14:val="tx1"/>
                        </w14:solidFill>
                      </w14:textFill>
                    </w:rPr>
                    <w:t>/t胶</w:t>
                  </w:r>
                </w:p>
              </w:tc>
            </w:tr>
            <w:tr w14:paraId="7946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67" w:type="pct"/>
                  <w:vMerge w:val="restart"/>
                  <w:vAlign w:val="center"/>
                </w:tcPr>
                <w:p w14:paraId="3167EB6D">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炼胶、成型、移印烘烤废气</w:t>
                  </w:r>
                </w:p>
              </w:tc>
              <w:tc>
                <w:tcPr>
                  <w:tcW w:w="807" w:type="pct"/>
                  <w:vAlign w:val="center"/>
                </w:tcPr>
                <w:p w14:paraId="2F394392">
                  <w:pPr>
                    <w:widowControl/>
                    <w:wordWrap w:val="0"/>
                    <w:topLinePunct/>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NMHC</w:t>
                  </w:r>
                </w:p>
              </w:tc>
              <w:tc>
                <w:tcPr>
                  <w:tcW w:w="1743" w:type="pct"/>
                  <w:vAlign w:val="center"/>
                </w:tcPr>
                <w:p w14:paraId="173884A7">
                  <w:pPr>
                    <w:autoSpaceDE w:val="0"/>
                    <w:autoSpaceDN w:val="0"/>
                    <w:adjustRightInd w:val="0"/>
                    <w:snapToGrid w:val="0"/>
                    <w:spacing w:line="240" w:lineRule="auto"/>
                    <w:jc w:val="left"/>
                    <w:rPr>
                      <w:rFonts w:hint="eastAsia"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w:t>
                  </w:r>
                  <w:r>
                    <w:rPr>
                      <w:rFonts w:hint="default" w:ascii="Times New Roman" w:hAnsi="Times New Roman" w:cs="Times New Roman"/>
                      <w:color w:val="000000" w:themeColor="text1"/>
                      <w:kern w:val="0"/>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-2011）表 5 新建企业大气污染物排放限值、《印刷行业挥发性有机化合物排放标准》（DB44/815</w:t>
                  </w:r>
                  <w:r>
                    <w:rPr>
                      <w:rFonts w:hint="default" w:ascii="Times New Roman" w:hAnsi="Times New Roman" w:cs="Times New Roman"/>
                      <w:color w:val="000000" w:themeColor="text1"/>
                      <w:kern w:val="0"/>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-2010）表2最高允许排放速率第Ⅱ时段标准和《印刷工业大气污染物排放标准》（GB41616-2022）表1大气污染物排放限值三者较严值</w:t>
                  </w:r>
                </w:p>
              </w:tc>
              <w:tc>
                <w:tcPr>
                  <w:tcW w:w="487" w:type="pct"/>
                  <w:vMerge w:val="restart"/>
                  <w:vAlign w:val="center"/>
                </w:tcPr>
                <w:p w14:paraId="7D7CAE15">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680" w:type="pct"/>
                  <w:vAlign w:val="center"/>
                </w:tcPr>
                <w:p w14:paraId="24D83129">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613" w:type="pct"/>
                  <w:vAlign w:val="center"/>
                </w:tcPr>
                <w:p w14:paraId="40B7E69D">
                  <w:pPr>
                    <w:autoSpaceDE w:val="0"/>
                    <w:autoSpaceDN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2000</w:t>
                  </w:r>
                </w:p>
              </w:tc>
            </w:tr>
            <w:tr w14:paraId="1507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4" w:hRule="atLeast"/>
                <w:jc w:val="center"/>
              </w:trPr>
              <w:tc>
                <w:tcPr>
                  <w:tcW w:w="667" w:type="pct"/>
                  <w:vMerge w:val="continue"/>
                  <w:vAlign w:val="center"/>
                </w:tcPr>
                <w:p w14:paraId="1DB372B0">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07" w:type="pct"/>
                  <w:vAlign w:val="center"/>
                </w:tcPr>
                <w:p w14:paraId="0EFFCB86">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1743" w:type="pct"/>
                  <w:vAlign w:val="center"/>
                </w:tcPr>
                <w:p w14:paraId="1DE7B684">
                  <w:pPr>
                    <w:autoSpaceDE w:val="0"/>
                    <w:autoSpaceDN w:val="0"/>
                    <w:adjustRightInd w:val="0"/>
                    <w:snapToGrid w:val="0"/>
                    <w:spacing w:line="240" w:lineRule="auto"/>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《恶臭污染物排放标准》（GB14554-93）表2恶臭污染物排放标准</w:t>
                  </w:r>
                </w:p>
              </w:tc>
              <w:tc>
                <w:tcPr>
                  <w:tcW w:w="487" w:type="pct"/>
                  <w:vMerge w:val="continue"/>
                  <w:vAlign w:val="center"/>
                </w:tcPr>
                <w:p w14:paraId="6A5C627D">
                  <w:pPr>
                    <w:autoSpaceDE w:val="0"/>
                    <w:autoSpaceDN w:val="0"/>
                    <w:adjustRightInd w:val="0"/>
                    <w:snapToGrid w:val="0"/>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80" w:type="pct"/>
                  <w:vAlign w:val="center"/>
                </w:tcPr>
                <w:p w14:paraId="364DB90B">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ascii="Times New Roman" w:hAnsi="Times New Roman" w:eastAsia="宋体" w:cs="Times New Roman"/>
                      <w:color w:val="000000" w:themeColor="text1"/>
                      <w:sz w:val="21"/>
                      <w:szCs w:val="21"/>
                      <w:highlight w:val="none"/>
                      <w14:textFill>
                        <w14:solidFill>
                          <w14:schemeClr w14:val="tx1"/>
                        </w14:solidFill>
                      </w14:textFill>
                    </w:rPr>
                    <w:t>000（无量纲）</w:t>
                  </w:r>
                </w:p>
              </w:tc>
              <w:tc>
                <w:tcPr>
                  <w:tcW w:w="613" w:type="pct"/>
                  <w:vAlign w:val="center"/>
                </w:tcPr>
                <w:p w14:paraId="4AC12CA5">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4C19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5000" w:type="pct"/>
                  <w:gridSpan w:val="6"/>
                  <w:vAlign w:val="center"/>
                </w:tcPr>
                <w:p w14:paraId="4CE6CF7E">
                  <w:pPr>
                    <w:wordWrap w:val="0"/>
                    <w:topLinePunct/>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项目周边200m建筑最高高度为22m，</w:t>
                  </w:r>
                  <w:r>
                    <w:rPr>
                      <w:rFonts w:hint="eastAsia" w:ascii="Times New Roman" w:hAnsi="Times New Roman" w:eastAsia="宋体" w:cs="Times New Roman"/>
                      <w:color w:val="000000" w:themeColor="text1"/>
                      <w:sz w:val="21"/>
                      <w:szCs w:val="21"/>
                      <w:highlight w:val="none"/>
                      <w14:textFill>
                        <w14:solidFill>
                          <w14:schemeClr w14:val="tx1"/>
                        </w14:solidFill>
                      </w14:textFill>
                    </w:rPr>
                    <w:t>满足高出周边200m建筑3m以上的要求</w:t>
                  </w:r>
                </w:p>
              </w:tc>
            </w:tr>
          </w:tbl>
          <w:p w14:paraId="46456E0E">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kern w:val="2"/>
                <w:sz w:val="21"/>
                <w:szCs w:val="21"/>
                <w:highlight w:val="none"/>
                <w:lang w:val="en-US" w:eastAsia="zh-CN" w:bidi="ar-SA"/>
                <w14:textFill>
                  <w14:solidFill>
                    <w14:schemeClr w14:val="tx1"/>
                  </w14:solidFill>
                </w14:textFill>
              </w:rPr>
              <w:t>无组织大气</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污染物排放标准</w:t>
            </w:r>
          </w:p>
          <w:tbl>
            <w:tblPr>
              <w:tblStyle w:val="46"/>
              <w:tblW w:w="4998"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287"/>
              <w:gridCol w:w="814"/>
              <w:gridCol w:w="1613"/>
              <w:gridCol w:w="4138"/>
            </w:tblGrid>
            <w:tr w14:paraId="7AC4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819" w:type="pct"/>
                  <w:shd w:val="clear" w:color="auto" w:fill="auto"/>
                  <w:tcMar>
                    <w:top w:w="120" w:type="dxa"/>
                    <w:left w:w="120" w:type="dxa"/>
                    <w:bottom w:w="120" w:type="dxa"/>
                    <w:right w:w="120" w:type="dxa"/>
                  </w:tcMar>
                  <w:vAlign w:val="center"/>
                </w:tcPr>
                <w:p w14:paraId="27A6D604">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污染物</w:t>
                  </w:r>
                </w:p>
              </w:tc>
              <w:tc>
                <w:tcPr>
                  <w:tcW w:w="518" w:type="pct"/>
                  <w:shd w:val="clear" w:color="auto" w:fill="auto"/>
                  <w:tcMar>
                    <w:top w:w="120" w:type="dxa"/>
                    <w:left w:w="120" w:type="dxa"/>
                    <w:bottom w:w="120" w:type="dxa"/>
                    <w:right w:w="120" w:type="dxa"/>
                  </w:tcMar>
                  <w:vAlign w:val="center"/>
                </w:tcPr>
                <w:p w14:paraId="704C1D20">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监测点位</w:t>
                  </w:r>
                </w:p>
              </w:tc>
              <w:tc>
                <w:tcPr>
                  <w:tcW w:w="1027" w:type="pct"/>
                  <w:shd w:val="clear" w:color="auto" w:fill="auto"/>
                  <w:tcMar>
                    <w:top w:w="120" w:type="dxa"/>
                    <w:left w:w="120" w:type="dxa"/>
                    <w:bottom w:w="120" w:type="dxa"/>
                    <w:right w:w="120" w:type="dxa"/>
                  </w:tcMar>
                  <w:vAlign w:val="center"/>
                </w:tcPr>
                <w:p w14:paraId="196673EF">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vertAlign w:val="superscript"/>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最高允许排放浓度mg/m</w:t>
                  </w:r>
                  <w:r>
                    <w:rPr>
                      <w:rFonts w:hint="default" w:ascii="Times New Roman" w:hAnsi="Times New Roman" w:eastAsia="宋体" w:cs="Times New Roman"/>
                      <w:b/>
                      <w:bCs/>
                      <w:color w:val="000000" w:themeColor="text1"/>
                      <w:kern w:val="0"/>
                      <w:sz w:val="21"/>
                      <w:szCs w:val="21"/>
                      <w:vertAlign w:val="superscript"/>
                      <w:lang w:val="en-US" w:eastAsia="zh-CN"/>
                      <w14:textFill>
                        <w14:solidFill>
                          <w14:schemeClr w14:val="tx1"/>
                        </w14:solidFill>
                      </w14:textFill>
                    </w:rPr>
                    <w:t>3</w:t>
                  </w:r>
                </w:p>
              </w:tc>
              <w:tc>
                <w:tcPr>
                  <w:tcW w:w="2634" w:type="pct"/>
                  <w:shd w:val="clear" w:color="auto" w:fill="auto"/>
                  <w:tcMar>
                    <w:top w:w="120" w:type="dxa"/>
                    <w:left w:w="120" w:type="dxa"/>
                    <w:bottom w:w="120" w:type="dxa"/>
                    <w:right w:w="120" w:type="dxa"/>
                  </w:tcMar>
                  <w:vAlign w:val="center"/>
                </w:tcPr>
                <w:p w14:paraId="4A77759F">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标准来源</w:t>
                  </w:r>
                </w:p>
              </w:tc>
            </w:tr>
            <w:tr w14:paraId="6CF7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33" w:hRule="atLeast"/>
              </w:trPr>
              <w:tc>
                <w:tcPr>
                  <w:tcW w:w="819" w:type="pct"/>
                  <w:shd w:val="clear" w:color="auto" w:fill="auto"/>
                  <w:tcMar>
                    <w:top w:w="120" w:type="dxa"/>
                    <w:left w:w="120" w:type="dxa"/>
                    <w:bottom w:w="120" w:type="dxa"/>
                    <w:right w:w="120" w:type="dxa"/>
                  </w:tcMar>
                  <w:vAlign w:val="center"/>
                </w:tcPr>
                <w:p w14:paraId="02FB98A9">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518" w:type="pct"/>
                  <w:shd w:val="clear" w:color="auto" w:fill="auto"/>
                  <w:tcMar>
                    <w:top w:w="120" w:type="dxa"/>
                    <w:left w:w="120" w:type="dxa"/>
                    <w:bottom w:w="120" w:type="dxa"/>
                    <w:right w:w="120" w:type="dxa"/>
                  </w:tcMar>
                  <w:vAlign w:val="center"/>
                </w:tcPr>
                <w:p w14:paraId="33895349">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厂界</w:t>
                  </w:r>
                </w:p>
              </w:tc>
              <w:tc>
                <w:tcPr>
                  <w:tcW w:w="1027" w:type="pct"/>
                  <w:shd w:val="clear" w:color="auto" w:fill="auto"/>
                  <w:tcMar>
                    <w:top w:w="120" w:type="dxa"/>
                    <w:left w:w="120" w:type="dxa"/>
                    <w:bottom w:w="120" w:type="dxa"/>
                    <w:right w:w="120" w:type="dxa"/>
                  </w:tcMar>
                  <w:vAlign w:val="center"/>
                </w:tcPr>
                <w:p w14:paraId="4F5D31CD">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2.0 </w:t>
                  </w:r>
                  <w:r>
                    <w:rPr>
                      <w:rFonts w:hint="default" w:ascii="Times New Roman" w:hAnsi="Times New Roman" w:cs="Times New Roman"/>
                      <w:color w:val="000000" w:themeColor="text1"/>
                      <w:kern w:val="0"/>
                      <w:sz w:val="21"/>
                      <w:szCs w:val="21"/>
                      <w:lang w:val="en-US" w:eastAsia="zh-CN"/>
                      <w14:textFill>
                        <w14:solidFill>
                          <w14:schemeClr w14:val="tx1"/>
                        </w14:solidFill>
                      </w14:textFill>
                    </w:rPr>
                    <w:t>（总VOCs）</w:t>
                  </w:r>
                </w:p>
              </w:tc>
              <w:tc>
                <w:tcPr>
                  <w:tcW w:w="2634" w:type="pct"/>
                  <w:shd w:val="clear" w:color="auto" w:fill="auto"/>
                  <w:tcMar>
                    <w:top w:w="120" w:type="dxa"/>
                    <w:left w:w="120" w:type="dxa"/>
                    <w:bottom w:w="120" w:type="dxa"/>
                    <w:right w:w="120" w:type="dxa"/>
                  </w:tcMar>
                  <w:vAlign w:val="center"/>
                </w:tcPr>
                <w:p w14:paraId="4A1C8AD0">
                  <w:pPr>
                    <w:pStyle w:val="52"/>
                    <w:ind w:left="0" w:leftChars="0"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现有和新建企业厂界无组织排放限值、《印刷行业挥发性有机化合物排放标准》（DB44/815-2010）表3无组织排放监控点浓度限值两者较严值</w:t>
                  </w:r>
                </w:p>
              </w:tc>
            </w:tr>
            <w:tr w14:paraId="5633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4" w:hRule="atLeast"/>
              </w:trPr>
              <w:tc>
                <w:tcPr>
                  <w:tcW w:w="819" w:type="pct"/>
                  <w:shd w:val="clear" w:color="auto" w:fill="auto"/>
                  <w:tcMar>
                    <w:top w:w="120" w:type="dxa"/>
                    <w:left w:w="120" w:type="dxa"/>
                    <w:bottom w:w="120" w:type="dxa"/>
                    <w:right w:w="120" w:type="dxa"/>
                  </w:tcMar>
                  <w:vAlign w:val="center"/>
                </w:tcPr>
                <w:p w14:paraId="71B5F7C0">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臭气浓度</w:t>
                  </w:r>
                </w:p>
              </w:tc>
              <w:tc>
                <w:tcPr>
                  <w:tcW w:w="518" w:type="pct"/>
                  <w:shd w:val="clear" w:color="auto" w:fill="auto"/>
                  <w:tcMar>
                    <w:top w:w="120" w:type="dxa"/>
                    <w:left w:w="120" w:type="dxa"/>
                    <w:bottom w:w="120" w:type="dxa"/>
                    <w:right w:w="120" w:type="dxa"/>
                  </w:tcMar>
                  <w:vAlign w:val="center"/>
                </w:tcPr>
                <w:p w14:paraId="232E680F">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厂界</w:t>
                  </w:r>
                </w:p>
              </w:tc>
              <w:tc>
                <w:tcPr>
                  <w:tcW w:w="1027" w:type="pct"/>
                  <w:shd w:val="clear" w:color="auto" w:fill="auto"/>
                  <w:tcMar>
                    <w:top w:w="120" w:type="dxa"/>
                    <w:left w:w="120" w:type="dxa"/>
                    <w:bottom w:w="120" w:type="dxa"/>
                    <w:right w:w="120" w:type="dxa"/>
                  </w:tcMar>
                  <w:vAlign w:val="center"/>
                </w:tcPr>
                <w:p w14:paraId="3FAE749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20（无量纲）</w:t>
                  </w:r>
                </w:p>
              </w:tc>
              <w:tc>
                <w:tcPr>
                  <w:tcW w:w="2634" w:type="pct"/>
                  <w:shd w:val="clear" w:color="auto" w:fill="auto"/>
                  <w:tcMar>
                    <w:top w:w="120" w:type="dxa"/>
                    <w:left w:w="120" w:type="dxa"/>
                    <w:bottom w:w="120" w:type="dxa"/>
                    <w:right w:w="120" w:type="dxa"/>
                  </w:tcMar>
                  <w:vAlign w:val="center"/>
                </w:tcPr>
                <w:p w14:paraId="39B37383">
                  <w:pPr>
                    <w:keepNext w:val="0"/>
                    <w:keepLines w:val="0"/>
                    <w:widowControl/>
                    <w:suppressLineNumbers w:val="0"/>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t>《恶臭污染物排放标准》（GB 14554-1993）表 1 厂界标准</w:t>
                  </w:r>
                </w:p>
              </w:tc>
            </w:tr>
            <w:tr w14:paraId="17A6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819" w:type="pct"/>
                  <w:vMerge w:val="restart"/>
                  <w:shd w:val="clear" w:color="auto" w:fill="auto"/>
                  <w:tcMar>
                    <w:top w:w="120" w:type="dxa"/>
                    <w:left w:w="120" w:type="dxa"/>
                    <w:bottom w:w="120" w:type="dxa"/>
                    <w:right w:w="120" w:type="dxa"/>
                  </w:tcMar>
                  <w:vAlign w:val="center"/>
                </w:tcPr>
                <w:p w14:paraId="7095E332">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518" w:type="pct"/>
                  <w:vMerge w:val="restart"/>
                  <w:shd w:val="clear" w:color="auto" w:fill="auto"/>
                  <w:tcMar>
                    <w:top w:w="120" w:type="dxa"/>
                    <w:left w:w="120" w:type="dxa"/>
                    <w:bottom w:w="120" w:type="dxa"/>
                    <w:right w:w="120" w:type="dxa"/>
                  </w:tcMar>
                  <w:vAlign w:val="center"/>
                </w:tcPr>
                <w:p w14:paraId="135F9CBE">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厂区内</w:t>
                  </w:r>
                </w:p>
              </w:tc>
              <w:tc>
                <w:tcPr>
                  <w:tcW w:w="1027" w:type="pct"/>
                  <w:shd w:val="clear" w:color="auto" w:fill="auto"/>
                  <w:tcMar>
                    <w:top w:w="120" w:type="dxa"/>
                    <w:left w:w="120" w:type="dxa"/>
                    <w:bottom w:w="120" w:type="dxa"/>
                    <w:right w:w="120" w:type="dxa"/>
                  </w:tcMar>
                  <w:vAlign w:val="center"/>
                </w:tcPr>
                <w:p w14:paraId="479C75A3">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6（监控点处 1h平均浓度值）</w:t>
                  </w:r>
                </w:p>
              </w:tc>
              <w:tc>
                <w:tcPr>
                  <w:tcW w:w="2634" w:type="pct"/>
                  <w:vMerge w:val="restart"/>
                  <w:shd w:val="clear" w:color="auto" w:fill="auto"/>
                  <w:tcMar>
                    <w:top w:w="120" w:type="dxa"/>
                    <w:left w:w="120" w:type="dxa"/>
                    <w:bottom w:w="120" w:type="dxa"/>
                    <w:right w:w="120" w:type="dxa"/>
                  </w:tcMar>
                  <w:vAlign w:val="center"/>
                </w:tcPr>
                <w:p w14:paraId="51C395AF">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广东省《固定污染源挥发性有机物综合排放标准》（DB44/2367-2022）中表3厂区内VOCs无组织排放限值、《印刷工业大气污染物排放标准》（GB41616-2022）表 A.1厂区内 VOCs 无组织排放限值两者较严值</w:t>
                  </w:r>
                </w:p>
              </w:tc>
            </w:tr>
            <w:tr w14:paraId="1FC5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22" w:hRule="atLeast"/>
              </w:trPr>
              <w:tc>
                <w:tcPr>
                  <w:tcW w:w="819" w:type="pct"/>
                  <w:vMerge w:val="continue"/>
                  <w:shd w:val="clear" w:color="auto" w:fill="auto"/>
                  <w:tcMar>
                    <w:top w:w="120" w:type="dxa"/>
                    <w:left w:w="120" w:type="dxa"/>
                    <w:bottom w:w="120" w:type="dxa"/>
                    <w:right w:w="120" w:type="dxa"/>
                  </w:tcMar>
                  <w:vAlign w:val="center"/>
                </w:tcPr>
                <w:p w14:paraId="26EC3B30">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18" w:type="pct"/>
                  <w:vMerge w:val="continue"/>
                  <w:shd w:val="clear" w:color="auto" w:fill="auto"/>
                  <w:tcMar>
                    <w:top w:w="120" w:type="dxa"/>
                    <w:left w:w="120" w:type="dxa"/>
                    <w:bottom w:w="120" w:type="dxa"/>
                    <w:right w:w="120" w:type="dxa"/>
                  </w:tcMar>
                  <w:vAlign w:val="center"/>
                </w:tcPr>
                <w:p w14:paraId="29712E7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027" w:type="pct"/>
                  <w:shd w:val="clear" w:color="auto" w:fill="auto"/>
                  <w:tcMar>
                    <w:top w:w="120" w:type="dxa"/>
                    <w:left w:w="120" w:type="dxa"/>
                    <w:bottom w:w="120" w:type="dxa"/>
                    <w:right w:w="120" w:type="dxa"/>
                  </w:tcMar>
                  <w:vAlign w:val="center"/>
                </w:tcPr>
                <w:p w14:paraId="703F80BF">
                  <w:pPr>
                    <w:keepNext w:val="0"/>
                    <w:keepLines w:val="0"/>
                    <w:widowControl/>
                    <w:suppressLineNumbers w:val="0"/>
                    <w:spacing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20（监控点处任意一次浓度值）</w:t>
                  </w:r>
                </w:p>
              </w:tc>
              <w:tc>
                <w:tcPr>
                  <w:tcW w:w="2634" w:type="pct"/>
                  <w:vMerge w:val="continue"/>
                  <w:shd w:val="clear" w:color="auto" w:fill="auto"/>
                  <w:tcMar>
                    <w:top w:w="120" w:type="dxa"/>
                    <w:left w:w="120" w:type="dxa"/>
                    <w:bottom w:w="120" w:type="dxa"/>
                    <w:right w:w="120" w:type="dxa"/>
                  </w:tcMar>
                  <w:vAlign w:val="center"/>
                </w:tcPr>
                <w:p w14:paraId="1329F808">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bl>
          <w:p w14:paraId="40C029B2">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二、废水排放标准</w:t>
            </w:r>
          </w:p>
          <w:p w14:paraId="303FB1E3">
            <w:pPr>
              <w:snapToGri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本项目运营期废水主要为生活污水</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冷却塔更换水、钢板胶头清洗废水</w:t>
            </w:r>
            <w:r>
              <w:rPr>
                <w:rFonts w:hint="default" w:ascii="Times New Roman" w:hAnsi="Times New Roman" w:eastAsia="宋体" w:cs="Times New Roman"/>
                <w:color w:val="000000" w:themeColor="text1"/>
                <w:highlight w:val="none"/>
                <w14:textFill>
                  <w14:solidFill>
                    <w14:schemeClr w14:val="tx1"/>
                  </w14:solidFill>
                </w14:textFill>
              </w:rPr>
              <w:t>。</w:t>
            </w:r>
          </w:p>
          <w:p w14:paraId="09AB893A">
            <w:pPr>
              <w:snapToGrid w:val="0"/>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钢板胶头清洗废水作为危险废物交由有资质的危废单位处置，不外排。冷却塔更换水达到《城市污水再生利用 工业用水水质》（GB/T19923-2024）表1 再生水用作工业用水水质基本控制项目及限值 间冷开式循环冷却水补充水、锅炉补给水、工艺用水、产品用水标准，用于绿化浇灌，不外排。</w:t>
            </w:r>
          </w:p>
          <w:p w14:paraId="000D436E">
            <w:pPr>
              <w:snapToGrid w:val="0"/>
              <w:ind w:firstLine="480" w:firstLineChars="200"/>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生活污水经</w:t>
            </w:r>
            <w:r>
              <w:rPr>
                <w:rFonts w:hint="eastAsia" w:cs="Times New Roman"/>
                <w:color w:val="000000" w:themeColor="text1"/>
                <w:highlight w:val="none"/>
                <w:lang w:eastAsia="zh-CN"/>
                <w14:textFill>
                  <w14:solidFill>
                    <w14:schemeClr w14:val="tx1"/>
                  </w14:solidFill>
                </w14:textFill>
              </w:rPr>
              <w:t>三级化粪池</w:t>
            </w:r>
            <w:r>
              <w:rPr>
                <w:rFonts w:hint="eastAsia" w:cs="Times New Roman"/>
                <w:color w:val="000000" w:themeColor="text1"/>
                <w:highlight w:val="none"/>
                <w:lang w:val="en-US" w:eastAsia="zh-CN"/>
                <w14:textFill>
                  <w14:solidFill>
                    <w14:schemeClr w14:val="tx1"/>
                  </w14:solidFill>
                </w14:textFill>
              </w:rPr>
              <w:t>预</w:t>
            </w:r>
            <w:r>
              <w:rPr>
                <w:rFonts w:hint="default" w:ascii="Times New Roman" w:hAnsi="Times New Roman" w:eastAsia="宋体" w:cs="Times New Roman"/>
                <w:color w:val="000000" w:themeColor="text1"/>
                <w:highlight w:val="none"/>
                <w14:textFill>
                  <w14:solidFill>
                    <w14:schemeClr w14:val="tx1"/>
                  </w14:solidFill>
                </w14:textFill>
              </w:rPr>
              <w:t>处理</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达到</w:t>
            </w:r>
            <w:r>
              <w:rPr>
                <w:rFonts w:hint="default" w:ascii="Times New Roman" w:hAnsi="Times New Roman" w:eastAsia="宋体" w:cs="Times New Roman"/>
                <w:color w:val="000000" w:themeColor="text1"/>
                <w:highlight w:val="none"/>
                <w:lang w:eastAsia="zh-CN"/>
                <w14:textFill>
                  <w14:solidFill>
                    <w14:schemeClr w14:val="tx1"/>
                  </w14:solidFill>
                </w14:textFill>
              </w:rPr>
              <w:t>园区污水处理厂接管水质</w:t>
            </w:r>
            <w:r>
              <w:rPr>
                <w:rFonts w:hint="default" w:ascii="Times New Roman" w:hAnsi="Times New Roman" w:eastAsia="宋体" w:cs="Times New Roman"/>
                <w:color w:val="000000" w:themeColor="text1"/>
                <w:highlight w:val="none"/>
                <w:lang w:val="en-US" w:eastAsia="zh-CN"/>
                <w14:textFill>
                  <w14:solidFill>
                    <w14:schemeClr w14:val="tx1"/>
                  </w14:solidFill>
                </w14:textFill>
              </w:rPr>
              <w:t>要求及广东省《水污染</w:t>
            </w:r>
            <w:r>
              <w:rPr>
                <w:rFonts w:hint="eastAsia" w:cs="Times New Roman"/>
                <w:color w:val="000000" w:themeColor="text1"/>
                <w:highlight w:val="none"/>
                <w:lang w:val="en-US" w:eastAsia="zh-CN"/>
                <w14:textFill>
                  <w14:solidFill>
                    <w14:schemeClr w14:val="tx1"/>
                  </w14:solidFill>
                </w14:textFill>
              </w:rPr>
              <w:t>物</w:t>
            </w:r>
            <w:r>
              <w:rPr>
                <w:rFonts w:hint="default" w:ascii="Times New Roman" w:hAnsi="Times New Roman" w:eastAsia="宋体" w:cs="Times New Roman"/>
                <w:color w:val="000000" w:themeColor="text1"/>
                <w:highlight w:val="none"/>
                <w:lang w:val="en-US" w:eastAsia="zh-CN"/>
                <w14:textFill>
                  <w14:solidFill>
                    <w14:schemeClr w14:val="tx1"/>
                  </w14:solidFill>
                </w14:textFill>
              </w:rPr>
              <w:t>排放限值》（DB44/26-2001）第二时段三级标准两者较严值要求</w:t>
            </w:r>
            <w:r>
              <w:rPr>
                <w:rFonts w:hint="default" w:ascii="Times New Roman" w:hAnsi="Times New Roman" w:eastAsia="宋体" w:cs="Times New Roman"/>
                <w:color w:val="000000" w:themeColor="text1"/>
                <w:highlight w:val="none"/>
                <w14:textFill>
                  <w14:solidFill>
                    <w14:schemeClr w14:val="tx1"/>
                  </w14:solidFill>
                </w14:textFill>
              </w:rPr>
              <w:t>后</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排入园区污水处理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w:t>
            </w:r>
            <w:r>
              <w:rPr>
                <w:rFonts w:hint="default" w:ascii="Times New Roman" w:hAnsi="Times New Roman" w:eastAsia="宋体" w:cs="Times New Roman"/>
                <w:color w:val="000000" w:themeColor="text1"/>
                <w:highlight w:val="none"/>
                <w14:textFill>
                  <w14:solidFill>
                    <w14:schemeClr w14:val="tx1"/>
                  </w14:solidFill>
                </w14:textFill>
              </w:rPr>
              <w:t>处理。园区</w:t>
            </w:r>
            <w:r>
              <w:rPr>
                <w:rFonts w:hint="default" w:ascii="Times New Roman" w:hAnsi="Times New Roman" w:eastAsia="宋体" w:cs="Times New Roman"/>
                <w:color w:val="000000" w:themeColor="text1"/>
                <w:highlight w:val="none"/>
                <w:lang w:eastAsia="zh-CN"/>
                <w14:textFill>
                  <w14:solidFill>
                    <w14:schemeClr w14:val="tx1"/>
                  </w14:solidFill>
                </w14:textFill>
              </w:rPr>
              <w:t>污水</w:t>
            </w:r>
            <w:r>
              <w:rPr>
                <w:rFonts w:hint="default" w:ascii="Times New Roman" w:hAnsi="Times New Roman" w:eastAsia="宋体" w:cs="Times New Roman"/>
                <w:color w:val="000000" w:themeColor="text1"/>
                <w:highlight w:val="none"/>
                <w14:textFill>
                  <w14:solidFill>
                    <w14:schemeClr w14:val="tx1"/>
                  </w14:solidFill>
                </w14:textFill>
              </w:rPr>
              <w:t>处理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w:t>
            </w:r>
            <w:r>
              <w:rPr>
                <w:rFonts w:hint="default" w:ascii="Times New Roman" w:hAnsi="Times New Roman" w:eastAsia="宋体" w:cs="Times New Roman"/>
                <w:color w:val="000000" w:themeColor="text1"/>
                <w:highlight w:val="none"/>
                <w14:textFill>
                  <w14:solidFill>
                    <w14:schemeClr w14:val="tx1"/>
                  </w14:solidFill>
                </w14:textFill>
              </w:rPr>
              <w:t>出水水质标准执行广东省《</w:t>
            </w:r>
            <w:r>
              <w:rPr>
                <w:rFonts w:hint="eastAsia" w:cs="Times New Roman"/>
                <w:color w:val="000000" w:themeColor="text1"/>
                <w:highlight w:val="none"/>
                <w:lang w:eastAsia="zh-CN"/>
                <w14:textFill>
                  <w14:solidFill>
                    <w14:schemeClr w14:val="tx1"/>
                  </w14:solidFill>
                </w14:textFill>
              </w:rPr>
              <w:t>水污染物排放限值</w:t>
            </w:r>
            <w:r>
              <w:rPr>
                <w:rFonts w:hint="default" w:ascii="Times New Roman" w:hAnsi="Times New Roman" w:eastAsia="宋体" w:cs="Times New Roman"/>
                <w:color w:val="000000" w:themeColor="text1"/>
                <w:highlight w:val="none"/>
                <w14:textFill>
                  <w14:solidFill>
                    <w14:schemeClr w14:val="tx1"/>
                  </w14:solidFill>
                </w14:textFill>
              </w:rPr>
              <w:t>》（DB44/26-2001）第二时段一级标准和《城镇污水处理厂污染物排放标准》（GB1891</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14:textFill>
                  <w14:solidFill>
                    <w14:schemeClr w14:val="tx1"/>
                  </w14:solidFill>
                </w14:textFill>
              </w:rPr>
              <w:t>-2002）</w:t>
            </w:r>
            <w:r>
              <w:rPr>
                <w:rFonts w:hint="eastAsia" w:cs="Times New Roman"/>
                <w:color w:val="000000" w:themeColor="text1"/>
                <w:highlight w:val="none"/>
                <w:lang w:eastAsia="zh-CN"/>
                <w14:textFill>
                  <w14:solidFill>
                    <w14:schemeClr w14:val="tx1"/>
                  </w14:solidFill>
                </w14:textFill>
              </w:rPr>
              <w:t>及其修改单一级A标准</w:t>
            </w:r>
            <w:r>
              <w:rPr>
                <w:rFonts w:hint="default" w:ascii="Times New Roman" w:hAnsi="Times New Roman" w:eastAsia="宋体" w:cs="Times New Roman"/>
                <w:color w:val="000000" w:themeColor="text1"/>
                <w:highlight w:val="none"/>
                <w14:textFill>
                  <w14:solidFill>
                    <w14:schemeClr w14:val="tx1"/>
                  </w14:solidFill>
                </w14:textFill>
              </w:rPr>
              <w:t>中严者。</w:t>
            </w:r>
            <w:r>
              <w:rPr>
                <w:rFonts w:hint="default" w:ascii="Times New Roman" w:hAnsi="Times New Roman" w:eastAsia="宋体" w:cs="Times New Roman"/>
                <w:color w:val="000000" w:themeColor="text1"/>
                <w:highlight w:val="none"/>
                <w:lang w:val="zh-CN"/>
                <w14:textFill>
                  <w14:solidFill>
                    <w14:schemeClr w14:val="tx1"/>
                  </w14:solidFill>
                </w14:textFill>
              </w:rPr>
              <w:t>相关排放标准情况</w:t>
            </w:r>
            <w:r>
              <w:rPr>
                <w:rFonts w:hint="default" w:ascii="Times New Roman" w:hAnsi="Times New Roman" w:eastAsia="宋体" w:cs="Times New Roman"/>
                <w:color w:val="000000" w:themeColor="text1"/>
                <w:highlight w:val="none"/>
                <w14:textFill>
                  <w14:solidFill>
                    <w14:schemeClr w14:val="tx1"/>
                  </w14:solidFill>
                </w14:textFill>
              </w:rPr>
              <w:t>见下表：</w:t>
            </w:r>
          </w:p>
          <w:p w14:paraId="77C3165E">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本</w:t>
            </w:r>
            <w:r>
              <w:rPr>
                <w:rFonts w:hint="eastAsia" w:cs="Times New Roman"/>
                <w:b/>
                <w:bCs/>
                <w:color w:val="000000" w:themeColor="text1"/>
                <w:sz w:val="21"/>
                <w:szCs w:val="21"/>
                <w:highlight w:val="none"/>
                <w:lang w:val="en-US" w:eastAsia="zh-CN"/>
                <w14:textFill>
                  <w14:solidFill>
                    <w14:schemeClr w14:val="tx1"/>
                  </w14:solidFill>
                </w14:textFill>
              </w:rPr>
              <w:t>项目废水排放标准</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mg/L，pH为无量纲</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698"/>
              <w:gridCol w:w="890"/>
              <w:gridCol w:w="889"/>
              <w:gridCol w:w="536"/>
              <w:gridCol w:w="675"/>
              <w:gridCol w:w="631"/>
              <w:gridCol w:w="833"/>
              <w:gridCol w:w="833"/>
            </w:tblGrid>
            <w:tr w14:paraId="0271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0344BA3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c>
                <w:tcPr>
                  <w:tcW w:w="444" w:type="pct"/>
                  <w:tcBorders>
                    <w:tl2br w:val="nil"/>
                    <w:tr2bl w:val="nil"/>
                  </w:tcBorders>
                  <w:noWrap/>
                  <w:tcMar>
                    <w:left w:w="0" w:type="dxa"/>
                    <w:right w:w="0" w:type="dxa"/>
                  </w:tcMar>
                  <w:vAlign w:val="center"/>
                </w:tcPr>
                <w:p w14:paraId="4AA547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pH</w:t>
                  </w:r>
                </w:p>
              </w:tc>
              <w:tc>
                <w:tcPr>
                  <w:tcW w:w="566" w:type="pct"/>
                  <w:tcBorders>
                    <w:tl2br w:val="nil"/>
                    <w:tr2bl w:val="nil"/>
                  </w:tcBorders>
                  <w:noWrap/>
                  <w:tcMar>
                    <w:left w:w="0" w:type="dxa"/>
                    <w:right w:w="0" w:type="dxa"/>
                  </w:tcMar>
                  <w:vAlign w:val="center"/>
                </w:tcPr>
                <w:p w14:paraId="6CBF56F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vertAlign w:val="subscript"/>
                      <w14:textFill>
                        <w14:solidFill>
                          <w14:schemeClr w14:val="tx1"/>
                        </w14:solidFill>
                      </w14:textFill>
                    </w:rPr>
                  </w:pPr>
                  <w:r>
                    <w:rPr>
                      <w:b/>
                      <w:bCs/>
                      <w:color w:val="000000" w:themeColor="text1"/>
                      <w:sz w:val="21"/>
                      <w:szCs w:val="21"/>
                      <w:highlight w:val="none"/>
                      <w14:textFill>
                        <w14:solidFill>
                          <w14:schemeClr w14:val="tx1"/>
                        </w14:solidFill>
                      </w14:textFill>
                    </w:rPr>
                    <w:t>COD</w:t>
                  </w:r>
                  <w:r>
                    <w:rPr>
                      <w:b/>
                      <w:bCs/>
                      <w:color w:val="000000" w:themeColor="text1"/>
                      <w:sz w:val="21"/>
                      <w:szCs w:val="21"/>
                      <w:highlight w:val="none"/>
                      <w:vertAlign w:val="subscript"/>
                      <w14:textFill>
                        <w14:solidFill>
                          <w14:schemeClr w14:val="tx1"/>
                        </w14:solidFill>
                      </w14:textFill>
                    </w:rPr>
                    <w:t>Cr</w:t>
                  </w:r>
                </w:p>
              </w:tc>
              <w:tc>
                <w:tcPr>
                  <w:tcW w:w="565" w:type="pct"/>
                  <w:tcBorders>
                    <w:tl2br w:val="nil"/>
                    <w:tr2bl w:val="nil"/>
                  </w:tcBorders>
                  <w:noWrap/>
                  <w:vAlign w:val="center"/>
                </w:tcPr>
                <w:p w14:paraId="34504B0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vertAlign w:val="subscript"/>
                      <w14:textFill>
                        <w14:solidFill>
                          <w14:schemeClr w14:val="tx1"/>
                        </w14:solidFill>
                      </w14:textFill>
                    </w:rPr>
                  </w:pPr>
                  <w:r>
                    <w:rPr>
                      <w:b/>
                      <w:bCs/>
                      <w:color w:val="000000" w:themeColor="text1"/>
                      <w:sz w:val="21"/>
                      <w:szCs w:val="21"/>
                      <w:highlight w:val="none"/>
                      <w14:textFill>
                        <w14:solidFill>
                          <w14:schemeClr w14:val="tx1"/>
                        </w14:solidFill>
                      </w14:textFill>
                    </w:rPr>
                    <w:t>BOD</w:t>
                  </w:r>
                  <w:r>
                    <w:rPr>
                      <w:b/>
                      <w:bCs/>
                      <w:color w:val="000000" w:themeColor="text1"/>
                      <w:sz w:val="21"/>
                      <w:szCs w:val="21"/>
                      <w:highlight w:val="none"/>
                      <w:vertAlign w:val="subscript"/>
                      <w14:textFill>
                        <w14:solidFill>
                          <w14:schemeClr w14:val="tx1"/>
                        </w14:solidFill>
                      </w14:textFill>
                    </w:rPr>
                    <w:t>5</w:t>
                  </w:r>
                </w:p>
              </w:tc>
              <w:tc>
                <w:tcPr>
                  <w:tcW w:w="341" w:type="pct"/>
                  <w:tcBorders>
                    <w:tl2br w:val="nil"/>
                    <w:tr2bl w:val="nil"/>
                  </w:tcBorders>
                  <w:noWrap/>
                  <w:vAlign w:val="center"/>
                </w:tcPr>
                <w:p w14:paraId="68DD79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SS</w:t>
                  </w:r>
                </w:p>
              </w:tc>
              <w:tc>
                <w:tcPr>
                  <w:tcW w:w="429" w:type="pct"/>
                  <w:tcBorders>
                    <w:tl2br w:val="nil"/>
                    <w:tr2bl w:val="nil"/>
                  </w:tcBorders>
                  <w:noWrap/>
                  <w:vAlign w:val="center"/>
                </w:tcPr>
                <w:p w14:paraId="2A7AB4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氨氮</w:t>
                  </w:r>
                </w:p>
              </w:tc>
              <w:tc>
                <w:tcPr>
                  <w:tcW w:w="401" w:type="pct"/>
                  <w:tcBorders>
                    <w:tl2br w:val="nil"/>
                    <w:tr2bl w:val="nil"/>
                  </w:tcBorders>
                  <w:noWrap/>
                  <w:vAlign w:val="center"/>
                </w:tcPr>
                <w:p w14:paraId="374DE3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TP</w:t>
                  </w:r>
                </w:p>
              </w:tc>
              <w:tc>
                <w:tcPr>
                  <w:tcW w:w="530" w:type="pct"/>
                  <w:tcBorders>
                    <w:tl2br w:val="nil"/>
                    <w:tr2bl w:val="nil"/>
                  </w:tcBorders>
                  <w:noWrap/>
                  <w:vAlign w:val="center"/>
                </w:tcPr>
                <w:p w14:paraId="4D63018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石油类</w:t>
                  </w:r>
                </w:p>
              </w:tc>
              <w:tc>
                <w:tcPr>
                  <w:tcW w:w="530" w:type="pct"/>
                  <w:tcBorders>
                    <w:tl2br w:val="nil"/>
                    <w:tr2bl w:val="nil"/>
                  </w:tcBorders>
                  <w:noWrap/>
                  <w:vAlign w:val="center"/>
                </w:tcPr>
                <w:p w14:paraId="4C09313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olor w:val="000000" w:themeColor="text1"/>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氟化物</w:t>
                  </w:r>
                </w:p>
              </w:tc>
            </w:tr>
            <w:tr w14:paraId="27A8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52D61541">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园区污水处理厂接管水质要求</w:t>
                  </w:r>
                </w:p>
              </w:tc>
              <w:tc>
                <w:tcPr>
                  <w:tcW w:w="444" w:type="pct"/>
                  <w:tcBorders>
                    <w:tl2br w:val="nil"/>
                    <w:tr2bl w:val="nil"/>
                  </w:tcBorders>
                  <w:noWrap/>
                  <w:tcMar>
                    <w:left w:w="0" w:type="dxa"/>
                    <w:right w:w="0" w:type="dxa"/>
                  </w:tcMar>
                  <w:vAlign w:val="center"/>
                </w:tcPr>
                <w:p w14:paraId="5A2D5E2F">
                  <w:pPr>
                    <w:keepNext w:val="0"/>
                    <w:keepLines w:val="0"/>
                    <w:pageBreakBefore w:val="0"/>
                    <w:widowControl w:val="0"/>
                    <w:kinsoku/>
                    <w:wordWrap/>
                    <w:overflowPunct/>
                    <w:topLinePunct w:val="0"/>
                    <w:autoSpaceDE/>
                    <w:autoSpaceDN/>
                    <w:bidi w:val="0"/>
                    <w:adjustRightInd/>
                    <w:spacing w:line="240" w:lineRule="auto"/>
                    <w:jc w:val="center"/>
                    <w:textAlignment w:val="auto"/>
                    <w:rPr>
                      <w:b/>
                      <w:bCs/>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549E41C3">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5</w:t>
                  </w:r>
                  <w:r>
                    <w:rPr>
                      <w:color w:val="000000" w:themeColor="text1"/>
                      <w:sz w:val="21"/>
                      <w:szCs w:val="21"/>
                      <w:highlight w:val="none"/>
                      <w14:textFill>
                        <w14:solidFill>
                          <w14:schemeClr w14:val="tx1"/>
                        </w14:solidFill>
                      </w14:textFill>
                    </w:rPr>
                    <w:t>0</w:t>
                  </w:r>
                </w:p>
              </w:tc>
              <w:tc>
                <w:tcPr>
                  <w:tcW w:w="565" w:type="pct"/>
                  <w:tcBorders>
                    <w:tl2br w:val="nil"/>
                    <w:tr2bl w:val="nil"/>
                  </w:tcBorders>
                  <w:noWrap/>
                  <w:vAlign w:val="center"/>
                </w:tcPr>
                <w:p w14:paraId="12AEFF7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150</w:t>
                  </w:r>
                </w:p>
              </w:tc>
              <w:tc>
                <w:tcPr>
                  <w:tcW w:w="341" w:type="pct"/>
                  <w:tcBorders>
                    <w:tl2br w:val="nil"/>
                    <w:tr2bl w:val="nil"/>
                  </w:tcBorders>
                  <w:noWrap/>
                  <w:vAlign w:val="center"/>
                </w:tcPr>
                <w:p w14:paraId="376A9F2D">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w:t>
                  </w:r>
                </w:p>
              </w:tc>
              <w:tc>
                <w:tcPr>
                  <w:tcW w:w="429" w:type="pct"/>
                  <w:tcBorders>
                    <w:tl2br w:val="nil"/>
                    <w:tr2bl w:val="nil"/>
                  </w:tcBorders>
                  <w:noWrap/>
                  <w:vAlign w:val="center"/>
                </w:tcPr>
                <w:p w14:paraId="05C8719D">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w:t>
                  </w:r>
                </w:p>
              </w:tc>
              <w:tc>
                <w:tcPr>
                  <w:tcW w:w="401" w:type="pct"/>
                  <w:tcBorders>
                    <w:tl2br w:val="nil"/>
                    <w:tr2bl w:val="nil"/>
                  </w:tcBorders>
                  <w:noWrap/>
                  <w:vAlign w:val="center"/>
                </w:tcPr>
                <w:p w14:paraId="44DE6E2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w:t>
                  </w:r>
                </w:p>
              </w:tc>
              <w:tc>
                <w:tcPr>
                  <w:tcW w:w="530" w:type="pct"/>
                  <w:tcBorders>
                    <w:tl2br w:val="nil"/>
                    <w:tr2bl w:val="nil"/>
                  </w:tcBorders>
                  <w:noWrap/>
                  <w:vAlign w:val="center"/>
                </w:tcPr>
                <w:p w14:paraId="3DA209E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30" w:type="pct"/>
                  <w:tcBorders>
                    <w:tl2br w:val="nil"/>
                    <w:tr2bl w:val="nil"/>
                  </w:tcBorders>
                  <w:noWrap/>
                  <w:vAlign w:val="center"/>
                </w:tcPr>
                <w:p w14:paraId="2FAC09E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r>
            <w:tr w14:paraId="7302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191A2FC0">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DB44/26-2001第二时段三级标准</w:t>
                  </w:r>
                </w:p>
              </w:tc>
              <w:tc>
                <w:tcPr>
                  <w:tcW w:w="444" w:type="pct"/>
                  <w:tcBorders>
                    <w:tl2br w:val="nil"/>
                    <w:tr2bl w:val="nil"/>
                  </w:tcBorders>
                  <w:noWrap/>
                  <w:tcMar>
                    <w:left w:w="0" w:type="dxa"/>
                    <w:right w:w="0" w:type="dxa"/>
                  </w:tcMar>
                  <w:vAlign w:val="center"/>
                </w:tcPr>
                <w:p w14:paraId="530F3E5D">
                  <w:pPr>
                    <w:keepNext w:val="0"/>
                    <w:keepLines w:val="0"/>
                    <w:pageBreakBefore w:val="0"/>
                    <w:widowControl w:val="0"/>
                    <w:kinsoku/>
                    <w:wordWrap/>
                    <w:overflowPunct/>
                    <w:topLinePunct w:val="0"/>
                    <w:autoSpaceDE/>
                    <w:autoSpaceDN/>
                    <w:bidi w:val="0"/>
                    <w:adjustRightInd/>
                    <w:spacing w:line="240" w:lineRule="auto"/>
                    <w:jc w:val="center"/>
                    <w:textAlignment w:val="auto"/>
                    <w:rPr>
                      <w:b/>
                      <w:bCs/>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410A4464">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500</w:t>
                  </w:r>
                </w:p>
              </w:tc>
              <w:tc>
                <w:tcPr>
                  <w:tcW w:w="565" w:type="pct"/>
                  <w:tcBorders>
                    <w:tl2br w:val="nil"/>
                    <w:tr2bl w:val="nil"/>
                  </w:tcBorders>
                  <w:noWrap/>
                  <w:vAlign w:val="center"/>
                </w:tcPr>
                <w:p w14:paraId="619D7E9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300</w:t>
                  </w:r>
                </w:p>
              </w:tc>
              <w:tc>
                <w:tcPr>
                  <w:tcW w:w="341" w:type="pct"/>
                  <w:tcBorders>
                    <w:tl2br w:val="nil"/>
                    <w:tr2bl w:val="nil"/>
                  </w:tcBorders>
                  <w:noWrap/>
                  <w:vAlign w:val="center"/>
                </w:tcPr>
                <w:p w14:paraId="3E7A3575">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400</w:t>
                  </w:r>
                </w:p>
              </w:tc>
              <w:tc>
                <w:tcPr>
                  <w:tcW w:w="429" w:type="pct"/>
                  <w:tcBorders>
                    <w:tl2br w:val="nil"/>
                    <w:tr2bl w:val="nil"/>
                  </w:tcBorders>
                  <w:noWrap/>
                  <w:vAlign w:val="center"/>
                </w:tcPr>
                <w:p w14:paraId="509D19F9">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401" w:type="pct"/>
                  <w:tcBorders>
                    <w:tl2br w:val="nil"/>
                    <w:tr2bl w:val="nil"/>
                  </w:tcBorders>
                  <w:noWrap/>
                  <w:vAlign w:val="center"/>
                </w:tcPr>
                <w:p w14:paraId="017BCC5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30" w:type="pct"/>
                  <w:tcBorders>
                    <w:tl2br w:val="nil"/>
                    <w:tr2bl w:val="nil"/>
                  </w:tcBorders>
                  <w:noWrap/>
                  <w:vAlign w:val="center"/>
                </w:tcPr>
                <w:p w14:paraId="1E9A7B2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530" w:type="pct"/>
                  <w:tcBorders>
                    <w:tl2br w:val="nil"/>
                    <w:tr2bl w:val="nil"/>
                  </w:tcBorders>
                  <w:noWrap/>
                  <w:vAlign w:val="center"/>
                </w:tcPr>
                <w:p w14:paraId="53C08F3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r>
            <w:tr w14:paraId="56B2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90" w:type="pct"/>
                  <w:tcBorders>
                    <w:tl2br w:val="nil"/>
                    <w:tr2bl w:val="nil"/>
                  </w:tcBorders>
                  <w:noWrap/>
                  <w:tcMar>
                    <w:left w:w="0" w:type="dxa"/>
                    <w:right w:w="0" w:type="dxa"/>
                  </w:tcMar>
                  <w:vAlign w:val="center"/>
                </w:tcPr>
                <w:p w14:paraId="498EF2E2">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w:t>
                  </w:r>
                  <w:r>
                    <w:rPr>
                      <w:color w:val="000000" w:themeColor="text1"/>
                      <w:sz w:val="21"/>
                      <w:szCs w:val="21"/>
                      <w:highlight w:val="none"/>
                      <w14:textFill>
                        <w14:solidFill>
                          <w14:schemeClr w14:val="tx1"/>
                        </w14:solidFill>
                      </w14:textFill>
                    </w:rPr>
                    <w:t>执行限值</w:t>
                  </w:r>
                </w:p>
              </w:tc>
              <w:tc>
                <w:tcPr>
                  <w:tcW w:w="444" w:type="pct"/>
                  <w:tcBorders>
                    <w:tl2br w:val="nil"/>
                    <w:tr2bl w:val="nil"/>
                  </w:tcBorders>
                  <w:noWrap/>
                  <w:tcMar>
                    <w:left w:w="0" w:type="dxa"/>
                    <w:right w:w="0" w:type="dxa"/>
                  </w:tcMar>
                  <w:vAlign w:val="center"/>
                </w:tcPr>
                <w:p w14:paraId="1A51E4D4">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6-9</w:t>
                  </w:r>
                </w:p>
              </w:tc>
              <w:tc>
                <w:tcPr>
                  <w:tcW w:w="566" w:type="pct"/>
                  <w:tcBorders>
                    <w:tl2br w:val="nil"/>
                    <w:tr2bl w:val="nil"/>
                  </w:tcBorders>
                  <w:noWrap/>
                  <w:tcMar>
                    <w:left w:w="0" w:type="dxa"/>
                    <w:right w:w="0" w:type="dxa"/>
                  </w:tcMar>
                  <w:vAlign w:val="center"/>
                </w:tcPr>
                <w:p w14:paraId="7672AFE0">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sz w:val="21"/>
                      <w:szCs w:val="21"/>
                      <w:highlight w:val="none"/>
                      <w14:textFill>
                        <w14:solidFill>
                          <w14:schemeClr w14:val="tx1"/>
                        </w14:solidFill>
                      </w14:textFill>
                    </w:rPr>
                    <w:t>0</w:t>
                  </w:r>
                </w:p>
              </w:tc>
              <w:tc>
                <w:tcPr>
                  <w:tcW w:w="565" w:type="pct"/>
                  <w:tcBorders>
                    <w:tl2br w:val="nil"/>
                    <w:tr2bl w:val="nil"/>
                  </w:tcBorders>
                  <w:noWrap/>
                  <w:vAlign w:val="center"/>
                </w:tcPr>
                <w:p w14:paraId="39B9F25F">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150</w:t>
                  </w:r>
                </w:p>
              </w:tc>
              <w:tc>
                <w:tcPr>
                  <w:tcW w:w="341" w:type="pct"/>
                  <w:tcBorders>
                    <w:tl2br w:val="nil"/>
                    <w:tr2bl w:val="nil"/>
                  </w:tcBorders>
                  <w:noWrap/>
                  <w:vAlign w:val="center"/>
                </w:tcPr>
                <w:p w14:paraId="3547123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w:t>
                  </w:r>
                </w:p>
              </w:tc>
              <w:tc>
                <w:tcPr>
                  <w:tcW w:w="429" w:type="pct"/>
                  <w:tcBorders>
                    <w:tl2br w:val="nil"/>
                    <w:tr2bl w:val="nil"/>
                  </w:tcBorders>
                  <w:noWrap/>
                  <w:vAlign w:val="center"/>
                </w:tcPr>
                <w:p w14:paraId="6FC39ADB">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40</w:t>
                  </w:r>
                </w:p>
              </w:tc>
              <w:tc>
                <w:tcPr>
                  <w:tcW w:w="401" w:type="pct"/>
                  <w:tcBorders>
                    <w:tl2br w:val="nil"/>
                    <w:tr2bl w:val="nil"/>
                  </w:tcBorders>
                  <w:noWrap/>
                  <w:vAlign w:val="center"/>
                </w:tcPr>
                <w:p w14:paraId="336D4A2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w:t>
                  </w:r>
                </w:p>
              </w:tc>
              <w:tc>
                <w:tcPr>
                  <w:tcW w:w="530" w:type="pct"/>
                  <w:tcBorders>
                    <w:tl2br w:val="nil"/>
                    <w:tr2bl w:val="nil"/>
                  </w:tcBorders>
                  <w:noWrap/>
                  <w:vAlign w:val="center"/>
                </w:tcPr>
                <w:p w14:paraId="69E4620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530" w:type="pct"/>
                  <w:tcBorders>
                    <w:tl2br w:val="nil"/>
                    <w:tr2bl w:val="nil"/>
                  </w:tcBorders>
                  <w:noWrap/>
                  <w:vAlign w:val="center"/>
                </w:tcPr>
                <w:p w14:paraId="2E95053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r>
          </w:tbl>
          <w:p w14:paraId="2EB7AFDB">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园区污水处理厂水污染物排放限值（摘录）   mg/L</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pH为无量纲</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29"/>
              <w:gridCol w:w="525"/>
              <w:gridCol w:w="907"/>
              <w:gridCol w:w="740"/>
              <w:gridCol w:w="619"/>
              <w:gridCol w:w="525"/>
              <w:gridCol w:w="596"/>
              <w:gridCol w:w="596"/>
              <w:gridCol w:w="525"/>
              <w:gridCol w:w="619"/>
              <w:gridCol w:w="668"/>
            </w:tblGrid>
            <w:tr w14:paraId="74E2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973" w:type="pct"/>
                  <w:shd w:val="clear" w:color="auto" w:fill="auto"/>
                  <w:tcMar>
                    <w:top w:w="0" w:type="dxa"/>
                    <w:left w:w="0" w:type="dxa"/>
                    <w:bottom w:w="0" w:type="dxa"/>
                    <w:right w:w="0" w:type="dxa"/>
                  </w:tcMar>
                  <w:vAlign w:val="center"/>
                </w:tcPr>
                <w:p w14:paraId="66EC1A6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执行标准</w:t>
                  </w:r>
                </w:p>
              </w:tc>
              <w:tc>
                <w:tcPr>
                  <w:tcW w:w="334" w:type="pct"/>
                  <w:shd w:val="clear" w:color="auto" w:fill="auto"/>
                  <w:tcMar>
                    <w:top w:w="0" w:type="dxa"/>
                    <w:left w:w="0" w:type="dxa"/>
                    <w:bottom w:w="0" w:type="dxa"/>
                    <w:right w:w="0" w:type="dxa"/>
                  </w:tcMar>
                  <w:vAlign w:val="center"/>
                </w:tcPr>
                <w:p w14:paraId="1A92D68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pH</w:t>
                  </w:r>
                </w:p>
              </w:tc>
              <w:tc>
                <w:tcPr>
                  <w:tcW w:w="577" w:type="pct"/>
                  <w:shd w:val="clear" w:color="auto" w:fill="auto"/>
                  <w:tcMar>
                    <w:top w:w="0" w:type="dxa"/>
                    <w:left w:w="0" w:type="dxa"/>
                    <w:bottom w:w="0" w:type="dxa"/>
                    <w:right w:w="0" w:type="dxa"/>
                  </w:tcMar>
                  <w:vAlign w:val="center"/>
                </w:tcPr>
                <w:p w14:paraId="7F78AAE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COD</w:t>
                  </w:r>
                </w:p>
              </w:tc>
              <w:tc>
                <w:tcPr>
                  <w:tcW w:w="471" w:type="pct"/>
                  <w:shd w:val="clear" w:color="auto" w:fill="auto"/>
                  <w:tcMar>
                    <w:top w:w="0" w:type="dxa"/>
                    <w:left w:w="0" w:type="dxa"/>
                    <w:bottom w:w="0" w:type="dxa"/>
                    <w:right w:w="0" w:type="dxa"/>
                  </w:tcMar>
                  <w:vAlign w:val="center"/>
                </w:tcPr>
                <w:p w14:paraId="69BEA3B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5</w:t>
                  </w:r>
                </w:p>
              </w:tc>
              <w:tc>
                <w:tcPr>
                  <w:tcW w:w="394" w:type="pct"/>
                  <w:shd w:val="clear" w:color="auto" w:fill="auto"/>
                  <w:tcMar>
                    <w:top w:w="0" w:type="dxa"/>
                    <w:left w:w="0" w:type="dxa"/>
                    <w:bottom w:w="0" w:type="dxa"/>
                    <w:right w:w="0" w:type="dxa"/>
                  </w:tcMar>
                  <w:vAlign w:val="center"/>
                </w:tcPr>
                <w:p w14:paraId="167C715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SS</w:t>
                  </w:r>
                </w:p>
              </w:tc>
              <w:tc>
                <w:tcPr>
                  <w:tcW w:w="334" w:type="pct"/>
                  <w:shd w:val="clear" w:color="auto" w:fill="auto"/>
                  <w:tcMar>
                    <w:top w:w="0" w:type="dxa"/>
                    <w:left w:w="0" w:type="dxa"/>
                    <w:bottom w:w="0" w:type="dxa"/>
                    <w:right w:w="0" w:type="dxa"/>
                  </w:tcMar>
                  <w:vAlign w:val="center"/>
                </w:tcPr>
                <w:p w14:paraId="513E988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氨氮</w:t>
                  </w:r>
                </w:p>
              </w:tc>
              <w:tc>
                <w:tcPr>
                  <w:tcW w:w="379" w:type="pct"/>
                  <w:shd w:val="clear" w:color="auto" w:fill="auto"/>
                  <w:tcMar>
                    <w:top w:w="0" w:type="dxa"/>
                    <w:left w:w="0" w:type="dxa"/>
                    <w:bottom w:w="0" w:type="dxa"/>
                    <w:right w:w="0" w:type="dxa"/>
                  </w:tcMar>
                  <w:vAlign w:val="center"/>
                </w:tcPr>
                <w:p w14:paraId="0E64F21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总氮</w:t>
                  </w:r>
                </w:p>
              </w:tc>
              <w:tc>
                <w:tcPr>
                  <w:tcW w:w="379" w:type="pct"/>
                  <w:shd w:val="clear" w:color="auto" w:fill="auto"/>
                  <w:tcMar>
                    <w:top w:w="0" w:type="dxa"/>
                    <w:left w:w="0" w:type="dxa"/>
                    <w:bottom w:w="0" w:type="dxa"/>
                    <w:right w:w="0" w:type="dxa"/>
                  </w:tcMar>
                  <w:vAlign w:val="center"/>
                </w:tcPr>
                <w:p w14:paraId="31D66C0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TP</w:t>
                  </w:r>
                </w:p>
              </w:tc>
              <w:tc>
                <w:tcPr>
                  <w:tcW w:w="334" w:type="pct"/>
                  <w:shd w:val="clear" w:color="auto" w:fill="auto"/>
                  <w:tcMar>
                    <w:top w:w="0" w:type="dxa"/>
                    <w:left w:w="0" w:type="dxa"/>
                    <w:bottom w:w="0" w:type="dxa"/>
                    <w:right w:w="0" w:type="dxa"/>
                  </w:tcMar>
                  <w:vAlign w:val="center"/>
                </w:tcPr>
                <w:p w14:paraId="2A9016F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石油类</w:t>
                  </w:r>
                </w:p>
              </w:tc>
              <w:tc>
                <w:tcPr>
                  <w:tcW w:w="394" w:type="pct"/>
                  <w:shd w:val="clear" w:color="auto" w:fill="auto"/>
                  <w:tcMar>
                    <w:top w:w="0" w:type="dxa"/>
                    <w:left w:w="0" w:type="dxa"/>
                    <w:bottom w:w="0" w:type="dxa"/>
                    <w:right w:w="0" w:type="dxa"/>
                  </w:tcMar>
                  <w:vAlign w:val="center"/>
                </w:tcPr>
                <w:p w14:paraId="0591145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铜</w:t>
                  </w:r>
                </w:p>
              </w:tc>
              <w:tc>
                <w:tcPr>
                  <w:tcW w:w="425" w:type="pct"/>
                  <w:shd w:val="clear" w:color="auto" w:fill="auto"/>
                  <w:tcMar>
                    <w:top w:w="0" w:type="dxa"/>
                    <w:left w:w="0" w:type="dxa"/>
                    <w:bottom w:w="0" w:type="dxa"/>
                    <w:right w:w="0" w:type="dxa"/>
                  </w:tcMar>
                  <w:vAlign w:val="center"/>
                </w:tcPr>
                <w:p w14:paraId="44F0CE1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锌</w:t>
                  </w:r>
                </w:p>
              </w:tc>
            </w:tr>
            <w:tr w14:paraId="2F4C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73" w:type="pct"/>
                  <w:shd w:val="clear" w:color="auto" w:fill="auto"/>
                  <w:tcMar>
                    <w:top w:w="0" w:type="dxa"/>
                    <w:left w:w="0" w:type="dxa"/>
                    <w:bottom w:w="0" w:type="dxa"/>
                    <w:right w:w="0" w:type="dxa"/>
                  </w:tcMar>
                  <w:vAlign w:val="center"/>
                </w:tcPr>
                <w:p w14:paraId="6003FCF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GB18918-2002 及其修改单一级A标准</w:t>
                  </w:r>
                </w:p>
              </w:tc>
              <w:tc>
                <w:tcPr>
                  <w:tcW w:w="334" w:type="pct"/>
                  <w:shd w:val="clear" w:color="auto" w:fill="auto"/>
                  <w:tcMar>
                    <w:top w:w="0" w:type="dxa"/>
                    <w:left w:w="0" w:type="dxa"/>
                    <w:bottom w:w="0" w:type="dxa"/>
                    <w:right w:w="0" w:type="dxa"/>
                  </w:tcMar>
                  <w:vAlign w:val="center"/>
                </w:tcPr>
                <w:p w14:paraId="19F483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199755B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71" w:type="pct"/>
                  <w:shd w:val="clear" w:color="auto" w:fill="auto"/>
                  <w:tcMar>
                    <w:top w:w="0" w:type="dxa"/>
                    <w:left w:w="0" w:type="dxa"/>
                    <w:bottom w:w="0" w:type="dxa"/>
                    <w:right w:w="0" w:type="dxa"/>
                  </w:tcMar>
                  <w:vAlign w:val="center"/>
                </w:tcPr>
                <w:p w14:paraId="55C94D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94" w:type="pct"/>
                  <w:shd w:val="clear" w:color="auto" w:fill="auto"/>
                  <w:tcMar>
                    <w:top w:w="0" w:type="dxa"/>
                    <w:left w:w="0" w:type="dxa"/>
                    <w:bottom w:w="0" w:type="dxa"/>
                    <w:right w:w="0" w:type="dxa"/>
                  </w:tcMar>
                  <w:vAlign w:val="center"/>
                </w:tcPr>
                <w:p w14:paraId="32586B4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34" w:type="pct"/>
                  <w:shd w:val="clear" w:color="auto" w:fill="auto"/>
                  <w:tcMar>
                    <w:top w:w="0" w:type="dxa"/>
                    <w:left w:w="0" w:type="dxa"/>
                    <w:bottom w:w="0" w:type="dxa"/>
                    <w:right w:w="0" w:type="dxa"/>
                  </w:tcMar>
                  <w:vAlign w:val="center"/>
                </w:tcPr>
                <w:p w14:paraId="5C950C9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9" w:type="pct"/>
                  <w:shd w:val="clear" w:color="auto" w:fill="auto"/>
                  <w:tcMar>
                    <w:top w:w="0" w:type="dxa"/>
                    <w:left w:w="0" w:type="dxa"/>
                    <w:bottom w:w="0" w:type="dxa"/>
                    <w:right w:w="0" w:type="dxa"/>
                  </w:tcMar>
                  <w:vAlign w:val="center"/>
                </w:tcPr>
                <w:p w14:paraId="15FE91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79" w:type="pct"/>
                  <w:shd w:val="clear" w:color="auto" w:fill="auto"/>
                  <w:tcMar>
                    <w:top w:w="0" w:type="dxa"/>
                    <w:left w:w="0" w:type="dxa"/>
                    <w:bottom w:w="0" w:type="dxa"/>
                    <w:right w:w="0" w:type="dxa"/>
                  </w:tcMar>
                  <w:vAlign w:val="center"/>
                </w:tcPr>
                <w:p w14:paraId="35652D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0E5357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94" w:type="pct"/>
                  <w:shd w:val="clear" w:color="auto" w:fill="auto"/>
                  <w:tcMar>
                    <w:top w:w="0" w:type="dxa"/>
                    <w:left w:w="0" w:type="dxa"/>
                    <w:bottom w:w="0" w:type="dxa"/>
                    <w:right w:w="0" w:type="dxa"/>
                  </w:tcMar>
                  <w:vAlign w:val="center"/>
                </w:tcPr>
                <w:p w14:paraId="77D002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07AFB94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E49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973" w:type="pct"/>
                  <w:shd w:val="clear" w:color="auto" w:fill="auto"/>
                  <w:tcMar>
                    <w:top w:w="0" w:type="dxa"/>
                    <w:left w:w="0" w:type="dxa"/>
                    <w:bottom w:w="0" w:type="dxa"/>
                    <w:right w:w="0" w:type="dxa"/>
                  </w:tcMar>
                  <w:vAlign w:val="center"/>
                </w:tcPr>
                <w:p w14:paraId="777CE6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DB44/26-2001 </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第二时段一级标准</w:t>
                  </w:r>
                </w:p>
              </w:tc>
              <w:tc>
                <w:tcPr>
                  <w:tcW w:w="334" w:type="pct"/>
                  <w:shd w:val="clear" w:color="auto" w:fill="auto"/>
                  <w:tcMar>
                    <w:top w:w="0" w:type="dxa"/>
                    <w:left w:w="0" w:type="dxa"/>
                    <w:bottom w:w="0" w:type="dxa"/>
                    <w:right w:w="0" w:type="dxa"/>
                  </w:tcMar>
                  <w:vAlign w:val="center"/>
                </w:tcPr>
                <w:p w14:paraId="3F8F40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62DB629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71" w:type="pct"/>
                  <w:shd w:val="clear" w:color="auto" w:fill="auto"/>
                  <w:tcMar>
                    <w:top w:w="0" w:type="dxa"/>
                    <w:left w:w="0" w:type="dxa"/>
                    <w:bottom w:w="0" w:type="dxa"/>
                    <w:right w:w="0" w:type="dxa"/>
                  </w:tcMar>
                  <w:vAlign w:val="center"/>
                </w:tcPr>
                <w:p w14:paraId="100769E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94" w:type="pct"/>
                  <w:shd w:val="clear" w:color="auto" w:fill="auto"/>
                  <w:tcMar>
                    <w:top w:w="0" w:type="dxa"/>
                    <w:left w:w="0" w:type="dxa"/>
                    <w:bottom w:w="0" w:type="dxa"/>
                    <w:right w:w="0" w:type="dxa"/>
                  </w:tcMar>
                  <w:vAlign w:val="center"/>
                </w:tcPr>
                <w:p w14:paraId="6A6F98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34" w:type="pct"/>
                  <w:shd w:val="clear" w:color="auto" w:fill="auto"/>
                  <w:tcMar>
                    <w:top w:w="0" w:type="dxa"/>
                    <w:left w:w="0" w:type="dxa"/>
                    <w:bottom w:w="0" w:type="dxa"/>
                    <w:right w:w="0" w:type="dxa"/>
                  </w:tcMar>
                  <w:vAlign w:val="center"/>
                </w:tcPr>
                <w:p w14:paraId="6446688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79" w:type="pct"/>
                  <w:shd w:val="clear" w:color="auto" w:fill="auto"/>
                  <w:tcMar>
                    <w:top w:w="0" w:type="dxa"/>
                    <w:left w:w="0" w:type="dxa"/>
                    <w:bottom w:w="0" w:type="dxa"/>
                    <w:right w:w="0" w:type="dxa"/>
                  </w:tcMar>
                  <w:vAlign w:val="center"/>
                </w:tcPr>
                <w:p w14:paraId="3F0E08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79" w:type="pct"/>
                  <w:shd w:val="clear" w:color="auto" w:fill="auto"/>
                  <w:tcMar>
                    <w:top w:w="0" w:type="dxa"/>
                    <w:left w:w="0" w:type="dxa"/>
                    <w:bottom w:w="0" w:type="dxa"/>
                    <w:right w:w="0" w:type="dxa"/>
                  </w:tcMar>
                  <w:vAlign w:val="center"/>
                </w:tcPr>
                <w:p w14:paraId="09AFE5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65A1F6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94" w:type="pct"/>
                  <w:shd w:val="clear" w:color="auto" w:fill="auto"/>
                  <w:tcMar>
                    <w:top w:w="0" w:type="dxa"/>
                    <w:left w:w="0" w:type="dxa"/>
                    <w:bottom w:w="0" w:type="dxa"/>
                    <w:right w:w="0" w:type="dxa"/>
                  </w:tcMar>
                  <w:vAlign w:val="center"/>
                </w:tcPr>
                <w:p w14:paraId="2729C1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200FCE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r>
            <w:tr w14:paraId="4126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73" w:type="pct"/>
                  <w:shd w:val="clear" w:color="auto" w:fill="auto"/>
                  <w:tcMar>
                    <w:top w:w="0" w:type="dxa"/>
                    <w:left w:w="0" w:type="dxa"/>
                    <w:bottom w:w="0" w:type="dxa"/>
                    <w:right w:w="0" w:type="dxa"/>
                  </w:tcMar>
                  <w:vAlign w:val="center"/>
                </w:tcPr>
                <w:p w14:paraId="4DDAE2C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污水厂执行（两标准较严者）</w:t>
                  </w:r>
                </w:p>
              </w:tc>
              <w:tc>
                <w:tcPr>
                  <w:tcW w:w="334" w:type="pct"/>
                  <w:shd w:val="clear" w:color="auto" w:fill="auto"/>
                  <w:tcMar>
                    <w:top w:w="0" w:type="dxa"/>
                    <w:left w:w="0" w:type="dxa"/>
                    <w:bottom w:w="0" w:type="dxa"/>
                    <w:right w:w="0" w:type="dxa"/>
                  </w:tcMar>
                  <w:vAlign w:val="center"/>
                </w:tcPr>
                <w:p w14:paraId="4CA48A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77" w:type="pct"/>
                  <w:shd w:val="clear" w:color="auto" w:fill="auto"/>
                  <w:tcMar>
                    <w:top w:w="0" w:type="dxa"/>
                    <w:left w:w="0" w:type="dxa"/>
                    <w:bottom w:w="0" w:type="dxa"/>
                    <w:right w:w="0" w:type="dxa"/>
                  </w:tcMar>
                  <w:vAlign w:val="center"/>
                </w:tcPr>
                <w:p w14:paraId="65E87E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71" w:type="pct"/>
                  <w:shd w:val="clear" w:color="auto" w:fill="auto"/>
                  <w:tcMar>
                    <w:top w:w="0" w:type="dxa"/>
                    <w:left w:w="0" w:type="dxa"/>
                    <w:bottom w:w="0" w:type="dxa"/>
                    <w:right w:w="0" w:type="dxa"/>
                  </w:tcMar>
                  <w:vAlign w:val="center"/>
                </w:tcPr>
                <w:p w14:paraId="3C4B67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94" w:type="pct"/>
                  <w:shd w:val="clear" w:color="auto" w:fill="auto"/>
                  <w:tcMar>
                    <w:top w:w="0" w:type="dxa"/>
                    <w:left w:w="0" w:type="dxa"/>
                    <w:bottom w:w="0" w:type="dxa"/>
                    <w:right w:w="0" w:type="dxa"/>
                  </w:tcMar>
                  <w:vAlign w:val="center"/>
                </w:tcPr>
                <w:p w14:paraId="18FF1CC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34" w:type="pct"/>
                  <w:shd w:val="clear" w:color="auto" w:fill="auto"/>
                  <w:tcMar>
                    <w:top w:w="0" w:type="dxa"/>
                    <w:left w:w="0" w:type="dxa"/>
                    <w:bottom w:w="0" w:type="dxa"/>
                    <w:right w:w="0" w:type="dxa"/>
                  </w:tcMar>
                  <w:vAlign w:val="center"/>
                </w:tcPr>
                <w:p w14:paraId="2359F5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9" w:type="pct"/>
                  <w:shd w:val="clear" w:color="auto" w:fill="auto"/>
                  <w:tcMar>
                    <w:top w:w="0" w:type="dxa"/>
                    <w:left w:w="0" w:type="dxa"/>
                    <w:bottom w:w="0" w:type="dxa"/>
                    <w:right w:w="0" w:type="dxa"/>
                  </w:tcMar>
                  <w:vAlign w:val="center"/>
                </w:tcPr>
                <w:p w14:paraId="1AFCF9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79" w:type="pct"/>
                  <w:shd w:val="clear" w:color="auto" w:fill="auto"/>
                  <w:tcMar>
                    <w:top w:w="0" w:type="dxa"/>
                    <w:left w:w="0" w:type="dxa"/>
                    <w:bottom w:w="0" w:type="dxa"/>
                    <w:right w:w="0" w:type="dxa"/>
                  </w:tcMar>
                  <w:vAlign w:val="center"/>
                </w:tcPr>
                <w:p w14:paraId="2EEF9F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334" w:type="pct"/>
                  <w:shd w:val="clear" w:color="auto" w:fill="auto"/>
                  <w:tcMar>
                    <w:top w:w="0" w:type="dxa"/>
                    <w:left w:w="0" w:type="dxa"/>
                    <w:bottom w:w="0" w:type="dxa"/>
                    <w:right w:w="0" w:type="dxa"/>
                  </w:tcMar>
                  <w:vAlign w:val="center"/>
                </w:tcPr>
                <w:p w14:paraId="6ADFF4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94" w:type="pct"/>
                  <w:shd w:val="clear" w:color="auto" w:fill="auto"/>
                  <w:tcMar>
                    <w:top w:w="0" w:type="dxa"/>
                    <w:left w:w="0" w:type="dxa"/>
                    <w:bottom w:w="0" w:type="dxa"/>
                    <w:right w:w="0" w:type="dxa"/>
                  </w:tcMar>
                  <w:vAlign w:val="center"/>
                </w:tcPr>
                <w:p w14:paraId="569100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25" w:type="pct"/>
                  <w:shd w:val="clear" w:color="auto" w:fill="auto"/>
                  <w:tcMar>
                    <w:top w:w="0" w:type="dxa"/>
                    <w:left w:w="0" w:type="dxa"/>
                    <w:bottom w:w="0" w:type="dxa"/>
                    <w:right w:w="0" w:type="dxa"/>
                  </w:tcMar>
                  <w:vAlign w:val="center"/>
                </w:tcPr>
                <w:p w14:paraId="479C660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bl>
          <w:p w14:paraId="667CA327">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三、噪声排放标准</w:t>
            </w:r>
          </w:p>
          <w:p w14:paraId="3050D0E3">
            <w:pPr>
              <w:wordWrap w:val="0"/>
              <w:ind w:firstLine="480" w:firstLineChars="200"/>
              <w:jc w:val="left"/>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运营期</w:t>
            </w:r>
          </w:p>
          <w:p w14:paraId="06779280">
            <w:pPr>
              <w:wordWrap w:val="0"/>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本项目噪声排放执行《工业企业厂界环境噪声排放标准》（GB12348-2008）3类标准。</w:t>
            </w:r>
          </w:p>
          <w:p w14:paraId="56B03495">
            <w:pPr>
              <w:widowControl w:val="0"/>
              <w:numPr>
                <w:ilvl w:val="0"/>
                <w:numId w:val="9"/>
              </w:numPr>
              <w:wordWrap w:val="0"/>
              <w:adjustRightInd w:val="0"/>
              <w:spacing w:before="0" w:after="0" w:line="240" w:lineRule="auto"/>
              <w:ind w:left="0" w:leftChars="0" w:right="0" w:firstLine="4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工业</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企业厂界环境噪声排放标准</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62"/>
              <w:gridCol w:w="1962"/>
              <w:gridCol w:w="1962"/>
              <w:gridCol w:w="1966"/>
            </w:tblGrid>
            <w:tr w14:paraId="74FC9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64D5FB0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w:t>
                  </w:r>
                </w:p>
              </w:tc>
              <w:tc>
                <w:tcPr>
                  <w:tcW w:w="1249" w:type="pct"/>
                  <w:tcBorders>
                    <w:right w:val="single" w:color="auto" w:sz="4" w:space="0"/>
                  </w:tcBorders>
                  <w:noWrap/>
                  <w:vAlign w:val="center"/>
                </w:tcPr>
                <w:p w14:paraId="106B88C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昼间</w:t>
                  </w:r>
                </w:p>
              </w:tc>
              <w:tc>
                <w:tcPr>
                  <w:tcW w:w="1249" w:type="pct"/>
                  <w:tcBorders>
                    <w:left w:val="single" w:color="auto" w:sz="4" w:space="0"/>
                  </w:tcBorders>
                  <w:noWrap/>
                  <w:vAlign w:val="center"/>
                </w:tcPr>
                <w:p w14:paraId="1B567CA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夜间</w:t>
                  </w:r>
                </w:p>
              </w:tc>
              <w:tc>
                <w:tcPr>
                  <w:tcW w:w="1251" w:type="pct"/>
                  <w:tcBorders>
                    <w:left w:val="single" w:color="auto" w:sz="4" w:space="0"/>
                  </w:tcBorders>
                  <w:noWrap/>
                  <w:vAlign w:val="center"/>
                </w:tcPr>
                <w:p w14:paraId="3EE6CB2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单位</w:t>
                  </w:r>
                </w:p>
              </w:tc>
            </w:tr>
            <w:tr w14:paraId="66C40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0B1DB7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厂界噪声</w:t>
                  </w:r>
                </w:p>
              </w:tc>
              <w:tc>
                <w:tcPr>
                  <w:tcW w:w="1249" w:type="pct"/>
                  <w:noWrap/>
                  <w:vAlign w:val="center"/>
                </w:tcPr>
                <w:p w14:paraId="65797D0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65</w:t>
                  </w:r>
                </w:p>
              </w:tc>
              <w:tc>
                <w:tcPr>
                  <w:tcW w:w="1249" w:type="pct"/>
                  <w:noWrap/>
                  <w:vAlign w:val="center"/>
                </w:tcPr>
                <w:p w14:paraId="1D2AED0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55</w:t>
                  </w:r>
                </w:p>
              </w:tc>
              <w:tc>
                <w:tcPr>
                  <w:tcW w:w="1251" w:type="pct"/>
                  <w:noWrap/>
                  <w:vAlign w:val="center"/>
                </w:tcPr>
                <w:p w14:paraId="5A13CD4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dB（A）</w:t>
                  </w:r>
                </w:p>
              </w:tc>
            </w:tr>
          </w:tbl>
          <w:p w14:paraId="7DBE82F3">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四、固体废物污染控制标准</w:t>
            </w:r>
          </w:p>
          <w:p w14:paraId="10F86E50">
            <w:pPr>
              <w:keepNext w:val="0"/>
              <w:keepLines w:val="0"/>
              <w:pageBreakBefore w:val="0"/>
              <w:widowControl/>
              <w:suppressLineNumbers w:val="0"/>
              <w:kinsoku/>
              <w:wordWrap/>
              <w:overflowPunct/>
              <w:topLinePunct w:val="0"/>
              <w:autoSpaceDE/>
              <w:autoSpaceDN/>
              <w:bidi w:val="0"/>
              <w:adjustRightInd/>
              <w:snapToGrid/>
              <w:ind w:firstLine="456"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pacing w:val="-6"/>
                <w:highlight w:val="none"/>
                <w14:textFill>
                  <w14:solidFill>
                    <w14:schemeClr w14:val="tx1"/>
                  </w14:solidFill>
                </w14:textFill>
              </w:rPr>
              <w:t>一般工业固体废物在厂内采用库房或包装工具贮存，贮存过程应满足相应防渗漏、防雨淋、防扬尘等环境保护要求；危险废物贮存过程执行《危险废物贮存污染控制标准》（GB18597-2023）</w:t>
            </w:r>
            <w:r>
              <w:rPr>
                <w:rFonts w:hint="default" w:ascii="Times New Roman" w:hAnsi="Times New Roman" w:eastAsia="宋体" w:cs="Times New Roman"/>
                <w:color w:val="000000" w:themeColor="text1"/>
                <w:spacing w:val="-6"/>
                <w:highlight w:val="none"/>
                <w:lang w:eastAsia="zh-CN"/>
                <w14:textFill>
                  <w14:solidFill>
                    <w14:schemeClr w14:val="tx1"/>
                  </w14:solidFill>
                </w14:textFill>
              </w:rPr>
              <w:t>和《危险废物收集贮存运输技术规范》（HJ 2025-2012）</w:t>
            </w:r>
            <w:r>
              <w:rPr>
                <w:rFonts w:hint="default" w:ascii="Times New Roman" w:hAnsi="Times New Roman" w:eastAsia="宋体" w:cs="Times New Roman"/>
                <w:color w:val="000000" w:themeColor="text1"/>
                <w:spacing w:val="-6"/>
                <w:highlight w:val="none"/>
                <w14:textFill>
                  <w14:solidFill>
                    <w14:schemeClr w14:val="tx1"/>
                  </w14:solidFill>
                </w14:textFill>
              </w:rPr>
              <w:t>。</w:t>
            </w:r>
          </w:p>
        </w:tc>
      </w:tr>
      <w:tr w14:paraId="6FEE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Align w:val="center"/>
          </w:tcPr>
          <w:p w14:paraId="0956FF19">
            <w:pPr>
              <w:keepNext/>
              <w:keepLines w:val="0"/>
              <w:pageBreakBefore w:val="0"/>
              <w:widowControl/>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83" w:name="_Toc4557"/>
            <w:bookmarkStart w:id="84" w:name="_Toc8863"/>
            <w:bookmarkStart w:id="85" w:name="_Toc18024"/>
            <w:bookmarkStart w:id="86" w:name="_Toc10891"/>
            <w:bookmarkStart w:id="87" w:name="_Toc8540"/>
            <w:bookmarkStart w:id="88" w:name="_Toc7590"/>
            <w:bookmarkStart w:id="89" w:name="_Toc9431"/>
            <w:bookmarkStart w:id="90" w:name="_Toc23450"/>
            <w:bookmarkStart w:id="91" w:name="_Toc31892"/>
            <w:bookmarkStart w:id="92" w:name="_Toc3077"/>
            <w:r>
              <w:rPr>
                <w:rFonts w:hint="default" w:ascii="Times New Roman" w:hAnsi="Times New Roman" w:cs="Times New Roman"/>
                <w:color w:val="000000" w:themeColor="text1"/>
                <w:highlight w:val="none"/>
                <w14:textFill>
                  <w14:solidFill>
                    <w14:schemeClr w14:val="tx1"/>
                  </w14:solidFill>
                </w14:textFill>
              </w:rPr>
              <w:t>总量控制指标</w:t>
            </w:r>
            <w:bookmarkEnd w:id="83"/>
            <w:bookmarkEnd w:id="84"/>
            <w:bookmarkEnd w:id="85"/>
            <w:bookmarkEnd w:id="86"/>
            <w:bookmarkEnd w:id="87"/>
            <w:bookmarkEnd w:id="88"/>
            <w:bookmarkEnd w:id="89"/>
            <w:bookmarkEnd w:id="90"/>
            <w:bookmarkEnd w:id="91"/>
            <w:bookmarkEnd w:id="92"/>
          </w:p>
        </w:tc>
        <w:tc>
          <w:tcPr>
            <w:tcW w:w="4737" w:type="pct"/>
          </w:tcPr>
          <w:p w14:paraId="34882F16">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一、水污染物排放总量控制指标</w:t>
            </w:r>
          </w:p>
          <w:p w14:paraId="641B7C18">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建设单位应根据本项目的废水和废气等污染物的排放量，向上级主管部门和环保部门申请各项目污染物排放总量控制指标。</w:t>
            </w:r>
          </w:p>
          <w:p w14:paraId="6FE9B005">
            <w:pPr>
              <w:pStyle w:val="91"/>
              <w:widowControl/>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（1）废水总量控制指标</w:t>
            </w:r>
          </w:p>
          <w:p w14:paraId="7F18053C">
            <w:pPr>
              <w:widowControl/>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无</w:t>
            </w:r>
            <w:r>
              <w:rPr>
                <w:rFonts w:hint="default" w:ascii="Times New Roman" w:hAnsi="Times New Roman" w:cs="Times New Roman"/>
                <w:color w:val="000000" w:themeColor="text1"/>
                <w:highlight w:val="none"/>
                <w14:textFill>
                  <w14:solidFill>
                    <w14:schemeClr w14:val="tx1"/>
                  </w14:solidFill>
                </w14:textFill>
              </w:rPr>
              <w:t>生产废水排放量，生活污水排放量为</w:t>
            </w:r>
            <w:r>
              <w:rPr>
                <w:rFonts w:hint="eastAsia" w:cs="Times New Roman"/>
                <w:color w:val="000000" w:themeColor="text1"/>
                <w:highlight w:val="none"/>
                <w:lang w:val="en-US" w:eastAsia="zh-CN"/>
                <w14:textFill>
                  <w14:solidFill>
                    <w14:schemeClr w14:val="tx1"/>
                  </w14:solidFill>
                </w14:textFill>
              </w:rPr>
              <w:t>450</w:t>
            </w:r>
            <w:r>
              <w:rPr>
                <w:rFonts w:hint="default" w:ascii="Times New Roman" w:hAnsi="Times New Roman" w:cs="Times New Roman"/>
                <w:color w:val="000000" w:themeColor="text1"/>
                <w:highlight w:val="none"/>
                <w14:textFill>
                  <w14:solidFill>
                    <w14:schemeClr w14:val="tx1"/>
                  </w14:solidFill>
                </w14:textFill>
              </w:rPr>
              <w:t>t/a，</w:t>
            </w:r>
            <w:r>
              <w:rPr>
                <w:rFonts w:hint="eastAsia" w:cs="Times New Roman"/>
                <w:color w:val="000000" w:themeColor="text1"/>
                <w:highlight w:val="none"/>
                <w:lang w:val="en-US" w:eastAsia="zh-CN"/>
                <w14:textFill>
                  <w14:solidFill>
                    <w14:schemeClr w14:val="tx1"/>
                  </w14:solidFill>
                </w14:textFill>
              </w:rPr>
              <w:t>经三级化粪池</w:t>
            </w:r>
            <w:r>
              <w:rPr>
                <w:rFonts w:hint="default" w:ascii="Times New Roman" w:hAnsi="Times New Roman" w:cs="Times New Roman"/>
                <w:color w:val="000000" w:themeColor="text1"/>
                <w:highlight w:val="none"/>
                <w14:textFill>
                  <w14:solidFill>
                    <w14:schemeClr w14:val="tx1"/>
                  </w14:solidFill>
                </w14:textFill>
              </w:rPr>
              <w:t>预处理后</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排入园区污水处理厂进行处理，</w:t>
            </w:r>
            <w:r>
              <w:rPr>
                <w:rFonts w:hint="eastAsia" w:cs="Times New Roman"/>
                <w:color w:val="000000" w:themeColor="text1"/>
                <w:highlight w:val="none"/>
                <w:lang w:val="en-US" w:eastAsia="zh-CN"/>
                <w14:textFill>
                  <w14:solidFill>
                    <w14:schemeClr w14:val="tx1"/>
                  </w14:solidFill>
                </w14:textFill>
              </w:rPr>
              <w:t>对应</w:t>
            </w:r>
            <w:r>
              <w:rPr>
                <w:rFonts w:hint="default" w:ascii="Times New Roman" w:hAnsi="Times New Roman" w:cs="Times New Roman"/>
                <w:color w:val="000000" w:themeColor="text1"/>
                <w:kern w:val="0"/>
                <w:highlight w:val="none"/>
                <w14:textFill>
                  <w14:solidFill>
                    <w14:schemeClr w14:val="tx1"/>
                  </w14:solidFill>
                </w14:textFill>
              </w:rPr>
              <w:t>CODcr</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0.090</w:t>
            </w:r>
            <w:r>
              <w:rPr>
                <w:rFonts w:hint="default" w:ascii="Times New Roman" w:hAnsi="Times New Roman" w:cs="Times New Roman"/>
                <w:color w:val="000000" w:themeColor="text1"/>
                <w:kern w:val="0"/>
                <w:highlight w:val="none"/>
                <w:lang w:val="en-US" w:eastAsia="zh-CN"/>
                <w14:textFill>
                  <w14:solidFill>
                    <w14:schemeClr w14:val="tx1"/>
                  </w14:solidFill>
                </w14:textFill>
              </w:rPr>
              <w:t>t/a）</w:t>
            </w:r>
            <w:r>
              <w:rPr>
                <w:rFonts w:hint="default" w:ascii="Times New Roman" w:hAnsi="Times New Roman" w:cs="Times New Roman"/>
                <w:color w:val="000000" w:themeColor="text1"/>
                <w:kern w:val="0"/>
                <w:highlight w:val="none"/>
                <w14:textFill>
                  <w14:solidFill>
                    <w14:schemeClr w14:val="tx1"/>
                  </w14:solidFill>
                </w14:textFill>
              </w:rPr>
              <w:t>、NH</w:t>
            </w:r>
            <w:r>
              <w:rPr>
                <w:rFonts w:hint="default" w:ascii="Times New Roman" w:hAnsi="Times New Roman" w:cs="Times New Roman"/>
                <w:color w:val="000000" w:themeColor="text1"/>
                <w:kern w:val="0"/>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highlight w:val="none"/>
                <w:lang w:val="en-US" w:eastAsia="zh-CN"/>
                <w14:textFill>
                  <w14:solidFill>
                    <w14:schemeClr w14:val="tx1"/>
                  </w14:solidFill>
                </w14:textFill>
              </w:rPr>
              <w:t>-</w:t>
            </w:r>
            <w:r>
              <w:rPr>
                <w:rFonts w:hint="default" w:ascii="Times New Roman" w:hAnsi="Times New Roman" w:cs="Times New Roman"/>
                <w:color w:val="000000" w:themeColor="text1"/>
                <w:kern w:val="0"/>
                <w:highlight w:val="none"/>
                <w14:textFill>
                  <w14:solidFill>
                    <w14:schemeClr w14:val="tx1"/>
                  </w14:solidFill>
                </w14:textFill>
              </w:rPr>
              <w:t>N</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0.009</w:t>
            </w:r>
            <w:r>
              <w:rPr>
                <w:rFonts w:hint="default" w:ascii="Times New Roman" w:hAnsi="Times New Roman" w:cs="Times New Roman"/>
                <w:color w:val="000000" w:themeColor="text1"/>
                <w:kern w:val="0"/>
                <w:highlight w:val="none"/>
                <w:lang w:val="en-US" w:eastAsia="zh-CN"/>
                <w14:textFill>
                  <w14:solidFill>
                    <w14:schemeClr w14:val="tx1"/>
                  </w14:solidFill>
                </w14:textFill>
              </w:rPr>
              <w:t>t/a）</w:t>
            </w:r>
            <w:r>
              <w:rPr>
                <w:rFonts w:hint="default" w:ascii="Times New Roman" w:hAnsi="Times New Roman" w:cs="Times New Roman"/>
                <w:color w:val="000000" w:themeColor="text1"/>
                <w:kern w:val="0"/>
                <w:highlight w:val="none"/>
                <w14:textFill>
                  <w14:solidFill>
                    <w14:schemeClr w14:val="tx1"/>
                  </w14:solidFill>
                </w14:textFill>
              </w:rPr>
              <w:t>纳入园区污水处理厂的总量控制指标，不需再增加新的总量分配指标</w:t>
            </w:r>
            <w:r>
              <w:rPr>
                <w:rFonts w:hint="default" w:ascii="Times New Roman" w:hAnsi="Times New Roman" w:cs="Times New Roman"/>
                <w:color w:val="000000" w:themeColor="text1"/>
                <w:highlight w:val="none"/>
                <w14:textFill>
                  <w14:solidFill>
                    <w14:schemeClr w14:val="tx1"/>
                  </w14:solidFill>
                </w14:textFill>
              </w:rPr>
              <w:t>。</w:t>
            </w:r>
          </w:p>
          <w:p w14:paraId="32DAB59A">
            <w:pPr>
              <w:pStyle w:val="91"/>
              <w:widowControl/>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（2）废气总量控制指标</w:t>
            </w:r>
          </w:p>
          <w:p w14:paraId="3219ABCD">
            <w:pPr>
              <w:pStyle w:val="26"/>
              <w:spacing w:before="0" w:after="0" w:line="360" w:lineRule="auto"/>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废气量：</w:t>
            </w:r>
            <w:r>
              <w:rPr>
                <w:rFonts w:hint="eastAsia" w:cs="Times New Roman"/>
                <w:color w:val="000000" w:themeColor="text1"/>
                <w:sz w:val="24"/>
                <w:szCs w:val="24"/>
                <w:highlight w:val="none"/>
                <w:lang w:val="en-US" w:eastAsia="zh-CN"/>
                <w14:textFill>
                  <w14:solidFill>
                    <w14:schemeClr w14:val="tx1"/>
                  </w14:solidFill>
                </w14:textFill>
              </w:rPr>
              <w:t>5385.6万</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p>
          <w:p w14:paraId="431C2EF0">
            <w:pPr>
              <w:widowControl/>
              <w:ind w:firstLine="480" w:firstLineChars="200"/>
              <w:jc w:val="both"/>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kern w:val="0"/>
                <w:highlight w:val="none"/>
                <w14:textFill>
                  <w14:solidFill>
                    <w14:schemeClr w14:val="tx1"/>
                  </w14:solidFill>
                </w14:textFill>
              </w:rPr>
              <w:t>本项目建成后</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总排放量为</w:t>
            </w:r>
            <w:r>
              <w:rPr>
                <w:rFonts w:hint="eastAsia" w:cs="Times New Roman"/>
                <w:color w:val="000000" w:themeColor="text1"/>
                <w:kern w:val="0"/>
                <w:highlight w:val="none"/>
                <w:lang w:val="en-US" w:eastAsia="zh-CN"/>
                <w14:textFill>
                  <w14:solidFill>
                    <w14:schemeClr w14:val="tx1"/>
                  </w14:solidFill>
                </w14:textFill>
              </w:rPr>
              <w:t>0.094</w:t>
            </w:r>
            <w:r>
              <w:rPr>
                <w:rFonts w:hint="default" w:ascii="Times New Roman" w:hAnsi="Times New Roman" w:cs="Times New Roman"/>
                <w:color w:val="000000" w:themeColor="text1"/>
                <w:kern w:val="0"/>
                <w:highlight w:val="none"/>
                <w14:textFill>
                  <w14:solidFill>
                    <w14:schemeClr w14:val="tx1"/>
                  </w14:solidFill>
                </w14:textFill>
              </w:rPr>
              <w:t>t/a</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default" w:ascii="Times New Roman" w:hAnsi="Times New Roman" w:cs="Times New Roman"/>
                <w:color w:val="000000" w:themeColor="text1"/>
                <w:kern w:val="0"/>
                <w:highlight w:val="none"/>
                <w14:textFill>
                  <w14:solidFill>
                    <w14:schemeClr w14:val="tx1"/>
                  </w14:solidFill>
                </w14:textFill>
              </w:rPr>
              <w:t>其中</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有组织排放</w:t>
            </w:r>
            <w:r>
              <w:rPr>
                <w:rFonts w:hint="eastAsia" w:cs="Times New Roman"/>
                <w:color w:val="000000" w:themeColor="text1"/>
                <w:kern w:val="0"/>
                <w:highlight w:val="none"/>
                <w:lang w:val="en-US" w:eastAsia="zh-CN"/>
                <w14:textFill>
                  <w14:solidFill>
                    <w14:schemeClr w14:val="tx1"/>
                  </w14:solidFill>
                </w14:textFill>
              </w:rPr>
              <w:t>量</w:t>
            </w:r>
            <w:r>
              <w:rPr>
                <w:rFonts w:hint="default" w:ascii="Times New Roman" w:hAnsi="Times New Roman"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0.060</w:t>
            </w:r>
            <w:r>
              <w:rPr>
                <w:rFonts w:hint="default" w:ascii="Times New Roman" w:hAnsi="Times New Roman" w:cs="Times New Roman"/>
                <w:color w:val="000000" w:themeColor="text1"/>
                <w:kern w:val="0"/>
                <w:highlight w:val="none"/>
                <w14:textFill>
                  <w14:solidFill>
                    <w14:schemeClr w14:val="tx1"/>
                  </w14:solidFill>
                </w14:textFill>
              </w:rPr>
              <w:t>t/a，</w:t>
            </w:r>
            <w:r>
              <w:rPr>
                <w:rFonts w:hint="eastAsia" w:cs="Times New Roman"/>
                <w:color w:val="000000" w:themeColor="text1"/>
                <w:kern w:val="0"/>
                <w:highlight w:val="none"/>
                <w:lang w:val="en-US" w:eastAsia="zh-CN"/>
                <w14:textFill>
                  <w14:solidFill>
                    <w14:schemeClr w14:val="tx1"/>
                  </w14:solidFill>
                </w14:textFill>
              </w:rPr>
              <w:t>VOCs</w:t>
            </w:r>
            <w:r>
              <w:rPr>
                <w:rFonts w:hint="default" w:ascii="Times New Roman" w:hAnsi="Times New Roman" w:cs="Times New Roman"/>
                <w:color w:val="000000" w:themeColor="text1"/>
                <w:kern w:val="0"/>
                <w:highlight w:val="none"/>
                <w14:textFill>
                  <w14:solidFill>
                    <w14:schemeClr w14:val="tx1"/>
                  </w14:solidFill>
                </w14:textFill>
              </w:rPr>
              <w:t>无组织排放</w:t>
            </w:r>
            <w:r>
              <w:rPr>
                <w:rFonts w:hint="eastAsia" w:cs="Times New Roman"/>
                <w:color w:val="000000" w:themeColor="text1"/>
                <w:kern w:val="0"/>
                <w:highlight w:val="none"/>
                <w:lang w:val="en-US" w:eastAsia="zh-CN"/>
                <w14:textFill>
                  <w14:solidFill>
                    <w14:schemeClr w14:val="tx1"/>
                  </w14:solidFill>
                </w14:textFill>
              </w:rPr>
              <w:t>量</w:t>
            </w:r>
            <w:r>
              <w:rPr>
                <w:rFonts w:hint="default" w:ascii="Times New Roman" w:hAnsi="Times New Roman"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0.034</w:t>
            </w:r>
            <w:r>
              <w:rPr>
                <w:rFonts w:hint="default" w:ascii="Times New Roman" w:hAnsi="Times New Roman" w:cs="Times New Roman"/>
                <w:color w:val="000000" w:themeColor="text1"/>
                <w:kern w:val="0"/>
                <w:highlight w:val="none"/>
                <w14:textFill>
                  <w14:solidFill>
                    <w14:schemeClr w14:val="tx1"/>
                  </w14:solidFill>
                </w14:textFill>
              </w:rPr>
              <w:t>t/a</w:t>
            </w:r>
            <w:r>
              <w:rPr>
                <w:rFonts w:hint="default" w:ascii="Times New Roman" w:hAnsi="Times New Roman" w:cs="Times New Roman"/>
                <w:color w:val="000000" w:themeColor="text1"/>
                <w:kern w:val="0"/>
                <w:highlight w:val="none"/>
                <w:lang w:eastAsia="zh-CN"/>
                <w14:textFill>
                  <w14:solidFill>
                    <w14:schemeClr w14:val="tx1"/>
                  </w14:solidFill>
                </w14:textFill>
              </w:rPr>
              <w:t>）。</w:t>
            </w:r>
          </w:p>
          <w:p w14:paraId="4AB35B84">
            <w:pPr>
              <w:widowControl/>
              <w:ind w:firstLine="480" w:firstLineChars="200"/>
              <w:jc w:val="left"/>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highlight w:val="none"/>
                <w:lang w:val="en-US" w:eastAsia="zh-CN"/>
                <w14:textFill>
                  <w14:solidFill>
                    <w14:schemeClr w14:val="tx1"/>
                  </w14:solidFill>
                </w14:textFill>
              </w:rPr>
              <w:t>根据（环综合〔2024〕62 号）文，排放量小于0.1t/a的VOCs免于提交总量指标来源说明，由韶关市生态环境局乐昌分局统筹总量指标替代来源，并纳入台账管理。</w:t>
            </w:r>
          </w:p>
          <w:p w14:paraId="33E7BB52">
            <w:pPr>
              <w:widowControl w:val="0"/>
              <w:numPr>
                <w:ilvl w:val="0"/>
                <w:numId w:val="9"/>
              </w:numPr>
              <w:wordWrap w:val="0"/>
              <w:adjustRightInd w:val="0"/>
              <w:spacing w:before="0" w:after="0" w:line="240" w:lineRule="auto"/>
              <w:ind w:left="0" w:leftChars="0" w:right="0" w:firstLine="40" w:firstLineChars="0"/>
              <w:jc w:val="center"/>
              <w:rPr>
                <w:rFonts w:hint="eastAsia" w:ascii="Times New Roman" w:cs="Times New Roman"/>
                <w:b/>
                <w:bCs/>
                <w:color w:val="000000" w:themeColor="text1"/>
                <w:kern w:val="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污染物</w:t>
            </w:r>
            <w:r>
              <w:rPr>
                <w:rFonts w:hint="eastAsia" w:ascii="Times New Roman" w:cs="Times New Roman"/>
                <w:b/>
                <w:bCs/>
                <w:color w:val="000000" w:themeColor="text1"/>
                <w:kern w:val="0"/>
                <w:highlight w:val="none"/>
                <w:lang w:val="en-US" w:eastAsia="zh-CN"/>
                <w14:textFill>
                  <w14:solidFill>
                    <w14:schemeClr w14:val="tx1"/>
                  </w14:solidFill>
                </w14:textFill>
              </w:rPr>
              <w:t>总量控制指标一览表（单位：t/a）</w:t>
            </w:r>
          </w:p>
          <w:tbl>
            <w:tblPr>
              <w:tblStyle w:val="4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1"/>
              <w:gridCol w:w="3931"/>
            </w:tblGrid>
            <w:tr w14:paraId="047D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AE2E">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3CA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本项目排放量</w:t>
                  </w:r>
                </w:p>
              </w:tc>
            </w:tr>
            <w:tr w14:paraId="09C2F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FFB2">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VOCs</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999A">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w:t>
                  </w:r>
                  <w:r>
                    <w:rPr>
                      <w:rFonts w:hint="eastAsia" w:cs="Times New Roman"/>
                      <w:i w:val="0"/>
                      <w:iCs w:val="0"/>
                      <w:color w:val="000000" w:themeColor="text1"/>
                      <w:sz w:val="21"/>
                      <w:szCs w:val="21"/>
                      <w:u w:val="none"/>
                      <w:lang w:val="en-US" w:eastAsia="zh-CN"/>
                      <w14:textFill>
                        <w14:solidFill>
                          <w14:schemeClr w14:val="tx1"/>
                        </w14:solidFill>
                      </w14:textFill>
                    </w:rPr>
                    <w:t>094</w:t>
                  </w:r>
                </w:p>
              </w:tc>
            </w:tr>
            <w:tr w14:paraId="3FA2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054D">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COD</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A01B">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0.0</w:t>
                  </w:r>
                  <w:r>
                    <w:rPr>
                      <w:rFonts w:hint="eastAsia" w:cs="Times New Roman"/>
                      <w:i w:val="0"/>
                      <w:iCs w:val="0"/>
                      <w:color w:val="000000" w:themeColor="text1"/>
                      <w:sz w:val="21"/>
                      <w:szCs w:val="21"/>
                      <w:u w:val="none"/>
                      <w:lang w:val="en-US" w:eastAsia="zh-CN"/>
                      <w14:textFill>
                        <w14:solidFill>
                          <w14:schemeClr w14:val="tx1"/>
                        </w14:solidFill>
                      </w14:textFill>
                    </w:rPr>
                    <w:t>90</w:t>
                  </w:r>
                </w:p>
              </w:tc>
            </w:tr>
            <w:tr w14:paraId="101E9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D9BD">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氨氮</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B5B5">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0.00</w:t>
                  </w:r>
                  <w:r>
                    <w:rPr>
                      <w:rFonts w:hint="eastAsia" w:cs="Times New Roman"/>
                      <w:i w:val="0"/>
                      <w:iCs w:val="0"/>
                      <w:color w:val="000000" w:themeColor="text1"/>
                      <w:sz w:val="21"/>
                      <w:szCs w:val="21"/>
                      <w:u w:val="none"/>
                      <w:lang w:val="en-US" w:eastAsia="zh-CN"/>
                      <w14:textFill>
                        <w14:solidFill>
                          <w14:schemeClr w14:val="tx1"/>
                        </w14:solidFill>
                      </w14:textFill>
                    </w:rPr>
                    <w:t>9</w:t>
                  </w:r>
                </w:p>
              </w:tc>
            </w:tr>
          </w:tbl>
          <w:p w14:paraId="617DD663">
            <w:pPr>
              <w:pStyle w:val="10"/>
              <w:numPr>
                <w:ilvl w:val="2"/>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三、固体废物排放总量控制指标</w:t>
            </w:r>
          </w:p>
          <w:p w14:paraId="1E5C8FEE">
            <w:pPr>
              <w:pStyle w:val="10"/>
              <w:numPr>
                <w:ilvl w:val="2"/>
                <w:numId w:val="0"/>
              </w:numPr>
              <w:ind w:firstLine="480" w:firstLineChars="20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 xml:space="preserve">本项目固体废物不自行处理排放，不设置固体废物总量控制指标。 </w:t>
            </w:r>
          </w:p>
        </w:tc>
      </w:tr>
    </w:tbl>
    <w:p w14:paraId="605388A4">
      <w:pPr>
        <w:pStyle w:val="18"/>
        <w:rPr>
          <w:rFonts w:hint="default" w:ascii="Times New Roman" w:hAnsi="Times New Roman" w:cs="Times New Roman"/>
          <w:color w:val="000000" w:themeColor="text1"/>
          <w:highlight w:val="none"/>
          <w14:textFill>
            <w14:solidFill>
              <w14:schemeClr w14:val="tx1"/>
            </w14:solidFill>
          </w14:textFill>
        </w:rPr>
        <w:sectPr>
          <w:type w:val="continuous"/>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7DFA8BC1">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93" w:name="_Toc18310"/>
      <w:bookmarkStart w:id="94" w:name="_Toc9760"/>
      <w:bookmarkStart w:id="95" w:name="_Toc32008"/>
      <w:r>
        <w:rPr>
          <w:rFonts w:hint="default" w:ascii="Times New Roman" w:hAnsi="Times New Roman" w:cs="Times New Roman"/>
          <w:color w:val="000000" w:themeColor="text1"/>
          <w:highlight w:val="none"/>
          <w14:textFill>
            <w14:solidFill>
              <w14:schemeClr w14:val="tx1"/>
            </w14:solidFill>
          </w14:textFill>
        </w:rPr>
        <w:t>四、主要环境影响和保护措施</w:t>
      </w:r>
      <w:bookmarkEnd w:id="93"/>
      <w:bookmarkEnd w:id="94"/>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8046"/>
      </w:tblGrid>
      <w:tr w14:paraId="08D3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482" w:type="dxa"/>
            <w:vAlign w:val="center"/>
          </w:tcPr>
          <w:p w14:paraId="0AE3A5C5">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bookmarkStart w:id="96" w:name="_Toc25142"/>
            <w:bookmarkStart w:id="97" w:name="_Toc18588"/>
            <w:bookmarkStart w:id="98" w:name="_Toc30266"/>
            <w:bookmarkStart w:id="99" w:name="_Toc25331"/>
            <w:bookmarkStart w:id="100" w:name="_Toc22339"/>
            <w:bookmarkStart w:id="101" w:name="_Toc3227"/>
            <w:bookmarkStart w:id="102" w:name="_Toc7895"/>
            <w:r>
              <w:rPr>
                <w:rFonts w:hint="default" w:ascii="Times New Roman" w:hAnsi="Times New Roman" w:cs="Times New Roman"/>
                <w:color w:val="000000" w:themeColor="text1"/>
                <w:highlight w:val="none"/>
                <w14:textFill>
                  <w14:solidFill>
                    <w14:schemeClr w14:val="tx1"/>
                  </w14:solidFill>
                </w14:textFill>
              </w:rPr>
              <w:t>施工期环境保护措施</w:t>
            </w:r>
            <w:bookmarkEnd w:id="96"/>
            <w:bookmarkEnd w:id="97"/>
            <w:bookmarkEnd w:id="98"/>
            <w:bookmarkEnd w:id="99"/>
            <w:bookmarkEnd w:id="100"/>
            <w:bookmarkEnd w:id="101"/>
            <w:bookmarkEnd w:id="102"/>
          </w:p>
        </w:tc>
        <w:tc>
          <w:tcPr>
            <w:tcW w:w="8046" w:type="dxa"/>
            <w:vAlign w:val="center"/>
          </w:tcPr>
          <w:p w14:paraId="1354A10F">
            <w:pPr>
              <w:pStyle w:val="26"/>
              <w:ind w:firstLine="480"/>
              <w:rPr>
                <w:rFonts w:hint="default" w:ascii="Times New Roman" w:hAnsi="Times New Roman" w:cs="Times New Roman"/>
                <w:color w:val="000000" w:themeColor="text1"/>
                <w:highlight w:val="none"/>
                <w14:textFill>
                  <w14:solidFill>
                    <w14:schemeClr w14:val="tx1"/>
                  </w14:solidFill>
                </w14:textFill>
              </w:rPr>
            </w:pPr>
            <w:r>
              <w:rPr>
                <w:bCs/>
                <w:color w:val="000000" w:themeColor="text1"/>
                <w:highlight w:val="none"/>
                <w14:textFill>
                  <w14:solidFill>
                    <w14:schemeClr w14:val="tx1"/>
                  </w14:solidFill>
                </w14:textFill>
              </w:rPr>
              <w:t>本项目租赁已建成的工业厂房进行生产，</w:t>
            </w:r>
            <w:r>
              <w:rPr>
                <w:color w:val="000000" w:themeColor="text1"/>
                <w:kern w:val="0"/>
                <w:highlight w:val="none"/>
                <w14:textFill>
                  <w14:solidFill>
                    <w14:schemeClr w14:val="tx1"/>
                  </w14:solidFill>
                </w14:textFill>
              </w:rPr>
              <w:t>不涉及土建工程，</w:t>
            </w:r>
            <w:r>
              <w:rPr>
                <w:bCs/>
                <w:color w:val="000000" w:themeColor="text1"/>
                <w:highlight w:val="none"/>
                <w14:textFill>
                  <w14:solidFill>
                    <w14:schemeClr w14:val="tx1"/>
                  </w14:solidFill>
                </w14:textFill>
              </w:rPr>
              <w:t>厂房已完成装修和设备安装，施工期间产生的环境影响已基本消退，不再对施工期环境影响进行评价分析。</w:t>
            </w:r>
          </w:p>
        </w:tc>
      </w:tr>
    </w:tbl>
    <w:p w14:paraId="4034D3F6">
      <w:pPr>
        <w:rPr>
          <w:rFonts w:hint="default" w:ascii="Times New Roman" w:hAnsi="Times New Roman" w:eastAsia="宋体" w:cs="Times New Roman"/>
          <w:color w:val="000000" w:themeColor="text1"/>
          <w:highlight w:val="none"/>
          <w14:textFill>
            <w14:solidFill>
              <w14:schemeClr w14:val="tx1"/>
            </w14:solidFill>
          </w14:textFill>
        </w:rPr>
      </w:pPr>
    </w:p>
    <w:p w14:paraId="485DD568">
      <w:pP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3712"/>
      </w:tblGrid>
      <w:tr w14:paraId="63E2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4" w:hRule="atLeast"/>
        </w:trPr>
        <w:tc>
          <w:tcPr>
            <w:tcW w:w="133" w:type="pct"/>
            <w:vAlign w:val="center"/>
          </w:tcPr>
          <w:p w14:paraId="4689BD56">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bookmarkStart w:id="103" w:name="_Toc20905"/>
            <w:bookmarkStart w:id="104" w:name="_Toc29600"/>
            <w:bookmarkStart w:id="105" w:name="_Toc12228"/>
            <w:bookmarkStart w:id="106" w:name="_Toc665"/>
            <w:bookmarkStart w:id="107" w:name="_Toc8375"/>
            <w:bookmarkStart w:id="108" w:name="_Toc15252"/>
            <w:bookmarkStart w:id="109" w:name="_Toc14651"/>
            <w:r>
              <w:rPr>
                <w:rFonts w:hint="default" w:ascii="Times New Roman" w:hAnsi="Times New Roman" w:cs="Times New Roman"/>
                <w:color w:val="000000" w:themeColor="text1"/>
                <w:highlight w:val="none"/>
                <w14:textFill>
                  <w14:solidFill>
                    <w14:schemeClr w14:val="tx1"/>
                  </w14:solidFill>
                </w14:textFill>
              </w:rPr>
              <w:t>运营期环境影响和保护措施</w:t>
            </w:r>
            <w:bookmarkEnd w:id="103"/>
            <w:bookmarkEnd w:id="104"/>
            <w:bookmarkEnd w:id="105"/>
            <w:bookmarkEnd w:id="106"/>
            <w:bookmarkEnd w:id="107"/>
            <w:bookmarkEnd w:id="108"/>
            <w:bookmarkEnd w:id="109"/>
          </w:p>
        </w:tc>
        <w:tc>
          <w:tcPr>
            <w:tcW w:w="4866" w:type="pct"/>
            <w:vAlign w:val="center"/>
          </w:tcPr>
          <w:p w14:paraId="63DD9167">
            <w:pPr>
              <w:pStyle w:val="20"/>
              <w:numPr>
                <w:ilvl w:val="3"/>
                <w:numId w:val="0"/>
              </w:num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一、废气</w:t>
            </w:r>
          </w:p>
          <w:p w14:paraId="4BA383C6">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1、污染源排放汇总</w:t>
            </w:r>
          </w:p>
          <w:p w14:paraId="556A4F08">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项目废气污染物排放情况、污染源源强核算结果及相关参数见下列一览表</w:t>
            </w:r>
          </w:p>
          <w:p w14:paraId="5C023581">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废气污染源源强核算结果及相关参数一览表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52"/>
              <w:gridCol w:w="1786"/>
              <w:gridCol w:w="828"/>
              <w:gridCol w:w="979"/>
              <w:gridCol w:w="963"/>
              <w:gridCol w:w="809"/>
              <w:gridCol w:w="680"/>
              <w:gridCol w:w="855"/>
              <w:gridCol w:w="704"/>
              <w:gridCol w:w="591"/>
              <w:gridCol w:w="534"/>
              <w:gridCol w:w="974"/>
              <w:gridCol w:w="866"/>
              <w:gridCol w:w="969"/>
              <w:gridCol w:w="591"/>
            </w:tblGrid>
            <w:tr w14:paraId="40F34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restart"/>
                  <w:vAlign w:val="center"/>
                </w:tcPr>
                <w:p w14:paraId="7FBE18C0">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产污环节</w:t>
                  </w:r>
                </w:p>
              </w:tc>
              <w:tc>
                <w:tcPr>
                  <w:tcW w:w="662" w:type="pct"/>
                  <w:vMerge w:val="restart"/>
                  <w:vAlign w:val="center"/>
                </w:tcPr>
                <w:p w14:paraId="167C3BE6">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污染物种类</w:t>
                  </w:r>
                </w:p>
              </w:tc>
              <w:tc>
                <w:tcPr>
                  <w:tcW w:w="1027" w:type="pct"/>
                  <w:gridSpan w:val="3"/>
                  <w:vAlign w:val="center"/>
                </w:tcPr>
                <w:p w14:paraId="39F769A4">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污染物产生量和浓度</w:t>
                  </w:r>
                </w:p>
              </w:tc>
              <w:tc>
                <w:tcPr>
                  <w:tcW w:w="300" w:type="pct"/>
                  <w:vMerge w:val="restart"/>
                  <w:vAlign w:val="center"/>
                </w:tcPr>
                <w:p w14:paraId="6C83AFF5">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w:t>
                  </w:r>
                </w:p>
                <w:p w14:paraId="6B0D68B3">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形式</w:t>
                  </w:r>
                </w:p>
              </w:tc>
              <w:tc>
                <w:tcPr>
                  <w:tcW w:w="1247" w:type="pct"/>
                  <w:gridSpan w:val="5"/>
                  <w:vAlign w:val="center"/>
                </w:tcPr>
                <w:p w14:paraId="6176D338">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治理设施</w:t>
                  </w:r>
                </w:p>
              </w:tc>
              <w:tc>
                <w:tcPr>
                  <w:tcW w:w="1041" w:type="pct"/>
                  <w:gridSpan w:val="3"/>
                  <w:vAlign w:val="center"/>
                </w:tcPr>
                <w:p w14:paraId="2A6BA930">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污染物排放情况</w:t>
                  </w:r>
                </w:p>
              </w:tc>
              <w:tc>
                <w:tcPr>
                  <w:tcW w:w="219" w:type="pct"/>
                  <w:vMerge w:val="restart"/>
                  <w:vAlign w:val="center"/>
                </w:tcPr>
                <w:p w14:paraId="7254D43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排放时间</w:t>
                  </w:r>
                </w:p>
                <w:p w14:paraId="06247CF1">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h/a</w:t>
                  </w:r>
                </w:p>
              </w:tc>
            </w:tr>
            <w:tr w14:paraId="128B1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17E1EFA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662" w:type="pct"/>
                  <w:vMerge w:val="continue"/>
                  <w:vAlign w:val="center"/>
                </w:tcPr>
                <w:p w14:paraId="14E33743">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p>
              </w:tc>
              <w:tc>
                <w:tcPr>
                  <w:tcW w:w="307" w:type="pct"/>
                  <w:vAlign w:val="center"/>
                </w:tcPr>
                <w:p w14:paraId="4E7089F6">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产生量</w:t>
                  </w:r>
                </w:p>
                <w:p w14:paraId="6C0FDE28">
                  <w:pPr>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t/a</w:t>
                  </w:r>
                </w:p>
              </w:tc>
              <w:tc>
                <w:tcPr>
                  <w:tcW w:w="363" w:type="pct"/>
                  <w:vAlign w:val="center"/>
                </w:tcPr>
                <w:p w14:paraId="77567EB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产生速率</w:t>
                  </w:r>
                </w:p>
                <w:p w14:paraId="6BD8ACDC">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357" w:type="pct"/>
                  <w:vAlign w:val="center"/>
                </w:tcPr>
                <w:p w14:paraId="31C6DF32">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产生浓度</w:t>
                  </w:r>
                </w:p>
                <w:p w14:paraId="1F5D5937">
                  <w:pPr>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c>
                <w:tcPr>
                  <w:tcW w:w="300" w:type="pct"/>
                  <w:vMerge w:val="continue"/>
                  <w:vAlign w:val="center"/>
                </w:tcPr>
                <w:p w14:paraId="407C83E6">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252" w:type="pct"/>
                  <w:vAlign w:val="center"/>
                </w:tcPr>
                <w:p w14:paraId="143581F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风量</w:t>
                  </w:r>
                </w:p>
                <w:p w14:paraId="5BCB99BB">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w:t>
                  </w:r>
                </w:p>
              </w:tc>
              <w:tc>
                <w:tcPr>
                  <w:tcW w:w="317" w:type="pct"/>
                  <w:vAlign w:val="center"/>
                </w:tcPr>
                <w:p w14:paraId="62164354">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处理工艺</w:t>
                  </w:r>
                </w:p>
              </w:tc>
              <w:tc>
                <w:tcPr>
                  <w:tcW w:w="261" w:type="pct"/>
                  <w:vAlign w:val="center"/>
                </w:tcPr>
                <w:p w14:paraId="5081486E">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收集</w:t>
                  </w:r>
                </w:p>
                <w:p w14:paraId="5D62298E">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效率</w:t>
                  </w:r>
                </w:p>
              </w:tc>
              <w:tc>
                <w:tcPr>
                  <w:tcW w:w="219" w:type="pct"/>
                  <w:vAlign w:val="center"/>
                </w:tcPr>
                <w:p w14:paraId="372E0D42">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处理</w:t>
                  </w:r>
                </w:p>
                <w:p w14:paraId="2607FECE">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效率</w:t>
                  </w:r>
                </w:p>
              </w:tc>
              <w:tc>
                <w:tcPr>
                  <w:tcW w:w="198" w:type="pct"/>
                  <w:vAlign w:val="center"/>
                </w:tcPr>
                <w:p w14:paraId="618B188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是否</w:t>
                  </w:r>
                </w:p>
                <w:p w14:paraId="3A16A1D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可行</w:t>
                  </w:r>
                </w:p>
                <w:p w14:paraId="46CEF995">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技术</w:t>
                  </w:r>
                </w:p>
              </w:tc>
              <w:tc>
                <w:tcPr>
                  <w:tcW w:w="361" w:type="pct"/>
                  <w:vAlign w:val="center"/>
                </w:tcPr>
                <w:p w14:paraId="1631B79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排放量</w:t>
                  </w:r>
                </w:p>
                <w:p w14:paraId="488C0756">
                  <w:pPr>
                    <w:spacing w:line="240" w:lineRule="auto"/>
                    <w:jc w:val="center"/>
                    <w:rPr>
                      <w:rFonts w:hint="default" w:ascii="Times New Roman" w:hAnsi="Times New Roman" w:cs="Times New Roman"/>
                      <w:b/>
                      <w:color w:val="000000" w:themeColor="text1"/>
                      <w:sz w:val="21"/>
                      <w:szCs w:val="21"/>
                      <w:highlight w:val="none"/>
                      <w:lang w:val="en-US"/>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t/a</w:t>
                  </w:r>
                </w:p>
              </w:tc>
              <w:tc>
                <w:tcPr>
                  <w:tcW w:w="321" w:type="pct"/>
                  <w:vAlign w:val="center"/>
                </w:tcPr>
                <w:p w14:paraId="00A5965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排放速率</w:t>
                  </w:r>
                </w:p>
                <w:p w14:paraId="7E40A8D0">
                  <w:pPr>
                    <w:spacing w:line="240" w:lineRule="auto"/>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359" w:type="pct"/>
                  <w:vAlign w:val="center"/>
                </w:tcPr>
                <w:p w14:paraId="0AB78EC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排放浓度</w:t>
                  </w:r>
                </w:p>
                <w:p w14:paraId="4E5BA1F7">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c>
                <w:tcPr>
                  <w:tcW w:w="219" w:type="pct"/>
                  <w:vMerge w:val="continue"/>
                  <w:vAlign w:val="center"/>
                </w:tcPr>
                <w:p w14:paraId="69D5AB20">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p>
              </w:tc>
            </w:tr>
            <w:tr w14:paraId="6F8FE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restart"/>
                  <w:vAlign w:val="center"/>
                </w:tcPr>
                <w:p w14:paraId="2436FA79">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DA001</w:t>
                  </w:r>
                </w:p>
                <w:p w14:paraId="6EB1E964">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炼胶、成型、</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移印</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、烘烤工序</w:t>
                  </w:r>
                </w:p>
              </w:tc>
              <w:tc>
                <w:tcPr>
                  <w:tcW w:w="662" w:type="pct"/>
                  <w:vAlign w:val="center"/>
                </w:tcPr>
                <w:p w14:paraId="66DED594">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NMHC</w:t>
                  </w:r>
                </w:p>
              </w:tc>
              <w:tc>
                <w:tcPr>
                  <w:tcW w:w="828" w:type="dxa"/>
                  <w:vAlign w:val="center"/>
                </w:tcPr>
                <w:p w14:paraId="1CF17D4E">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0.302 </w:t>
                  </w:r>
                </w:p>
              </w:tc>
              <w:tc>
                <w:tcPr>
                  <w:tcW w:w="979" w:type="dxa"/>
                  <w:vAlign w:val="center"/>
                </w:tcPr>
                <w:p w14:paraId="006EC9BE">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0.048 </w:t>
                  </w:r>
                </w:p>
              </w:tc>
              <w:tc>
                <w:tcPr>
                  <w:tcW w:w="963" w:type="dxa"/>
                  <w:vAlign w:val="center"/>
                </w:tcPr>
                <w:p w14:paraId="5810676D">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5.6 </w:t>
                  </w:r>
                </w:p>
              </w:tc>
              <w:tc>
                <w:tcPr>
                  <w:tcW w:w="809" w:type="dxa"/>
                  <w:vMerge w:val="restart"/>
                  <w:vAlign w:val="center"/>
                </w:tcPr>
                <w:p w14:paraId="3CE91904">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w:t>
                  </w:r>
                </w:p>
              </w:tc>
              <w:tc>
                <w:tcPr>
                  <w:tcW w:w="680" w:type="dxa"/>
                  <w:vMerge w:val="restart"/>
                  <w:vAlign w:val="center"/>
                </w:tcPr>
                <w:p w14:paraId="1D8A764A">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w:t>
                  </w:r>
                </w:p>
              </w:tc>
              <w:tc>
                <w:tcPr>
                  <w:tcW w:w="855" w:type="dxa"/>
                  <w:vMerge w:val="restart"/>
                  <w:vAlign w:val="center"/>
                </w:tcPr>
                <w:p w14:paraId="58F4BA8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二级活性炭吸附装置处理</w:t>
                  </w:r>
                </w:p>
              </w:tc>
              <w:tc>
                <w:tcPr>
                  <w:tcW w:w="704" w:type="dxa"/>
                  <w:vMerge w:val="restart"/>
                  <w:vAlign w:val="center"/>
                </w:tcPr>
                <w:p w14:paraId="07E4B11A">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591" w:type="dxa"/>
                  <w:vAlign w:val="center"/>
                </w:tcPr>
                <w:p w14:paraId="67D99E3C">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534" w:type="dxa"/>
                  <w:vMerge w:val="restart"/>
                  <w:vAlign w:val="center"/>
                </w:tcPr>
                <w:p w14:paraId="4D3F02B6">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是</w:t>
                  </w:r>
                </w:p>
              </w:tc>
              <w:tc>
                <w:tcPr>
                  <w:tcW w:w="974" w:type="dxa"/>
                  <w:vAlign w:val="center"/>
                </w:tcPr>
                <w:p w14:paraId="70166170">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c>
                <w:tcPr>
                  <w:tcW w:w="866" w:type="dxa"/>
                  <w:vAlign w:val="center"/>
                </w:tcPr>
                <w:p w14:paraId="00D61329">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969" w:type="dxa"/>
                  <w:vAlign w:val="center"/>
                </w:tcPr>
                <w:p w14:paraId="2A3E2334">
                  <w:pPr>
                    <w:keepNext w:val="0"/>
                    <w:keepLines w:val="0"/>
                    <w:widowControl/>
                    <w:suppressLineNumbers w:val="0"/>
                    <w:jc w:val="center"/>
                    <w:textAlignment w:val="center"/>
                    <w:rPr>
                      <w:rFonts w:hint="default" w:ascii="Times New Roman" w:hAnsi="Times New Roman" w:eastAsia="宋体" w:cs="Times New Roman"/>
                      <w:b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219" w:type="pct"/>
                  <w:vMerge w:val="restart"/>
                  <w:vAlign w:val="center"/>
                </w:tcPr>
                <w:p w14:paraId="100F0B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14:textFill>
                        <w14:solidFill>
                          <w14:schemeClr w14:val="tx1"/>
                        </w14:solidFill>
                      </w14:textFill>
                    </w:rPr>
                    <w:t>6336</w:t>
                  </w:r>
                </w:p>
              </w:tc>
            </w:tr>
            <w:tr w14:paraId="117EA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182B33D9">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p>
              </w:tc>
              <w:tc>
                <w:tcPr>
                  <w:tcW w:w="662" w:type="pct"/>
                  <w:vAlign w:val="center"/>
                </w:tcPr>
                <w:p w14:paraId="5DC355D2">
                  <w:pPr>
                    <w:spacing w:line="240" w:lineRule="auto"/>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eastAsia="zh-CN"/>
                      <w14:textFill>
                        <w14:solidFill>
                          <w14:schemeClr w14:val="tx1"/>
                        </w14:solidFill>
                      </w14:textFill>
                    </w:rPr>
                    <w:t>臭气浓度</w:t>
                  </w:r>
                </w:p>
              </w:tc>
              <w:tc>
                <w:tcPr>
                  <w:tcW w:w="828" w:type="dxa"/>
                  <w:vAlign w:val="center"/>
                </w:tcPr>
                <w:p w14:paraId="2F51D5C2">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少量</w:t>
                  </w:r>
                </w:p>
              </w:tc>
              <w:tc>
                <w:tcPr>
                  <w:tcW w:w="979" w:type="dxa"/>
                  <w:vAlign w:val="center"/>
                </w:tcPr>
                <w:p w14:paraId="6B5EA887">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3" w:type="dxa"/>
                  <w:vAlign w:val="center"/>
                </w:tcPr>
                <w:p w14:paraId="4BC5ABE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Merge w:val="continue"/>
                  <w:vAlign w:val="center"/>
                </w:tcPr>
                <w:p w14:paraId="52F9BB18">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680" w:type="dxa"/>
                  <w:vMerge w:val="continue"/>
                  <w:vAlign w:val="center"/>
                </w:tcPr>
                <w:p w14:paraId="2971C90A">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855" w:type="dxa"/>
                  <w:vMerge w:val="continue"/>
                  <w:vAlign w:val="center"/>
                </w:tcPr>
                <w:p w14:paraId="4F09C6D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704" w:type="dxa"/>
                  <w:vMerge w:val="continue"/>
                  <w:vAlign w:val="center"/>
                </w:tcPr>
                <w:p w14:paraId="005D1E0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591" w:type="dxa"/>
                  <w:vAlign w:val="center"/>
                </w:tcPr>
                <w:p w14:paraId="791D5B44">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continue"/>
                  <w:vAlign w:val="center"/>
                </w:tcPr>
                <w:p w14:paraId="2B8343DF">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974" w:type="dxa"/>
                  <w:vAlign w:val="center"/>
                </w:tcPr>
                <w:p w14:paraId="783D97DA">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少量</w:t>
                  </w:r>
                </w:p>
              </w:tc>
              <w:tc>
                <w:tcPr>
                  <w:tcW w:w="866" w:type="dxa"/>
                  <w:vAlign w:val="center"/>
                </w:tcPr>
                <w:p w14:paraId="7808304E">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9" w:type="dxa"/>
                  <w:vAlign w:val="center"/>
                </w:tcPr>
                <w:p w14:paraId="708C6041">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0A11B8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r w14:paraId="74AF8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74AFC732">
                  <w:pPr>
                    <w:spacing w:line="240" w:lineRule="auto"/>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p>
              </w:tc>
              <w:tc>
                <w:tcPr>
                  <w:tcW w:w="662" w:type="pct"/>
                  <w:vAlign w:val="center"/>
                </w:tcPr>
                <w:p w14:paraId="32116C30">
                  <w:pPr>
                    <w:spacing w:line="240" w:lineRule="auto"/>
                    <w:jc w:val="center"/>
                    <w:rPr>
                      <w:rFonts w:hint="default" w:ascii="Times New Roman" w:hAnsi="Times New Roman"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NMHC</w:t>
                  </w:r>
                </w:p>
              </w:tc>
              <w:tc>
                <w:tcPr>
                  <w:tcW w:w="828" w:type="dxa"/>
                  <w:shd w:val="clear" w:color="auto" w:fill="auto"/>
                  <w:vAlign w:val="center"/>
                </w:tcPr>
                <w:p w14:paraId="6FF3C756">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979" w:type="dxa"/>
                  <w:shd w:val="clear" w:color="auto" w:fill="auto"/>
                  <w:vAlign w:val="center"/>
                </w:tcPr>
                <w:p w14:paraId="0ABAD973">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963" w:type="dxa"/>
                  <w:vAlign w:val="center"/>
                </w:tcPr>
                <w:p w14:paraId="1FE01CF5">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Align w:val="center"/>
                </w:tcPr>
                <w:p w14:paraId="648C85F0">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680" w:type="dxa"/>
                  <w:vAlign w:val="center"/>
                </w:tcPr>
                <w:p w14:paraId="446754E2">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5" w:type="dxa"/>
                  <w:vAlign w:val="center"/>
                </w:tcPr>
                <w:p w14:paraId="5BA4DF7F">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04" w:type="dxa"/>
                  <w:vAlign w:val="center"/>
                </w:tcPr>
                <w:p w14:paraId="6A18FAB0">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91" w:type="dxa"/>
                  <w:vAlign w:val="center"/>
                </w:tcPr>
                <w:p w14:paraId="4BA4952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restart"/>
                  <w:vAlign w:val="center"/>
                </w:tcPr>
                <w:p w14:paraId="0A30634E">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74" w:type="dxa"/>
                  <w:shd w:val="clear" w:color="auto" w:fill="auto"/>
                  <w:vAlign w:val="center"/>
                </w:tcPr>
                <w:p w14:paraId="45C1849F">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866" w:type="dxa"/>
                  <w:shd w:val="clear" w:color="auto" w:fill="auto"/>
                  <w:vAlign w:val="center"/>
                </w:tcPr>
                <w:p w14:paraId="031C4495">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969" w:type="dxa"/>
                  <w:vAlign w:val="center"/>
                </w:tcPr>
                <w:p w14:paraId="4977B4BB">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71DCCC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r w14:paraId="1D0DA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1" w:type="pct"/>
                  <w:vMerge w:val="continue"/>
                  <w:vAlign w:val="center"/>
                </w:tcPr>
                <w:p w14:paraId="61DD883B">
                  <w:pPr>
                    <w:spacing w:line="240" w:lineRule="auto"/>
                    <w:jc w:val="center"/>
                    <w:rPr>
                      <w:rFonts w:hint="default" w:ascii="Times New Roman" w:hAnsi="Times New Roman" w:cs="Times New Roman"/>
                      <w:bCs/>
                      <w:color w:val="000000" w:themeColor="text1"/>
                      <w:sz w:val="21"/>
                      <w:szCs w:val="21"/>
                      <w:highlight w:val="none"/>
                      <w:lang w:eastAsia="zh-CN"/>
                      <w14:textFill>
                        <w14:solidFill>
                          <w14:schemeClr w14:val="tx1"/>
                        </w14:solidFill>
                      </w14:textFill>
                    </w:rPr>
                  </w:pPr>
                </w:p>
              </w:tc>
              <w:tc>
                <w:tcPr>
                  <w:tcW w:w="662" w:type="pct"/>
                  <w:vAlign w:val="center"/>
                </w:tcPr>
                <w:p w14:paraId="15CF4813">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eastAsia="zh-CN"/>
                      <w14:textFill>
                        <w14:solidFill>
                          <w14:schemeClr w14:val="tx1"/>
                        </w14:solidFill>
                      </w14:textFill>
                    </w:rPr>
                    <w:t>臭气浓度</w:t>
                  </w:r>
                </w:p>
              </w:tc>
              <w:tc>
                <w:tcPr>
                  <w:tcW w:w="828" w:type="dxa"/>
                  <w:vAlign w:val="center"/>
                </w:tcPr>
                <w:p w14:paraId="099C16C5">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79" w:type="dxa"/>
                  <w:vAlign w:val="center"/>
                </w:tcPr>
                <w:p w14:paraId="79DAA994">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3" w:type="dxa"/>
                  <w:vAlign w:val="center"/>
                </w:tcPr>
                <w:p w14:paraId="4C6888AF">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09" w:type="dxa"/>
                  <w:vAlign w:val="center"/>
                </w:tcPr>
                <w:p w14:paraId="3BF26C1F">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680" w:type="dxa"/>
                  <w:vAlign w:val="center"/>
                </w:tcPr>
                <w:p w14:paraId="0BAFA803">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5" w:type="dxa"/>
                  <w:vAlign w:val="center"/>
                </w:tcPr>
                <w:p w14:paraId="430DED58">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04" w:type="dxa"/>
                  <w:vAlign w:val="center"/>
                </w:tcPr>
                <w:p w14:paraId="58BA6048">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91" w:type="dxa"/>
                  <w:vAlign w:val="center"/>
                </w:tcPr>
                <w:p w14:paraId="1378C463">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34" w:type="dxa"/>
                  <w:vMerge w:val="continue"/>
                  <w:vAlign w:val="center"/>
                </w:tcPr>
                <w:p w14:paraId="7C0C1114">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974" w:type="dxa"/>
                  <w:vAlign w:val="center"/>
                </w:tcPr>
                <w:p w14:paraId="3580FA8F">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66" w:type="dxa"/>
                  <w:vAlign w:val="center"/>
                </w:tcPr>
                <w:p w14:paraId="35B5BE8D">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69" w:type="dxa"/>
                  <w:vAlign w:val="center"/>
                </w:tcPr>
                <w:p w14:paraId="03829A9F">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19" w:type="pct"/>
                  <w:vMerge w:val="continue"/>
                  <w:vAlign w:val="center"/>
                </w:tcPr>
                <w:p w14:paraId="10786D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tc>
            </w:tr>
          </w:tbl>
          <w:p w14:paraId="741668E6">
            <w:pPr>
              <w:pStyle w:val="34"/>
              <w:numPr>
                <w:ilvl w:val="0"/>
                <w:numId w:val="0"/>
              </w:numPr>
              <w:tabs>
                <w:tab w:val="left" w:pos="0"/>
              </w:tabs>
              <w:spacing w:after="0" w:line="360" w:lineRule="auto"/>
              <w:ind w:left="0" w:leftChars="0" w:firstLine="420" w:firstLineChars="0"/>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2、废气排放口基本情况</w:t>
            </w:r>
          </w:p>
          <w:p w14:paraId="75D12423">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废气排放口基本情况一览表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2"/>
              <w:gridCol w:w="1219"/>
              <w:gridCol w:w="1435"/>
              <w:gridCol w:w="739"/>
              <w:gridCol w:w="1098"/>
              <w:gridCol w:w="1640"/>
              <w:gridCol w:w="1454"/>
              <w:gridCol w:w="596"/>
              <w:gridCol w:w="507"/>
              <w:gridCol w:w="502"/>
              <w:gridCol w:w="635"/>
              <w:gridCol w:w="2874"/>
            </w:tblGrid>
            <w:tr w14:paraId="1FCB3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90" w:type="pct"/>
                  <w:vMerge w:val="restart"/>
                  <w:vAlign w:val="center"/>
                </w:tcPr>
                <w:p w14:paraId="5D4B9682">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排放口类型</w:t>
                  </w:r>
                </w:p>
              </w:tc>
              <w:tc>
                <w:tcPr>
                  <w:tcW w:w="452" w:type="pct"/>
                  <w:vMerge w:val="restart"/>
                  <w:vAlign w:val="center"/>
                </w:tcPr>
                <w:p w14:paraId="429BE53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产污环节</w:t>
                  </w:r>
                </w:p>
              </w:tc>
              <w:tc>
                <w:tcPr>
                  <w:tcW w:w="532" w:type="pct"/>
                  <w:vMerge w:val="restart"/>
                  <w:vAlign w:val="center"/>
                </w:tcPr>
                <w:p w14:paraId="1F79F1A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排放口名称</w:t>
                  </w:r>
                </w:p>
                <w:p w14:paraId="329A14E4">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及编号</w:t>
                  </w:r>
                </w:p>
              </w:tc>
              <w:tc>
                <w:tcPr>
                  <w:tcW w:w="274" w:type="pct"/>
                  <w:vMerge w:val="restart"/>
                  <w:vAlign w:val="center"/>
                </w:tcPr>
                <w:p w14:paraId="6B024A7A">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设计风量</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/h</w:t>
                  </w:r>
                </w:p>
              </w:tc>
              <w:tc>
                <w:tcPr>
                  <w:tcW w:w="407" w:type="pct"/>
                  <w:vMerge w:val="restart"/>
                  <w:vAlign w:val="center"/>
                </w:tcPr>
                <w:p w14:paraId="7B74B2CF">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污染物</w:t>
                  </w:r>
                </w:p>
              </w:tc>
              <w:tc>
                <w:tcPr>
                  <w:tcW w:w="1147" w:type="pct"/>
                  <w:gridSpan w:val="2"/>
                  <w:vAlign w:val="center"/>
                </w:tcPr>
                <w:p w14:paraId="6672B746">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排放口地理坐标</w:t>
                  </w:r>
                </w:p>
              </w:tc>
              <w:tc>
                <w:tcPr>
                  <w:tcW w:w="221" w:type="pct"/>
                  <w:vMerge w:val="restart"/>
                  <w:vAlign w:val="center"/>
                </w:tcPr>
                <w:p w14:paraId="5148237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高度m</w:t>
                  </w:r>
                </w:p>
              </w:tc>
              <w:tc>
                <w:tcPr>
                  <w:tcW w:w="188" w:type="pct"/>
                  <w:vMerge w:val="restart"/>
                  <w:vAlign w:val="center"/>
                </w:tcPr>
                <w:p w14:paraId="370E341C">
                  <w:pPr>
                    <w:spacing w:line="240" w:lineRule="auto"/>
                    <w:jc w:val="center"/>
                    <w:rPr>
                      <w:rFonts w:hint="default" w:cs="Times New Roman"/>
                      <w:b/>
                      <w:color w:val="000000" w:themeColor="text1"/>
                      <w:sz w:val="21"/>
                      <w:szCs w:val="21"/>
                      <w:highlight w:val="none"/>
                      <w:lang w:val="en-US" w:eastAsia="zh-CN"/>
                      <w14:textFill>
                        <w14:solidFill>
                          <w14:schemeClr w14:val="tx1"/>
                        </w14:solidFill>
                      </w14:textFill>
                    </w:rPr>
                  </w:pPr>
                  <w:r>
                    <w:rPr>
                      <w:rFonts w:hint="eastAsia" w:cs="Times New Roman"/>
                      <w:b/>
                      <w:color w:val="000000" w:themeColor="text1"/>
                      <w:sz w:val="21"/>
                      <w:szCs w:val="21"/>
                      <w:highlight w:val="none"/>
                      <w:lang w:eastAsia="zh-CN"/>
                      <w14:textFill>
                        <w14:solidFill>
                          <w14:schemeClr w14:val="tx1"/>
                        </w14:solidFill>
                      </w14:textFill>
                    </w:rPr>
                    <w:t>流速</w:t>
                  </w:r>
                  <w:r>
                    <w:rPr>
                      <w:rFonts w:hint="eastAsia" w:cs="Times New Roman"/>
                      <w:b/>
                      <w:color w:val="000000" w:themeColor="text1"/>
                      <w:sz w:val="21"/>
                      <w:szCs w:val="21"/>
                      <w:highlight w:val="none"/>
                      <w:lang w:val="en-US" w:eastAsia="zh-CN"/>
                      <w14:textFill>
                        <w14:solidFill>
                          <w14:schemeClr w14:val="tx1"/>
                        </w14:solidFill>
                      </w14:textFill>
                    </w:rPr>
                    <w:t>m/s</w:t>
                  </w:r>
                </w:p>
              </w:tc>
              <w:tc>
                <w:tcPr>
                  <w:tcW w:w="186" w:type="pct"/>
                  <w:vMerge w:val="restart"/>
                  <w:vAlign w:val="center"/>
                </w:tcPr>
                <w:p w14:paraId="1AE28932">
                  <w:pPr>
                    <w:spacing w:line="240" w:lineRule="auto"/>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内径m</w:t>
                  </w:r>
                </w:p>
              </w:tc>
              <w:tc>
                <w:tcPr>
                  <w:tcW w:w="235" w:type="pct"/>
                  <w:vMerge w:val="restart"/>
                  <w:vAlign w:val="center"/>
                </w:tcPr>
                <w:p w14:paraId="2A3ACF88">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温度</w:t>
                  </w:r>
                </w:p>
                <w:p w14:paraId="7C1F24FC">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w:t>
                  </w:r>
                </w:p>
              </w:tc>
              <w:tc>
                <w:tcPr>
                  <w:tcW w:w="1065" w:type="pct"/>
                  <w:vMerge w:val="restart"/>
                  <w:vAlign w:val="center"/>
                </w:tcPr>
                <w:p w14:paraId="606F956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执行标准</w:t>
                  </w:r>
                </w:p>
              </w:tc>
            </w:tr>
            <w:tr w14:paraId="1DB2A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290" w:type="pct"/>
                  <w:vMerge w:val="continue"/>
                  <w:vAlign w:val="center"/>
                </w:tcPr>
                <w:p w14:paraId="7ACBC117">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452" w:type="pct"/>
                  <w:vMerge w:val="continue"/>
                  <w:vAlign w:val="center"/>
                </w:tcPr>
                <w:p w14:paraId="5910186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532" w:type="pct"/>
                  <w:vMerge w:val="continue"/>
                  <w:vAlign w:val="center"/>
                </w:tcPr>
                <w:p w14:paraId="40EB0E68">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274" w:type="pct"/>
                  <w:vMerge w:val="continue"/>
                  <w:vAlign w:val="center"/>
                </w:tcPr>
                <w:p w14:paraId="590878BD">
                  <w:pPr>
                    <w:spacing w:line="240" w:lineRule="auto"/>
                    <w:jc w:val="center"/>
                    <w:rPr>
                      <w:rFonts w:hint="default" w:ascii="Times New Roman" w:hAnsi="Times New Roman" w:cs="Times New Roman"/>
                      <w:b/>
                      <w:color w:val="000000" w:themeColor="text1"/>
                      <w:sz w:val="21"/>
                      <w:szCs w:val="21"/>
                      <w:highlight w:val="yellow"/>
                      <w:lang w:eastAsia="zh-CN"/>
                      <w14:textFill>
                        <w14:solidFill>
                          <w14:schemeClr w14:val="tx1"/>
                        </w14:solidFill>
                      </w14:textFill>
                    </w:rPr>
                  </w:pPr>
                </w:p>
              </w:tc>
              <w:tc>
                <w:tcPr>
                  <w:tcW w:w="407" w:type="pct"/>
                  <w:vMerge w:val="continue"/>
                  <w:vAlign w:val="center"/>
                </w:tcPr>
                <w:p w14:paraId="782300B9">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608" w:type="pct"/>
                  <w:vAlign w:val="center"/>
                </w:tcPr>
                <w:p w14:paraId="04946BB6">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经度</w:t>
                  </w:r>
                </w:p>
              </w:tc>
              <w:tc>
                <w:tcPr>
                  <w:tcW w:w="539" w:type="pct"/>
                  <w:vAlign w:val="center"/>
                </w:tcPr>
                <w:p w14:paraId="796285D2">
                  <w:pP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纬度</w:t>
                  </w:r>
                </w:p>
              </w:tc>
              <w:tc>
                <w:tcPr>
                  <w:tcW w:w="221" w:type="pct"/>
                  <w:vMerge w:val="continue"/>
                  <w:vAlign w:val="center"/>
                </w:tcPr>
                <w:p w14:paraId="2931A97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88" w:type="pct"/>
                  <w:vMerge w:val="continue"/>
                  <w:vAlign w:val="center"/>
                </w:tcPr>
                <w:p w14:paraId="637D4E4C">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86" w:type="pct"/>
                  <w:vMerge w:val="continue"/>
                  <w:vAlign w:val="center"/>
                </w:tcPr>
                <w:p w14:paraId="2FF86421">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235" w:type="pct"/>
                  <w:vMerge w:val="continue"/>
                  <w:vAlign w:val="center"/>
                </w:tcPr>
                <w:p w14:paraId="207081FD">
                  <w:pPr>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p>
              </w:tc>
              <w:tc>
                <w:tcPr>
                  <w:tcW w:w="1065" w:type="pct"/>
                  <w:vMerge w:val="continue"/>
                  <w:vAlign w:val="center"/>
                </w:tcPr>
                <w:p w14:paraId="5F155547">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r>
            <w:tr w14:paraId="36BC5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jc w:val="center"/>
              </w:trPr>
              <w:tc>
                <w:tcPr>
                  <w:tcW w:w="290" w:type="pct"/>
                  <w:vMerge w:val="restart"/>
                  <w:vAlign w:val="center"/>
                </w:tcPr>
                <w:p w14:paraId="40D5A5D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一般排放口</w:t>
                  </w:r>
                </w:p>
              </w:tc>
              <w:tc>
                <w:tcPr>
                  <w:tcW w:w="452" w:type="pct"/>
                  <w:vMerge w:val="restart"/>
                  <w:vAlign w:val="center"/>
                </w:tcPr>
                <w:p w14:paraId="6576C7FC">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炼胶、成型、移印、烘烤</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工序</w:t>
                  </w:r>
                </w:p>
              </w:tc>
              <w:tc>
                <w:tcPr>
                  <w:tcW w:w="532" w:type="pct"/>
                  <w:vMerge w:val="restart"/>
                  <w:vAlign w:val="center"/>
                </w:tcPr>
                <w:p w14:paraId="79FB0C5E">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DA001</w:t>
                  </w:r>
                </w:p>
              </w:tc>
              <w:tc>
                <w:tcPr>
                  <w:tcW w:w="274" w:type="pct"/>
                  <w:vMerge w:val="restart"/>
                  <w:vAlign w:val="center"/>
                </w:tcPr>
                <w:p w14:paraId="5B71150F">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8500</w:t>
                  </w:r>
                </w:p>
              </w:tc>
              <w:tc>
                <w:tcPr>
                  <w:tcW w:w="407" w:type="pct"/>
                  <w:vAlign w:val="center"/>
                </w:tcPr>
                <w:p w14:paraId="40299269">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NMHC</w:t>
                  </w:r>
                </w:p>
              </w:tc>
              <w:tc>
                <w:tcPr>
                  <w:tcW w:w="608" w:type="pct"/>
                  <w:vMerge w:val="restart"/>
                  <w:vAlign w:val="center"/>
                </w:tcPr>
                <w:p w14:paraId="3E9705C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113°24′8.86417″</w:t>
                  </w:r>
                </w:p>
              </w:tc>
              <w:tc>
                <w:tcPr>
                  <w:tcW w:w="539" w:type="pct"/>
                  <w:vMerge w:val="restart"/>
                  <w:vAlign w:val="center"/>
                </w:tcPr>
                <w:p w14:paraId="6F767E50">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25°8′48.88371″</w:t>
                  </w:r>
                </w:p>
              </w:tc>
              <w:tc>
                <w:tcPr>
                  <w:tcW w:w="221" w:type="pct"/>
                  <w:vMerge w:val="restart"/>
                  <w:vAlign w:val="center"/>
                </w:tcPr>
                <w:p w14:paraId="546B8CFE">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5</w:t>
                  </w:r>
                </w:p>
              </w:tc>
              <w:tc>
                <w:tcPr>
                  <w:tcW w:w="188" w:type="pct"/>
                  <w:vMerge w:val="restart"/>
                  <w:vAlign w:val="center"/>
                </w:tcPr>
                <w:p w14:paraId="75C4F070">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12.03</w:t>
                  </w:r>
                </w:p>
              </w:tc>
              <w:tc>
                <w:tcPr>
                  <w:tcW w:w="186" w:type="pct"/>
                  <w:vMerge w:val="restart"/>
                  <w:vAlign w:val="center"/>
                </w:tcPr>
                <w:p w14:paraId="0C7460C5">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0.5</w:t>
                  </w:r>
                </w:p>
              </w:tc>
              <w:tc>
                <w:tcPr>
                  <w:tcW w:w="235" w:type="pct"/>
                  <w:vMerge w:val="restart"/>
                  <w:vAlign w:val="center"/>
                </w:tcPr>
                <w:p w14:paraId="3CB2F609">
                  <w:pPr>
                    <w:spacing w:line="240" w:lineRule="auto"/>
                    <w:jc w:val="cente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25</w:t>
                  </w:r>
                </w:p>
              </w:tc>
              <w:tc>
                <w:tcPr>
                  <w:tcW w:w="1065" w:type="pct"/>
                  <w:vAlign w:val="center"/>
                </w:tcPr>
                <w:p w14:paraId="6E14DAC1">
                  <w:pPr>
                    <w:spacing w:line="240" w:lineRule="auto"/>
                    <w:jc w:val="center"/>
                    <w:rPr>
                      <w:rFonts w:hint="eastAsia"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w:t>
                  </w:r>
                  <w:r>
                    <w:rPr>
                      <w:rFonts w:hint="eastAsia"/>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《印刷行业挥发性有机化合物排放标准》（DB44/815-2010）表2最高允许排放速率第Ⅱ时段标准和《印刷工业大气污染物排放标准》（GB41616-2022）表1大气污染物排放限值三者较严值</w:t>
                  </w:r>
                </w:p>
              </w:tc>
            </w:tr>
            <w:tr w14:paraId="124F8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90" w:type="pct"/>
                  <w:vMerge w:val="continue"/>
                  <w:vAlign w:val="center"/>
                </w:tcPr>
                <w:p w14:paraId="69C1B90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452" w:type="pct"/>
                  <w:vMerge w:val="continue"/>
                  <w:vAlign w:val="center"/>
                </w:tcPr>
                <w:p w14:paraId="54AC21C8">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532" w:type="pct"/>
                  <w:vMerge w:val="continue"/>
                  <w:vAlign w:val="center"/>
                </w:tcPr>
                <w:p w14:paraId="1C2CEBD2">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74" w:type="pct"/>
                  <w:vMerge w:val="continue"/>
                  <w:vAlign w:val="center"/>
                </w:tcPr>
                <w:p w14:paraId="42F7418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407" w:type="pct"/>
                  <w:vAlign w:val="center"/>
                </w:tcPr>
                <w:p w14:paraId="0CEE013B">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臭气浓度</w:t>
                  </w:r>
                </w:p>
              </w:tc>
              <w:tc>
                <w:tcPr>
                  <w:tcW w:w="608" w:type="pct"/>
                  <w:vMerge w:val="continue"/>
                  <w:vAlign w:val="center"/>
                </w:tcPr>
                <w:p w14:paraId="578181A4">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539" w:type="pct"/>
                  <w:vMerge w:val="continue"/>
                  <w:vAlign w:val="center"/>
                </w:tcPr>
                <w:p w14:paraId="1A1B11E6">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21" w:type="pct"/>
                  <w:vMerge w:val="continue"/>
                  <w:vAlign w:val="center"/>
                </w:tcPr>
                <w:p w14:paraId="78B6A4B4">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88" w:type="pct"/>
                  <w:vMerge w:val="continue"/>
                  <w:vAlign w:val="center"/>
                </w:tcPr>
                <w:p w14:paraId="265CB6CE">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86" w:type="pct"/>
                  <w:vMerge w:val="continue"/>
                  <w:vAlign w:val="center"/>
                </w:tcPr>
                <w:p w14:paraId="64CF67A0">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235" w:type="pct"/>
                  <w:vMerge w:val="continue"/>
                  <w:vAlign w:val="center"/>
                </w:tcPr>
                <w:p w14:paraId="79AB7EBF">
                  <w:pPr>
                    <w:spacing w:line="240" w:lineRule="auto"/>
                    <w:jc w:val="cente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065" w:type="pct"/>
                  <w:vAlign w:val="center"/>
                </w:tcPr>
                <w:p w14:paraId="6EA20DE2">
                  <w:pPr>
                    <w:spacing w:line="240" w:lineRule="auto"/>
                    <w:jc w:val="center"/>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《恶臭污染物排放标准》（GB14554-93）表2 恶臭污染物排放标准值</w:t>
                  </w:r>
                </w:p>
              </w:tc>
            </w:tr>
          </w:tbl>
          <w:p w14:paraId="71DB093C">
            <w:pPr>
              <w:pStyle w:val="34"/>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3、监测要求</w:t>
            </w:r>
          </w:p>
          <w:p w14:paraId="1E92FB0B">
            <w:pPr>
              <w:pStyle w:val="34"/>
              <w:numPr>
                <w:ilvl w:val="0"/>
                <w:numId w:val="0"/>
              </w:numPr>
              <w:tabs>
                <w:tab w:val="left" w:pos="0"/>
              </w:tabs>
              <w:spacing w:after="0" w:line="360" w:lineRule="auto"/>
              <w:ind w:left="0" w:leftChars="0" w:firstLine="420" w:firstLineChars="0"/>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参考</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 xml:space="preserve">《排污单位自行监测技术指南 总则》（HJ819-2017）、《排污单位自行监测技术指南 </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》（HJ1</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），并结合项目运营期间污染排放特点，项目运营期废气监测计划如下表所示：</w:t>
            </w:r>
          </w:p>
          <w:p w14:paraId="23002903">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废气监测计划表</w:t>
            </w:r>
          </w:p>
          <w:tbl>
            <w:tblPr>
              <w:tblStyle w:val="4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5"/>
              <w:gridCol w:w="1713"/>
              <w:gridCol w:w="3418"/>
              <w:gridCol w:w="1476"/>
              <w:gridCol w:w="5161"/>
            </w:tblGrid>
            <w:tr w14:paraId="38F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6" w:type="pct"/>
                  <w:vAlign w:val="center"/>
                </w:tcPr>
                <w:p w14:paraId="6C9841B7">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监测位置</w:t>
                  </w:r>
                </w:p>
              </w:tc>
              <w:tc>
                <w:tcPr>
                  <w:tcW w:w="635" w:type="pct"/>
                  <w:vAlign w:val="center"/>
                </w:tcPr>
                <w:p w14:paraId="0FED53E8">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排放口类型</w:t>
                  </w:r>
                </w:p>
              </w:tc>
              <w:tc>
                <w:tcPr>
                  <w:tcW w:w="1267" w:type="pct"/>
                  <w:vAlign w:val="center"/>
                </w:tcPr>
                <w:p w14:paraId="28F88AD5">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监测项目</w:t>
                  </w:r>
                </w:p>
              </w:tc>
              <w:tc>
                <w:tcPr>
                  <w:tcW w:w="547" w:type="pct"/>
                  <w:vAlign w:val="center"/>
                </w:tcPr>
                <w:p w14:paraId="532D7AE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监测频率</w:t>
                  </w:r>
                </w:p>
              </w:tc>
              <w:tc>
                <w:tcPr>
                  <w:tcW w:w="1913" w:type="pct"/>
                  <w:vAlign w:val="center"/>
                </w:tcPr>
                <w:p w14:paraId="212DAB4A">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eastAsia="宋体"/>
                      <w:b/>
                      <w:color w:val="000000" w:themeColor="text1"/>
                      <w:spacing w:val="-2"/>
                      <w:sz w:val="21"/>
                      <w:szCs w:val="21"/>
                      <w:highlight w:val="none"/>
                      <w14:textFill>
                        <w14:solidFill>
                          <w14:schemeClr w14:val="tx1"/>
                        </w14:solidFill>
                      </w14:textFill>
                    </w:rPr>
                  </w:pPr>
                  <w:r>
                    <w:rPr>
                      <w:rFonts w:hint="default" w:eastAsia="宋体"/>
                      <w:b/>
                      <w:color w:val="000000" w:themeColor="text1"/>
                      <w:spacing w:val="-2"/>
                      <w:sz w:val="21"/>
                      <w:szCs w:val="21"/>
                      <w:highlight w:val="none"/>
                      <w14:textFill>
                        <w14:solidFill>
                          <w14:schemeClr w14:val="tx1"/>
                        </w14:solidFill>
                      </w14:textFill>
                    </w:rPr>
                    <w:t>依据</w:t>
                  </w:r>
                </w:p>
              </w:tc>
            </w:tr>
            <w:tr w14:paraId="22C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6" w:type="pct"/>
                  <w:vMerge w:val="restart"/>
                  <w:shd w:val="clear" w:color="auto" w:fill="auto"/>
                  <w:vAlign w:val="center"/>
                </w:tcPr>
                <w:p w14:paraId="3AAE2BBA">
                  <w:pPr>
                    <w:keepNext w:val="0"/>
                    <w:keepLines w:val="0"/>
                    <w:pageBreakBefore w:val="0"/>
                    <w:widowControl/>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DA00</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1</w:t>
                  </w:r>
                </w:p>
              </w:tc>
              <w:tc>
                <w:tcPr>
                  <w:tcW w:w="635" w:type="pct"/>
                  <w:vMerge w:val="restart"/>
                  <w:shd w:val="clear" w:color="auto" w:fill="auto"/>
                  <w:vAlign w:val="center"/>
                </w:tcPr>
                <w:p w14:paraId="2B324D90">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一般排放口</w:t>
                  </w:r>
                </w:p>
              </w:tc>
              <w:tc>
                <w:tcPr>
                  <w:tcW w:w="1267" w:type="pct"/>
                  <w:shd w:val="clear" w:color="auto" w:fill="auto"/>
                  <w:vAlign w:val="center"/>
                </w:tcPr>
                <w:p w14:paraId="41393279">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非甲烷总烃</w:t>
                  </w:r>
                </w:p>
              </w:tc>
              <w:tc>
                <w:tcPr>
                  <w:tcW w:w="547" w:type="pct"/>
                  <w:shd w:val="clear" w:color="auto" w:fill="auto"/>
                  <w:vAlign w:val="center"/>
                </w:tcPr>
                <w:p w14:paraId="05F71071">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1次/半年</w:t>
                  </w:r>
                </w:p>
              </w:tc>
              <w:tc>
                <w:tcPr>
                  <w:tcW w:w="1913" w:type="pct"/>
                  <w:vMerge w:val="restart"/>
                  <w:vAlign w:val="center"/>
                </w:tcPr>
                <w:p w14:paraId="207AB474">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《排污单位自行监测技术指南总则》（HJ819-2017）表1与</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较严值</w:t>
                  </w:r>
                </w:p>
              </w:tc>
            </w:tr>
            <w:tr w14:paraId="0334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36" w:type="pct"/>
                  <w:vMerge w:val="continue"/>
                  <w:vAlign w:val="center"/>
                </w:tcPr>
                <w:p w14:paraId="39260423">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c>
                <w:tcPr>
                  <w:tcW w:w="635" w:type="pct"/>
                  <w:vMerge w:val="continue"/>
                  <w:vAlign w:val="center"/>
                </w:tcPr>
                <w:p w14:paraId="637A3FB0">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1267" w:type="pct"/>
                  <w:shd w:val="clear" w:color="auto" w:fill="auto"/>
                  <w:vAlign w:val="center"/>
                </w:tcPr>
                <w:p w14:paraId="1BFD733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shd w:val="clear" w:color="auto" w:fill="auto"/>
                  <w:vAlign w:val="center"/>
                </w:tcPr>
                <w:p w14:paraId="7127A62F">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1次/年</w:t>
                  </w:r>
                </w:p>
              </w:tc>
              <w:tc>
                <w:tcPr>
                  <w:tcW w:w="1913" w:type="pct"/>
                  <w:vMerge w:val="continue"/>
                  <w:vAlign w:val="center"/>
                </w:tcPr>
                <w:p w14:paraId="3E347F74">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4AB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6" w:type="pct"/>
                  <w:vAlign w:val="center"/>
                </w:tcPr>
                <w:p w14:paraId="11FE61C6">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厂界</w:t>
                  </w:r>
                </w:p>
              </w:tc>
              <w:tc>
                <w:tcPr>
                  <w:tcW w:w="635" w:type="pct"/>
                  <w:vAlign w:val="center"/>
                </w:tcPr>
                <w:p w14:paraId="61274A26">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c>
                <w:tcPr>
                  <w:tcW w:w="1267" w:type="pct"/>
                  <w:vAlign w:val="center"/>
                </w:tcPr>
                <w:p w14:paraId="75D1FBC7">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非甲烷总烃、</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vAlign w:val="center"/>
                </w:tcPr>
                <w:p w14:paraId="0BCDD8F4">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1次/年</w:t>
                  </w:r>
                </w:p>
              </w:tc>
              <w:tc>
                <w:tcPr>
                  <w:tcW w:w="1913" w:type="pct"/>
                  <w:vAlign w:val="center"/>
                </w:tcPr>
                <w:p w14:paraId="005BE551">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lang w:val="en-US"/>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）表5 橡胶制品工业排污单位无组织废气排放监测点位、监测指标及最低监测频次</w:t>
                  </w:r>
                </w:p>
              </w:tc>
            </w:tr>
            <w:tr w14:paraId="073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36" w:type="pct"/>
                  <w:vAlign w:val="center"/>
                </w:tcPr>
                <w:p w14:paraId="2FE24EE1">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厂房外厂区内</w:t>
                  </w:r>
                </w:p>
              </w:tc>
              <w:tc>
                <w:tcPr>
                  <w:tcW w:w="635" w:type="pct"/>
                  <w:vAlign w:val="center"/>
                </w:tcPr>
                <w:p w14:paraId="65527059">
                  <w:pPr>
                    <w:pStyle w:val="128"/>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cs="Times New Roman"/>
                      <w:bCs/>
                      <w:color w:val="000000" w:themeColor="text1"/>
                      <w:kern w:val="2"/>
                      <w:sz w:val="21"/>
                      <w:szCs w:val="21"/>
                      <w:highlight w:val="none"/>
                      <w14:textFill>
                        <w14:solidFill>
                          <w14:schemeClr w14:val="tx1"/>
                        </w14:solidFill>
                      </w14:textFill>
                    </w:rPr>
                  </w:pPr>
                  <w:r>
                    <w:rPr>
                      <w:rFonts w:hint="default" w:ascii="Times New Roman" w:hAnsi="Times New Roman" w:cs="Times New Roman"/>
                      <w:bCs/>
                      <w:color w:val="000000" w:themeColor="text1"/>
                      <w:kern w:val="2"/>
                      <w:sz w:val="21"/>
                      <w:szCs w:val="21"/>
                      <w:highlight w:val="none"/>
                      <w14:textFill>
                        <w14:solidFill>
                          <w14:schemeClr w14:val="tx1"/>
                        </w14:solidFill>
                      </w14:textFill>
                    </w:rPr>
                    <w:t>/</w:t>
                  </w:r>
                </w:p>
              </w:tc>
              <w:tc>
                <w:tcPr>
                  <w:tcW w:w="1267" w:type="pct"/>
                  <w:vAlign w:val="center"/>
                </w:tcPr>
                <w:p w14:paraId="0022278B">
                  <w:pPr>
                    <w:pStyle w:val="128"/>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非甲烷总烃</w:t>
                  </w:r>
                </w:p>
              </w:tc>
              <w:tc>
                <w:tcPr>
                  <w:tcW w:w="547" w:type="pct"/>
                  <w:vAlign w:val="center"/>
                </w:tcPr>
                <w:p w14:paraId="2BC6EC6E">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1次/</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年</w:t>
                  </w:r>
                </w:p>
              </w:tc>
              <w:tc>
                <w:tcPr>
                  <w:tcW w:w="1913" w:type="pct"/>
                  <w:vAlign w:val="center"/>
                </w:tcPr>
                <w:p w14:paraId="63D7D4FD">
                  <w:pPr>
                    <w:pStyle w:val="63"/>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《排污单位自行监测技术指南总则》（HJ819-2017）</w:t>
                  </w:r>
                </w:p>
              </w:tc>
            </w:tr>
          </w:tbl>
          <w:p w14:paraId="0FA882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1" w:leftChars="0"/>
              <w:jc w:val="both"/>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p>
          <w:p w14:paraId="350C0616">
            <w:pPr>
              <w:pStyle w:val="26"/>
              <w:ind w:firstLine="480"/>
              <w:rPr>
                <w:rFonts w:hint="default" w:ascii="Times New Roman" w:hAnsi="Times New Roman" w:cs="Times New Roman"/>
                <w:color w:val="000000" w:themeColor="text1"/>
                <w:kern w:val="0"/>
                <w:highlight w:val="none"/>
                <w14:textFill>
                  <w14:solidFill>
                    <w14:schemeClr w14:val="tx1"/>
                  </w14:solidFill>
                </w14:textFill>
              </w:rPr>
            </w:pPr>
          </w:p>
        </w:tc>
      </w:tr>
    </w:tbl>
    <w:p w14:paraId="6298F844">
      <w:pPr>
        <w:rPr>
          <w:rFonts w:hint="default" w:ascii="Times New Roman" w:hAnsi="Times New Roman" w:eastAsia="宋体" w:cs="Times New Roman"/>
          <w:color w:val="000000" w:themeColor="text1"/>
          <w:highlight w:val="none"/>
          <w14:textFill>
            <w14:solidFill>
              <w14:schemeClr w14:val="tx1"/>
            </w14:solidFill>
          </w14:textFill>
        </w:rPr>
        <w:sectPr>
          <w:pgSz w:w="16838" w:h="11906" w:orient="landscape"/>
          <w:pgMar w:top="1797" w:right="1440" w:bottom="179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073"/>
      </w:tblGrid>
      <w:tr w14:paraId="25F8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trPr>
        <w:tc>
          <w:tcPr>
            <w:tcW w:w="188" w:type="pct"/>
            <w:vAlign w:val="center"/>
          </w:tcPr>
          <w:p w14:paraId="57C7DFAC">
            <w:pPr>
              <w:numPr>
                <w:ilvl w:val="1"/>
                <w:numId w:val="0"/>
              </w:numPr>
              <w:tabs>
                <w:tab w:val="left" w:pos="420"/>
              </w:tabs>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运营期环境影响和保护措施</w:t>
            </w:r>
          </w:p>
        </w:tc>
        <w:tc>
          <w:tcPr>
            <w:tcW w:w="4811" w:type="pct"/>
            <w:vAlign w:val="center"/>
          </w:tcPr>
          <w:p w14:paraId="46579745">
            <w:pPr>
              <w:pStyle w:val="34"/>
              <w:numPr>
                <w:ilvl w:val="0"/>
                <w:numId w:val="0"/>
              </w:numPr>
              <w:tabs>
                <w:tab w:val="left" w:pos="0"/>
              </w:tabs>
              <w:spacing w:after="0" w:line="360" w:lineRule="auto"/>
              <w:ind w:left="0" w:leftChars="0" w:firstLine="420" w:firstLineChars="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b/>
                <w:bCs/>
                <w:color w:val="000000" w:themeColor="text1"/>
                <w:sz w:val="24"/>
                <w:highlight w:val="none"/>
                <w14:textFill>
                  <w14:solidFill>
                    <w14:schemeClr w14:val="tx1"/>
                  </w14:solidFill>
                </w14:textFill>
              </w:rPr>
              <w:t>废气污染源源强核算分析</w:t>
            </w:r>
          </w:p>
          <w:p w14:paraId="18939DA0">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（1）</w:t>
            </w:r>
            <w:r>
              <w:rPr>
                <w:rFonts w:hint="eastAsia" w:cs="Times New Roman"/>
                <w:color w:val="000000" w:themeColor="text1"/>
                <w:sz w:val="24"/>
                <w:highlight w:val="none"/>
                <w:lang w:val="en-US" w:eastAsia="zh-CN"/>
                <w14:textFill>
                  <w14:solidFill>
                    <w14:schemeClr w14:val="tx1"/>
                  </w14:solidFill>
                </w14:textFill>
              </w:rPr>
              <w:t>有机废气</w:t>
            </w:r>
          </w:p>
          <w:p w14:paraId="0DE804F9">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①项目炼胶、硫化成型、二次硫化工序产生有机废气，主要污染因子为非甲烷总烃。本项目炼胶、硫化成型、二次硫化废气污染源参照《排放源统计调查产排污核算方法和系数手册</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2919 其他</w:t>
            </w:r>
            <w:r>
              <w:rPr>
                <w:rFonts w:ascii="宋体" w:hAnsi="宋体" w:eastAsia="宋体" w:cs="宋体"/>
                <w:color w:val="000000" w:themeColor="text1"/>
                <w:sz w:val="24"/>
                <w:szCs w:val="24"/>
                <w14:textFill>
                  <w14:solidFill>
                    <w14:schemeClr w14:val="tx1"/>
                  </w14:solidFill>
                </w14:textFill>
              </w:rPr>
              <w:t>橡胶制品制造行业系数表</w:t>
            </w:r>
            <w:r>
              <w:rPr>
                <w:rFonts w:hint="eastAsia" w:ascii="宋体" w:hAnsi="宋体" w:eastAsia="宋体" w:cs="宋体"/>
                <w:color w:val="000000" w:themeColor="text1"/>
                <w:sz w:val="24"/>
                <w:szCs w:val="24"/>
                <w:lang w:val="en-US" w:eastAsia="zh-CN"/>
                <w14:textFill>
                  <w14:solidFill>
                    <w14:schemeClr w14:val="tx1"/>
                  </w14:solidFill>
                </w14:textFill>
              </w:rPr>
              <w:t>挥发性有机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物3.27kg/</w:t>
            </w:r>
            <w:r>
              <w:rPr>
                <w:rFonts w:hint="eastAsia" w:ascii="宋体" w:hAnsi="宋体" w:eastAsia="宋体" w:cs="宋体"/>
                <w:color w:val="000000" w:themeColor="text1"/>
                <w:sz w:val="24"/>
                <w:szCs w:val="24"/>
                <w:lang w:val="en-US" w:eastAsia="zh-CN"/>
                <w14:textFill>
                  <w14:solidFill>
                    <w14:schemeClr w14:val="tx1"/>
                  </w14:solidFill>
                </w14:textFill>
              </w:rPr>
              <w:t>吨三胶-原料</w:t>
            </w:r>
            <w:r>
              <w:rPr>
                <w:rFonts w:hint="eastAsia" w:cs="Times New Roman"/>
                <w:color w:val="000000" w:themeColor="text1"/>
                <w:sz w:val="24"/>
                <w:highlight w:val="none"/>
                <w:lang w:val="en-US" w:eastAsia="zh-CN"/>
                <w14:textFill>
                  <w14:solidFill>
                    <w14:schemeClr w14:val="tx1"/>
                  </w14:solidFill>
                </w14:textFill>
              </w:rPr>
              <w:t>。</w:t>
            </w:r>
          </w:p>
          <w:p w14:paraId="1033A716">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根据表2-3项目原辅材料一览表，固态体硅胶年用量为100t、硫化剂年用量为1t、硅胶色母年用量为0.5t，则VOCs产生量为（100+1+0.5）×3.27×10</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=0.332t/a。</w:t>
            </w:r>
          </w:p>
          <w:p w14:paraId="30DD4585">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项目移印工序油墨使用量为0.005t/a，根据油墨VOCs含量检测报告，油墨VOCs含量为66.7%，则油墨挥发产生的VOCs量为0.005×66.7%=0.0033t/a。钢板胶头清洗使用半水基清洗剂，年使用量0.01t/a，半水基清洗剂密度保守取1.11g/cm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，根据检测报告其VOCs含量为85g/L，则钢板、胶头清洗产生VOCs量为0.0008t/a。</w:t>
            </w:r>
          </w:p>
          <w:p w14:paraId="192E3B90">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综上，项目炼胶、硫化成型、二次硫化和移印非甲烷总烃总产生量为0.332+0.0033+0.0008≈0.336t/a。</w:t>
            </w:r>
          </w:p>
          <w:p w14:paraId="3A21A8F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（2）臭气浓度</w:t>
            </w:r>
          </w:p>
          <w:p w14:paraId="2AC66468">
            <w:pPr>
              <w:spacing w:line="360" w:lineRule="auto"/>
              <w:ind w:firstLine="480" w:firstLineChars="200"/>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本项目炼胶、硫化成型、二次硫化、烘烤成型等工序除了会产生有机废气外，同时会伴有轻微异味产生，轻微异味能够刺激人的嗅觉器官并引起人们的不适，散发的异味浓度因原料、生产规模、操作工艺等而有较大差异，难以定量确定。国家对这种异味现状也暂无相关规定，本评价采用臭气浓度</w:t>
            </w:r>
          </w:p>
          <w:p w14:paraId="6772FE68">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对其进行日常监管。由于恶臭是炼胶、硫化成型、二次硫化、烘烤成型等工 </w:t>
            </w:r>
          </w:p>
          <w:p w14:paraId="2BC76D0A">
            <w:pPr>
              <w:pStyle w:val="2"/>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序产生，恶臭与有机废气相伴而生，恶臭与有机废气一同被引至</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处理后</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经</w:t>
            </w:r>
            <w:r>
              <w:rPr>
                <w:rFonts w:hint="default" w:ascii="Times New Roman" w:hAnsi="Times New Roman" w:cs="Times New Roman"/>
                <w:color w:val="000000" w:themeColor="text1"/>
                <w:kern w:val="0"/>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5m排</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气筒 </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 xml:space="preserve">DA001 </w:t>
            </w:r>
            <w:r>
              <w:rPr>
                <w:rFonts w:hint="eastAsia" w:ascii="宋体" w:hAnsi="宋体" w:eastAsia="宋体" w:cs="宋体"/>
                <w:color w:val="000000" w:themeColor="text1"/>
                <w:kern w:val="0"/>
                <w:sz w:val="24"/>
                <w:szCs w:val="24"/>
                <w:lang w:val="en-US" w:eastAsia="zh-CN"/>
                <w14:textFill>
                  <w14:solidFill>
                    <w14:schemeClr w14:val="tx1"/>
                  </w14:solidFill>
                </w14:textFill>
              </w:rPr>
              <w:t>高空排放。</w:t>
            </w:r>
          </w:p>
          <w:p w14:paraId="73BEA240">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项目</w:t>
            </w:r>
            <w:r>
              <w:rPr>
                <w:rFonts w:hint="eastAsia" w:cs="Times New Roman"/>
                <w:b/>
                <w:bCs/>
                <w:color w:val="000000" w:themeColor="text1"/>
                <w:sz w:val="24"/>
                <w:highlight w:val="none"/>
                <w:lang w:val="en-US" w:eastAsia="zh-CN"/>
                <w14:textFill>
                  <w14:solidFill>
                    <w14:schemeClr w14:val="tx1"/>
                  </w14:solidFill>
                </w14:textFill>
              </w:rPr>
              <w:t>废气产生排放情况一览表</w:t>
            </w:r>
          </w:p>
          <w:tbl>
            <w:tblPr>
              <w:tblStyle w:val="46"/>
              <w:tblW w:w="78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99"/>
              <w:gridCol w:w="1822"/>
              <w:gridCol w:w="2268"/>
              <w:gridCol w:w="1366"/>
            </w:tblGrid>
            <w:tr w14:paraId="0E07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A35E8">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排气筒编号</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67783">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DA001</w:t>
                  </w:r>
                </w:p>
              </w:tc>
            </w:tr>
            <w:tr w14:paraId="3BE5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7DAF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工序</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796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炼胶、成型、移印、烘烤</w:t>
                  </w:r>
                </w:p>
              </w:tc>
            </w:tr>
            <w:tr w14:paraId="512F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07802">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1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54E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59EC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r>
            <w:tr w14:paraId="499B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A6F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生产时间（</w:t>
                  </w:r>
                  <w:r>
                    <w:rPr>
                      <w:rStyle w:val="131"/>
                      <w:rFonts w:eastAsia="宋体"/>
                      <w:color w:val="000000" w:themeColor="text1"/>
                      <w:lang w:val="en-US" w:eastAsia="zh-CN"/>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423B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6336</w:t>
                  </w:r>
                </w:p>
              </w:tc>
            </w:tr>
            <w:tr w14:paraId="2E95E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6FE4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53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336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A9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0D3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15D3F">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收集效率</w:t>
                  </w:r>
                  <w:r>
                    <w:rPr>
                      <w:rStyle w:val="131"/>
                      <w:rFonts w:eastAsia="宋体"/>
                      <w:color w:val="000000" w:themeColor="text1"/>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681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r>
            <w:tr w14:paraId="50F4E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1A74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设计废气量（</w:t>
                  </w:r>
                  <w:r>
                    <w:rPr>
                      <w:rStyle w:val="131"/>
                      <w:rFonts w:eastAsia="宋体"/>
                      <w:color w:val="000000" w:themeColor="text1"/>
                      <w:lang w:val="en-US" w:eastAsia="zh-CN"/>
                      <w14:textFill>
                        <w14:solidFill>
                          <w14:schemeClr w14:val="tx1"/>
                        </w14:solidFill>
                      </w14:textFill>
                    </w:rPr>
                    <w:t>m³/h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578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w:t>
                  </w:r>
                </w:p>
              </w:tc>
            </w:tr>
            <w:tr w14:paraId="1662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2B69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ACC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48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0.302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47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7E0A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ACB57">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E8E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63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0.048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37D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4BEB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1FF1">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36C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产生浓度（</w:t>
                  </w:r>
                  <w:r>
                    <w:rPr>
                      <w:rStyle w:val="131"/>
                      <w:rFonts w:eastAsia="宋体"/>
                      <w:color w:val="000000" w:themeColor="text1"/>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E6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5.6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4A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692C6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1E2F4">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293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处理工艺</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249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二级活性炭装置</w:t>
                  </w:r>
                </w:p>
              </w:tc>
            </w:tr>
            <w:tr w14:paraId="6B5F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1EA5">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7F3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处理效率</w:t>
                  </w:r>
                  <w:r>
                    <w:rPr>
                      <w:rStyle w:val="131"/>
                      <w:rFonts w:eastAsia="宋体"/>
                      <w:color w:val="000000" w:themeColor="text1"/>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61A4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80</w:t>
                  </w:r>
                </w:p>
              </w:tc>
            </w:tr>
            <w:tr w14:paraId="392F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5832B">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CDC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废气量（</w:t>
                  </w:r>
                  <w:r>
                    <w:rPr>
                      <w:rStyle w:val="131"/>
                      <w:rFonts w:eastAsia="宋体"/>
                      <w:color w:val="000000" w:themeColor="text1"/>
                      <w:lang w:val="en-US" w:eastAsia="zh-CN"/>
                      <w14:textFill>
                        <w14:solidFill>
                          <w14:schemeClr w14:val="tx1"/>
                        </w14:solidFill>
                      </w14:textFill>
                    </w:rPr>
                    <w:t>m³/h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0B241">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85</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p>
              </w:tc>
            </w:tr>
            <w:tr w14:paraId="14DAD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49B16">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6DEB">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0F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89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5B60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E192">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68C1">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18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31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394D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1DD7">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CE7E">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排放浓度（</w:t>
                  </w:r>
                  <w:r>
                    <w:rPr>
                      <w:rStyle w:val="131"/>
                      <w:rFonts w:eastAsia="宋体"/>
                      <w:color w:val="000000" w:themeColor="text1"/>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BF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73AE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7E73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9021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无组织</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D1F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19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0.034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47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2DAA6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3447E">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D4E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排放速率（</w:t>
                  </w:r>
                  <w:r>
                    <w:rPr>
                      <w:rStyle w:val="131"/>
                      <w:rFonts w:eastAsia="宋体"/>
                      <w:color w:val="000000" w:themeColor="text1"/>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4D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0.005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FBF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4C80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0DB8">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w:t>
                  </w:r>
                  <w:r>
                    <w:rPr>
                      <w:rStyle w:val="131"/>
                      <w:rFonts w:eastAsia="宋体"/>
                      <w:color w:val="000000" w:themeColor="text1"/>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无组织合计</w:t>
                  </w:r>
                </w:p>
              </w:tc>
              <w:tc>
                <w:tcPr>
                  <w:tcW w:w="1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7EB0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排放量（</w:t>
                  </w:r>
                  <w:r>
                    <w:rPr>
                      <w:rStyle w:val="131"/>
                      <w:rFonts w:eastAsia="宋体"/>
                      <w:color w:val="000000" w:themeColor="text1"/>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0C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0.094 </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407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37324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C7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有组织排放高度</w:t>
                  </w:r>
                  <w:r>
                    <w:rPr>
                      <w:rStyle w:val="131"/>
                      <w:rFonts w:eastAsia="宋体"/>
                      <w:color w:val="000000" w:themeColor="text1"/>
                      <w:lang w:val="en-US" w:eastAsia="zh-CN"/>
                      <w14:textFill>
                        <w14:solidFill>
                          <w14:schemeClr w14:val="tx1"/>
                        </w14:solidFill>
                      </w14:textFill>
                    </w:rPr>
                    <w:t>/m</w:t>
                  </w:r>
                </w:p>
              </w:tc>
              <w:tc>
                <w:tcPr>
                  <w:tcW w:w="23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2CF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5m</w:t>
                  </w:r>
                </w:p>
              </w:tc>
            </w:tr>
          </w:tbl>
          <w:p w14:paraId="043B6FA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污染物有组织排放量核算表</w:t>
            </w:r>
          </w:p>
          <w:tbl>
            <w:tblPr>
              <w:tblStyle w:val="46"/>
              <w:tblW w:w="787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0"/>
              <w:gridCol w:w="862"/>
              <w:gridCol w:w="1529"/>
              <w:gridCol w:w="1341"/>
              <w:gridCol w:w="1453"/>
              <w:gridCol w:w="1382"/>
            </w:tblGrid>
            <w:tr w14:paraId="5B07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ACBBF">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FFFD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排放口</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BDE9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197F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核算排放浓度</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CEE2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核算排放速率</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17C5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核算年排放量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20A6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AD3BC">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554F4">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06DA8">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2E333">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051A">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7928E">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r>
            <w:tr w14:paraId="6A6E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78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B65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一般排放口</w:t>
                  </w:r>
                </w:p>
              </w:tc>
            </w:tr>
            <w:tr w14:paraId="58CE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23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8D3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DA001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55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0F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 </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C9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71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0.060 </w:t>
                  </w:r>
                </w:p>
              </w:tc>
            </w:tr>
            <w:tr w14:paraId="30DF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E5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0B22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53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211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2C0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75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5792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21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0A5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一般排放口总计</w:t>
                  </w: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E3F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B67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3B7B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21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E822">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952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3C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6AE9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78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BC6B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有组织排放总计</w:t>
                  </w:r>
                </w:p>
              </w:tc>
            </w:tr>
            <w:tr w14:paraId="5FFFE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21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EDC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有组织排放总计</w:t>
                  </w: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FB8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339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4E6CD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21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6A774">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43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9842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86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bl>
          <w:p w14:paraId="5A3FFF8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w:t>
            </w:r>
            <w:r>
              <w:rPr>
                <w:rFonts w:hint="eastAsia"/>
                <w:b/>
                <w:bCs/>
                <w:color w:val="000000" w:themeColor="text1"/>
                <w:sz w:val="21"/>
                <w:szCs w:val="21"/>
                <w:lang w:val="en-US" w:eastAsia="zh-CN"/>
                <w14:textFill>
                  <w14:solidFill>
                    <w14:schemeClr w14:val="tx1"/>
                  </w14:solidFill>
                </w14:textFill>
              </w:rPr>
              <w:t>无</w:t>
            </w:r>
            <w:r>
              <w:rPr>
                <w:b/>
                <w:bCs/>
                <w:color w:val="000000" w:themeColor="text1"/>
                <w:sz w:val="21"/>
                <w:szCs w:val="21"/>
                <w14:textFill>
                  <w14:solidFill>
                    <w14:schemeClr w14:val="tx1"/>
                  </w14:solidFill>
                </w14:textFill>
              </w:rPr>
              <w:t>组织排放量核算表</w:t>
            </w:r>
          </w:p>
          <w:tbl>
            <w:tblPr>
              <w:tblStyle w:val="46"/>
              <w:tblW w:w="777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600"/>
              <w:gridCol w:w="718"/>
              <w:gridCol w:w="392"/>
              <w:gridCol w:w="448"/>
              <w:gridCol w:w="784"/>
              <w:gridCol w:w="2106"/>
              <w:gridCol w:w="1219"/>
              <w:gridCol w:w="872"/>
            </w:tblGrid>
            <w:tr w14:paraId="279B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4"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B3165">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0EB3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排放口编号</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422D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产污环节</w:t>
                  </w:r>
                </w:p>
              </w:tc>
              <w:tc>
                <w:tcPr>
                  <w:tcW w:w="8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2855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8536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主要污染防治措施</w:t>
                  </w:r>
                </w:p>
              </w:tc>
              <w:tc>
                <w:tcPr>
                  <w:tcW w:w="3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B910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国家或地方污染物排放标准</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19EC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2393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D3A73">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5E739">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449FF">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8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AE85">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3EC78">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5127">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标准名称</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9F0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浓度限值（</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E21A">
                  <w:pPr>
                    <w:spacing w:line="240" w:lineRule="auto"/>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r>
            <w:tr w14:paraId="1C3B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A1A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399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生成过程</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8F3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炼胶、成型、</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移印</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、烘烤</w:t>
                  </w:r>
                </w:p>
              </w:tc>
              <w:tc>
                <w:tcPr>
                  <w:tcW w:w="840" w:type="dxa"/>
                  <w:gridSpan w:val="2"/>
                  <w:vMerge w:val="restart"/>
                  <w:tcBorders>
                    <w:top w:val="single" w:color="000000" w:sz="4" w:space="0"/>
                    <w:left w:val="single" w:color="000000" w:sz="4" w:space="0"/>
                    <w:right w:val="single" w:color="000000" w:sz="4" w:space="0"/>
                  </w:tcBorders>
                  <w:shd w:val="clear" w:color="auto" w:fill="auto"/>
                  <w:vAlign w:val="center"/>
                </w:tcPr>
                <w:p w14:paraId="1B29B4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15113">
                  <w:pPr>
                    <w:spacing w:line="240" w:lineRule="auto"/>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加强收集</w:t>
                  </w:r>
                </w:p>
              </w:tc>
              <w:tc>
                <w:tcPr>
                  <w:tcW w:w="2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44CF5">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广东省《固定污染源挥发性有机物综合排放标准》（DB44/2367-2022）中表3厂区内VOCs无组织排放限值</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62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872" w:type="dxa"/>
                  <w:vMerge w:val="restart"/>
                  <w:tcBorders>
                    <w:top w:val="single" w:color="000000" w:sz="4" w:space="0"/>
                    <w:left w:val="single" w:color="000000" w:sz="4" w:space="0"/>
                    <w:right w:val="single" w:color="000000" w:sz="4" w:space="0"/>
                  </w:tcBorders>
                  <w:shd w:val="clear" w:color="auto" w:fill="auto"/>
                  <w:vAlign w:val="center"/>
                </w:tcPr>
                <w:p w14:paraId="4A10CC7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34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13BE0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F5E4">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6DB64">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E894">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vMerge w:val="continue"/>
                  <w:tcBorders>
                    <w:left w:val="single" w:color="000000" w:sz="4" w:space="0"/>
                    <w:right w:val="single" w:color="000000" w:sz="4" w:space="0"/>
                  </w:tcBorders>
                  <w:shd w:val="clear" w:color="auto" w:fill="auto"/>
                  <w:vAlign w:val="center"/>
                </w:tcPr>
                <w:p w14:paraId="14D29116">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ACE2">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66DA9">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ECB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厂内6</w:t>
                  </w:r>
                </w:p>
              </w:tc>
              <w:tc>
                <w:tcPr>
                  <w:tcW w:w="872" w:type="dxa"/>
                  <w:vMerge w:val="continue"/>
                  <w:tcBorders>
                    <w:left w:val="single" w:color="000000" w:sz="4" w:space="0"/>
                    <w:right w:val="single" w:color="000000" w:sz="4" w:space="0"/>
                  </w:tcBorders>
                  <w:shd w:val="clear" w:color="auto" w:fill="auto"/>
                  <w:vAlign w:val="center"/>
                </w:tcPr>
                <w:p w14:paraId="2D0ADEB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67381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FDC8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D5FA5">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3E6EF">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vMerge w:val="continue"/>
                  <w:tcBorders>
                    <w:left w:val="single" w:color="000000" w:sz="4" w:space="0"/>
                    <w:bottom w:val="single" w:color="000000" w:sz="4" w:space="0"/>
                    <w:right w:val="single" w:color="000000" w:sz="4" w:space="0"/>
                  </w:tcBorders>
                  <w:shd w:val="clear" w:color="auto" w:fill="auto"/>
                  <w:vAlign w:val="center"/>
                </w:tcPr>
                <w:p w14:paraId="279D91A9">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7AE8">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D41E">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《印刷行业挥发性有机化合物排放标准》</w:t>
                  </w:r>
                  <w:r>
                    <w:rPr>
                      <w:rFonts w:hint="default" w:ascii="Times New Roman" w:hAnsi="Times New Roman" w:cs="Times New Roman"/>
                      <w:color w:val="000000" w:themeColor="text1"/>
                      <w:sz w:val="21"/>
                      <w:szCs w:val="21"/>
                      <w:lang w:val="en-US" w:eastAsia="zh-CN"/>
                      <w14:textFill>
                        <w14:solidFill>
                          <w14:schemeClr w14:val="tx1"/>
                        </w14:solidFill>
                      </w14:textFill>
                    </w:rPr>
                    <w:t>（DB44/815-2010）</w:t>
                  </w:r>
                  <w:r>
                    <w:rPr>
                      <w:rFonts w:hint="default" w:ascii="Times New Roman" w:hAnsi="Times New Roman" w:eastAsia="宋体" w:cs="Times New Roman"/>
                      <w:color w:val="000000" w:themeColor="text1"/>
                      <w:sz w:val="21"/>
                      <w:szCs w:val="21"/>
                      <w14:textFill>
                        <w14:solidFill>
                          <w14:schemeClr w14:val="tx1"/>
                        </w14:solidFill>
                      </w14:textFill>
                    </w:rPr>
                    <w:t>表3无组织排放监控点浓度限值</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740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872" w:type="dxa"/>
                  <w:vMerge w:val="continue"/>
                  <w:tcBorders>
                    <w:left w:val="single" w:color="000000" w:sz="4" w:space="0"/>
                    <w:bottom w:val="single" w:color="000000" w:sz="4" w:space="0"/>
                    <w:right w:val="single" w:color="000000" w:sz="4" w:space="0"/>
                  </w:tcBorders>
                  <w:shd w:val="clear" w:color="auto" w:fill="auto"/>
                  <w:vAlign w:val="center"/>
                </w:tcPr>
                <w:p w14:paraId="1102C6E9">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3524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1"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BCF0">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7C263">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861A">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9B8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19946">
                  <w:pPr>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AE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《恶臭污染物排放标准》</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(GB14554-93)</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表</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二级标准中</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新改扩建</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限值要求</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10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B5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r w14:paraId="0433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77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1E9B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无组织排放总计</w:t>
                  </w:r>
                </w:p>
              </w:tc>
            </w:tr>
            <w:tr w14:paraId="1C80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234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9F7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无组织排放总计（</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6B7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4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AE08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w:t>
                  </w:r>
                  <w:r>
                    <w:rPr>
                      <w:rFonts w:hint="eastAsia" w:cs="Times New Roman"/>
                      <w:i w:val="0"/>
                      <w:iCs w:val="0"/>
                      <w:color w:val="000000" w:themeColor="text1"/>
                      <w:kern w:val="0"/>
                      <w:sz w:val="21"/>
                      <w:szCs w:val="21"/>
                      <w:u w:val="none"/>
                      <w:lang w:val="en-US" w:eastAsia="zh-CN"/>
                      <w14:textFill>
                        <w14:solidFill>
                          <w14:schemeClr w14:val="tx1"/>
                        </w14:solidFill>
                      </w14:textFill>
                    </w:rPr>
                    <w:t>34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6509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234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A6F76">
                  <w:pPr>
                    <w:spacing w:line="240" w:lineRule="auto"/>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C8A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臭气浓度</w:t>
                  </w:r>
                </w:p>
              </w:tc>
              <w:tc>
                <w:tcPr>
                  <w:tcW w:w="4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2D08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p>
              </w:tc>
            </w:tr>
          </w:tbl>
          <w:p w14:paraId="3FE4283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14:textFill>
                  <w14:solidFill>
                    <w14:schemeClr w14:val="tx1"/>
                  </w14:solidFill>
                </w14:textFill>
              </w:rPr>
              <w:t>大气</w:t>
            </w:r>
            <w:r>
              <w:rPr>
                <w:b/>
                <w:bCs/>
                <w:color w:val="000000" w:themeColor="text1"/>
                <w:sz w:val="21"/>
                <w:szCs w:val="21"/>
                <w14:textFill>
                  <w14:solidFill>
                    <w14:schemeClr w14:val="tx1"/>
                  </w14:solidFill>
                </w14:textFill>
              </w:rPr>
              <w:t>污染物排放量核算表</w:t>
            </w:r>
          </w:p>
          <w:tbl>
            <w:tblPr>
              <w:tblStyle w:val="46"/>
              <w:tblW w:w="49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9"/>
              <w:gridCol w:w="2661"/>
              <w:gridCol w:w="3728"/>
            </w:tblGrid>
            <w:tr w14:paraId="35F8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9ACDE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序号</w:t>
                  </w:r>
                </w:p>
              </w:tc>
              <w:tc>
                <w:tcPr>
                  <w:tcW w:w="1721" w:type="pct"/>
                  <w:tcBorders>
                    <w:top w:val="single" w:color="000000" w:sz="8" w:space="0"/>
                    <w:left w:val="nil"/>
                    <w:bottom w:val="single" w:color="000000" w:sz="8" w:space="0"/>
                    <w:right w:val="single" w:color="000000" w:sz="8" w:space="0"/>
                  </w:tcBorders>
                  <w:shd w:val="clear" w:color="auto" w:fill="auto"/>
                  <w:vAlign w:val="center"/>
                </w:tcPr>
                <w:p w14:paraId="2569507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污染物</w:t>
                  </w:r>
                </w:p>
              </w:tc>
              <w:tc>
                <w:tcPr>
                  <w:tcW w:w="2411" w:type="pct"/>
                  <w:tcBorders>
                    <w:top w:val="single" w:color="000000" w:sz="8" w:space="0"/>
                    <w:left w:val="nil"/>
                    <w:bottom w:val="single" w:color="000000" w:sz="8" w:space="0"/>
                    <w:right w:val="single" w:color="000000" w:sz="8" w:space="0"/>
                  </w:tcBorders>
                  <w:shd w:val="clear" w:color="auto" w:fill="auto"/>
                  <w:vAlign w:val="center"/>
                </w:tcPr>
                <w:p w14:paraId="263AF47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5CC2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866" w:type="pct"/>
                  <w:tcBorders>
                    <w:top w:val="nil"/>
                    <w:left w:val="single" w:color="000000" w:sz="8" w:space="0"/>
                    <w:bottom w:val="single" w:color="000000" w:sz="8" w:space="0"/>
                    <w:right w:val="single" w:color="000000" w:sz="8" w:space="0"/>
                  </w:tcBorders>
                  <w:shd w:val="clear" w:color="auto" w:fill="auto"/>
                  <w:vAlign w:val="center"/>
                </w:tcPr>
                <w:p w14:paraId="784516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721" w:type="pct"/>
                  <w:tcBorders>
                    <w:top w:val="nil"/>
                    <w:left w:val="nil"/>
                    <w:bottom w:val="single" w:color="000000" w:sz="8" w:space="0"/>
                    <w:right w:val="single" w:color="000000" w:sz="8" w:space="0"/>
                  </w:tcBorders>
                  <w:shd w:val="clear" w:color="auto" w:fill="auto"/>
                  <w:vAlign w:val="center"/>
                </w:tcPr>
                <w:p w14:paraId="56FA3D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非甲烷总烃</w:t>
                  </w:r>
                </w:p>
              </w:tc>
              <w:tc>
                <w:tcPr>
                  <w:tcW w:w="4408" w:type="dxa"/>
                  <w:tcBorders>
                    <w:top w:val="nil"/>
                    <w:left w:val="nil"/>
                    <w:bottom w:val="single" w:color="000000" w:sz="8" w:space="0"/>
                    <w:right w:val="single" w:color="000000" w:sz="8" w:space="0"/>
                  </w:tcBorders>
                  <w:shd w:val="clear" w:color="auto" w:fill="auto"/>
                  <w:vAlign w:val="center"/>
                </w:tcPr>
                <w:p w14:paraId="30019F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w:t>
                  </w:r>
                  <w:r>
                    <w:rPr>
                      <w:rFonts w:hint="eastAsia" w:cs="Times New Roman"/>
                      <w:i w:val="0"/>
                      <w:iCs w:val="0"/>
                      <w:color w:val="000000" w:themeColor="text1"/>
                      <w:sz w:val="21"/>
                      <w:szCs w:val="21"/>
                      <w:u w:val="none"/>
                      <w:lang w:val="en-US" w:eastAsia="zh-CN"/>
                      <w14:textFill>
                        <w14:solidFill>
                          <w14:schemeClr w14:val="tx1"/>
                        </w14:solidFill>
                      </w14:textFill>
                    </w:rPr>
                    <w:t>094</w:t>
                  </w:r>
                </w:p>
              </w:tc>
            </w:tr>
            <w:tr w14:paraId="32CB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866" w:type="pct"/>
                  <w:tcBorders>
                    <w:top w:val="nil"/>
                    <w:left w:val="single" w:color="000000" w:sz="8" w:space="0"/>
                    <w:bottom w:val="single" w:color="auto" w:sz="4" w:space="0"/>
                    <w:right w:val="single" w:color="000000" w:sz="8" w:space="0"/>
                  </w:tcBorders>
                  <w:shd w:val="clear" w:color="auto" w:fill="auto"/>
                  <w:vAlign w:val="center"/>
                </w:tcPr>
                <w:p w14:paraId="296911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1721" w:type="pct"/>
                  <w:tcBorders>
                    <w:top w:val="nil"/>
                    <w:left w:val="nil"/>
                    <w:bottom w:val="single" w:color="auto" w:sz="4" w:space="0"/>
                    <w:right w:val="single" w:color="000000" w:sz="8" w:space="0"/>
                  </w:tcBorders>
                  <w:shd w:val="clear" w:color="auto" w:fill="auto"/>
                  <w:vAlign w:val="center"/>
                </w:tcPr>
                <w:p w14:paraId="262AB1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臭气浓度</w:t>
                  </w:r>
                </w:p>
              </w:tc>
              <w:tc>
                <w:tcPr>
                  <w:tcW w:w="4408" w:type="dxa"/>
                  <w:tcBorders>
                    <w:top w:val="nil"/>
                    <w:left w:val="nil"/>
                    <w:bottom w:val="single" w:color="auto" w:sz="4" w:space="0"/>
                    <w:right w:val="single" w:color="000000" w:sz="8" w:space="0"/>
                  </w:tcBorders>
                  <w:shd w:val="clear" w:color="auto" w:fill="auto"/>
                  <w:vAlign w:val="center"/>
                </w:tcPr>
                <w:p w14:paraId="04B9B70F">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r>
          </w:tbl>
          <w:p w14:paraId="5F02512D">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5、废气</w:t>
            </w:r>
            <w:r>
              <w:rPr>
                <w:rFonts w:hint="eastAsia" w:cs="Times New Roman"/>
                <w:b/>
                <w:bCs/>
                <w:color w:val="000000" w:themeColor="text1"/>
                <w:sz w:val="24"/>
                <w:highlight w:val="none"/>
                <w:lang w:val="en-US" w:eastAsia="zh-CN"/>
                <w14:textFill>
                  <w14:solidFill>
                    <w14:schemeClr w14:val="tx1"/>
                  </w14:solidFill>
                </w14:textFill>
              </w:rPr>
              <w:t>收集</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风量核算</w:t>
            </w:r>
          </w:p>
          <w:p w14:paraId="6B16C497">
            <w:pPr>
              <w:spacing w:line="360" w:lineRule="auto"/>
              <w:ind w:firstLine="480" w:firstLineChars="200"/>
              <w:rPr>
                <w:rFonts w:hint="eastAsia"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1</w:t>
            </w: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有机废气收集情况</w:t>
            </w:r>
          </w:p>
          <w:p w14:paraId="6E79D062">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①炼胶、成型、移印烘干工序废气</w:t>
            </w:r>
          </w:p>
          <w:p w14:paraId="52327BFC">
            <w:pPr>
              <w:spacing w:line="360" w:lineRule="auto"/>
              <w:ind w:firstLine="472" w:firstLineChars="200"/>
              <w:rPr>
                <w:rFonts w:ascii="Times New Roman"/>
                <w:b w:val="0"/>
                <w:bCs w:val="0"/>
                <w:color w:val="000000" w:themeColor="text1"/>
                <w:spacing w:val="-2"/>
                <w:sz w:val="24"/>
                <w:szCs w:val="24"/>
                <w14:textFill>
                  <w14:solidFill>
                    <w14:schemeClr w14:val="tx1"/>
                  </w14:solidFill>
                </w14:textFill>
              </w:rPr>
            </w:pPr>
            <w:r>
              <w:rPr>
                <w:rFonts w:ascii="Times New Roman"/>
                <w:b w:val="0"/>
                <w:bCs w:val="0"/>
                <w:color w:val="000000" w:themeColor="text1"/>
                <w:spacing w:val="-2"/>
                <w:sz w:val="24"/>
                <w:szCs w:val="24"/>
                <w14:textFill>
                  <w14:solidFill>
                    <w14:schemeClr w14:val="tx1"/>
                  </w14:solidFill>
                </w14:textFill>
              </w:rPr>
              <w:t>本项目</w:t>
            </w:r>
            <w:r>
              <w:rPr>
                <w:rFonts w:hint="eastAsia"/>
                <w:b w:val="0"/>
                <w:bCs w:val="0"/>
                <w:color w:val="000000" w:themeColor="text1"/>
                <w:spacing w:val="-2"/>
                <w:sz w:val="24"/>
                <w:szCs w:val="24"/>
                <w:lang w:val="en-US" w:eastAsia="zh-CN"/>
                <w14:textFill>
                  <w14:solidFill>
                    <w14:schemeClr w14:val="tx1"/>
                  </w14:solidFill>
                </w14:textFill>
              </w:rPr>
              <w:t>炼胶机、成型机、移印机和烤炉上方均设有集气罩</w:t>
            </w:r>
            <w:r>
              <w:rPr>
                <w:rFonts w:ascii="Times New Roman"/>
                <w:b w:val="0"/>
                <w:bCs w:val="0"/>
                <w:color w:val="000000" w:themeColor="text1"/>
                <w:spacing w:val="-2"/>
                <w:sz w:val="24"/>
                <w:szCs w:val="24"/>
                <w:highlight w:val="none"/>
                <w14:textFill>
                  <w14:solidFill>
                    <w14:schemeClr w14:val="tx1"/>
                  </w14:solidFill>
                </w14:textFill>
              </w:rPr>
              <w:t>，</w:t>
            </w:r>
            <w:r>
              <w:rPr>
                <w:rFonts w:hint="eastAsia"/>
                <w:b w:val="0"/>
                <w:bCs w:val="0"/>
                <w:color w:val="000000" w:themeColor="text1"/>
                <w:spacing w:val="-2"/>
                <w:sz w:val="24"/>
                <w:szCs w:val="24"/>
                <w:highlight w:val="none"/>
                <w:lang w:val="en-US" w:eastAsia="zh-CN"/>
                <w14:textFill>
                  <w14:solidFill>
                    <w14:schemeClr w14:val="tx1"/>
                  </w14:solidFill>
                </w14:textFill>
              </w:rPr>
              <w:t>钢板、胶头清洗在移印机附近，项目</w:t>
            </w:r>
            <w:r>
              <w:rPr>
                <w:rFonts w:ascii="Times New Roman"/>
                <w:b w:val="0"/>
                <w:bCs w:val="0"/>
                <w:color w:val="000000" w:themeColor="text1"/>
                <w:spacing w:val="-2"/>
                <w:sz w:val="24"/>
                <w:szCs w:val="24"/>
                <w14:textFill>
                  <w14:solidFill>
                    <w14:schemeClr w14:val="tx1"/>
                  </w14:solidFill>
                </w14:textFill>
              </w:rPr>
              <w:t>废气收集一同经“二级活性炭”处理后通过排气筒DA00</w:t>
            </w:r>
            <w:r>
              <w:rPr>
                <w:rFonts w:hint="eastAsia"/>
                <w:b w:val="0"/>
                <w:bCs w:val="0"/>
                <w:color w:val="000000" w:themeColor="text1"/>
                <w:spacing w:val="-2"/>
                <w:sz w:val="24"/>
                <w:szCs w:val="24"/>
                <w:lang w:val="en-US" w:eastAsia="zh-CN"/>
                <w14:textFill>
                  <w14:solidFill>
                    <w14:schemeClr w14:val="tx1"/>
                  </w14:solidFill>
                </w14:textFill>
              </w:rPr>
              <w:t>1</w:t>
            </w:r>
            <w:r>
              <w:rPr>
                <w:rFonts w:ascii="Times New Roman"/>
                <w:b w:val="0"/>
                <w:bCs w:val="0"/>
                <w:color w:val="000000" w:themeColor="text1"/>
                <w:spacing w:val="-2"/>
                <w:sz w:val="24"/>
                <w:szCs w:val="24"/>
                <w14:textFill>
                  <w14:solidFill>
                    <w14:schemeClr w14:val="tx1"/>
                  </w14:solidFill>
                </w14:textFill>
              </w:rPr>
              <w:t>高空排放。</w:t>
            </w:r>
          </w:p>
          <w:p w14:paraId="19D0411D">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②臭气浓度</w:t>
            </w:r>
          </w:p>
          <w:p w14:paraId="271614B7">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在生产过程中产生令人不适的异味，以臭气浓度表示。由于臭气浓度暂无相关的成熟的核算系数，本项目对臭气浓度产排源强不进行量化；产生的臭气伴随着有机废气一同收集后引至“二级活性炭吸附装置”处理后经25m高排气筒DA001排放。</w:t>
            </w:r>
          </w:p>
          <w:p w14:paraId="0F34614B">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废气收集效率分析：</w:t>
            </w:r>
          </w:p>
          <w:p w14:paraId="7278ED6F">
            <w:pPr>
              <w:spacing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参考《广东省生态环境厅关于印发</w:t>
            </w:r>
            <w:r>
              <w:rPr>
                <w:rFonts w:hint="eastAsia" w:cs="Times New Roman"/>
                <w:color w:val="000000" w:themeColor="text1"/>
                <w:sz w:val="24"/>
                <w:highlight w:val="none"/>
                <w:lang w:val="en-US" w:eastAsia="zh-CN"/>
                <w14:textFill>
                  <w14:solidFill>
                    <w14:schemeClr w14:val="tx1"/>
                  </w14:solidFill>
                </w14:textFill>
              </w:rPr>
              <w:t>&lt;</w:t>
            </w:r>
            <w:r>
              <w:rPr>
                <w:rFonts w:hint="default" w:ascii="Times New Roman" w:hAnsi="Times New Roman" w:cs="Times New Roman"/>
                <w:color w:val="000000" w:themeColor="text1"/>
                <w:sz w:val="24"/>
                <w:highlight w:val="none"/>
                <w14:textFill>
                  <w14:solidFill>
                    <w14:schemeClr w14:val="tx1"/>
                  </w14:solidFill>
                </w14:textFill>
              </w:rPr>
              <w:t>工业源挥发性有机物和氮氧化物减排量核算方法</w:t>
            </w:r>
            <w:r>
              <w:rPr>
                <w:rFonts w:hint="eastAsia" w:cs="Times New Roman"/>
                <w:color w:val="000000" w:themeColor="text1"/>
                <w:sz w:val="24"/>
                <w:highlight w:val="none"/>
                <w:lang w:val="en-US" w:eastAsia="zh-CN"/>
                <w14:textFill>
                  <w14:solidFill>
                    <w14:schemeClr w14:val="tx1"/>
                  </w14:solidFill>
                </w14:textFill>
              </w:rPr>
              <w:t>&gt;</w:t>
            </w:r>
            <w:r>
              <w:rPr>
                <w:rFonts w:hint="default" w:ascii="Times New Roman" w:hAnsi="Times New Roman" w:cs="Times New Roman"/>
                <w:color w:val="000000" w:themeColor="text1"/>
                <w:sz w:val="24"/>
                <w:highlight w:val="none"/>
                <w14:textFill>
                  <w14:solidFill>
                    <w14:schemeClr w14:val="tx1"/>
                  </w14:solidFill>
                </w14:textFill>
              </w:rPr>
              <w:t>的通知》（粤环函〔2023〕538号），VOCs收集效率见下表：</w:t>
            </w:r>
          </w:p>
          <w:p w14:paraId="6539BD3B">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VOCs认定收集效率表</w:t>
            </w:r>
          </w:p>
          <w:tbl>
            <w:tblPr>
              <w:tblStyle w:val="46"/>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0" w:type="dxa"/>
                <w:bottom w:w="0" w:type="dxa"/>
                <w:right w:w="0" w:type="dxa"/>
              </w:tblCellMar>
            </w:tblPr>
            <w:tblGrid>
              <w:gridCol w:w="698"/>
              <w:gridCol w:w="2533"/>
              <w:gridCol w:w="3424"/>
              <w:gridCol w:w="1192"/>
            </w:tblGrid>
            <w:tr w14:paraId="5AB82D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bottom w:val="single" w:color="auto" w:sz="4" w:space="0"/>
                    <w:right w:val="single" w:color="auto" w:sz="6" w:space="0"/>
                  </w:tcBorders>
                  <w:vAlign w:val="center"/>
                </w:tcPr>
                <w:p w14:paraId="68FB0BBF">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废气收集类型</w:t>
                  </w:r>
                </w:p>
              </w:tc>
              <w:tc>
                <w:tcPr>
                  <w:tcW w:w="1614" w:type="pct"/>
                  <w:tcBorders>
                    <w:left w:val="single" w:color="auto" w:sz="6" w:space="0"/>
                    <w:bottom w:val="single" w:color="auto" w:sz="4" w:space="0"/>
                    <w:right w:val="single" w:color="auto" w:sz="6" w:space="0"/>
                  </w:tcBorders>
                  <w:vAlign w:val="center"/>
                </w:tcPr>
                <w:p w14:paraId="341A341D">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废气收集方式</w:t>
                  </w:r>
                </w:p>
              </w:tc>
              <w:tc>
                <w:tcPr>
                  <w:tcW w:w="2182" w:type="pct"/>
                  <w:tcBorders>
                    <w:left w:val="single" w:color="auto" w:sz="6" w:space="0"/>
                    <w:bottom w:val="single" w:color="auto" w:sz="6" w:space="0"/>
                    <w:right w:val="single" w:color="auto" w:sz="6" w:space="0"/>
                  </w:tcBorders>
                  <w:vAlign w:val="center"/>
                </w:tcPr>
                <w:p w14:paraId="207E6963">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情况说明</w:t>
                  </w:r>
                </w:p>
              </w:tc>
              <w:tc>
                <w:tcPr>
                  <w:tcW w:w="758" w:type="pct"/>
                  <w:tcBorders>
                    <w:left w:val="single" w:color="auto" w:sz="6" w:space="0"/>
                    <w:bottom w:val="single" w:color="auto" w:sz="6" w:space="0"/>
                  </w:tcBorders>
                  <w:vAlign w:val="center"/>
                </w:tcPr>
                <w:p w14:paraId="74EF4F42">
                  <w:pPr>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收集效率%</w:t>
                  </w:r>
                </w:p>
              </w:tc>
            </w:tr>
            <w:tr w14:paraId="5F44A79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773A14E6">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全密封设备/空间</w:t>
                  </w:r>
                </w:p>
              </w:tc>
              <w:tc>
                <w:tcPr>
                  <w:tcW w:w="1614" w:type="pct"/>
                  <w:tcBorders>
                    <w:top w:val="single" w:color="auto" w:sz="4" w:space="0"/>
                    <w:left w:val="single" w:color="auto" w:sz="6" w:space="0"/>
                    <w:bottom w:val="single" w:color="auto" w:sz="4" w:space="0"/>
                    <w:right w:val="single" w:color="auto" w:sz="4" w:space="0"/>
                  </w:tcBorders>
                  <w:vAlign w:val="center"/>
                </w:tcPr>
                <w:p w14:paraId="3CF61AE9">
                  <w:pPr>
                    <w:spacing w:line="240" w:lineRule="auto"/>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单层密闭负压</w:t>
                  </w:r>
                </w:p>
              </w:tc>
              <w:tc>
                <w:tcPr>
                  <w:tcW w:w="2182" w:type="pct"/>
                  <w:tcBorders>
                    <w:top w:val="single" w:color="auto" w:sz="6" w:space="0"/>
                    <w:left w:val="single" w:color="auto" w:sz="4" w:space="0"/>
                    <w:bottom w:val="single" w:color="auto" w:sz="6" w:space="0"/>
                    <w:right w:val="single" w:color="auto" w:sz="6" w:space="0"/>
                  </w:tcBorders>
                  <w:vAlign w:val="center"/>
                </w:tcPr>
                <w:p w14:paraId="2599C091">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VOCs产生源设置在密闭车间、密闭设备（含反应釜）、密闭管道内，所有开口处，包括人员或物料进出口处呈负压</w:t>
                  </w:r>
                </w:p>
              </w:tc>
              <w:tc>
                <w:tcPr>
                  <w:tcW w:w="758" w:type="pct"/>
                  <w:tcBorders>
                    <w:top w:val="single" w:color="auto" w:sz="6" w:space="0"/>
                    <w:left w:val="single" w:color="auto" w:sz="6" w:space="0"/>
                    <w:bottom w:val="single" w:color="auto" w:sz="6" w:space="0"/>
                  </w:tcBorders>
                  <w:vAlign w:val="center"/>
                </w:tcPr>
                <w:p w14:paraId="5389C1D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9</w:t>
                  </w:r>
                  <w:r>
                    <w:rPr>
                      <w:rFonts w:hint="eastAsia" w:cs="Times New Roman"/>
                      <w:b/>
                      <w:bCs/>
                      <w:color w:val="000000" w:themeColor="text1"/>
                      <w:sz w:val="21"/>
                      <w:szCs w:val="21"/>
                      <w:highlight w:val="none"/>
                      <w:lang w:val="en-US" w:eastAsia="zh-CN"/>
                      <w14:textFill>
                        <w14:solidFill>
                          <w14:schemeClr w14:val="tx1"/>
                        </w14:solidFill>
                      </w14:textFill>
                    </w:rPr>
                    <w:t>0</w:t>
                  </w:r>
                </w:p>
              </w:tc>
            </w:tr>
            <w:tr w14:paraId="0359BFF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5F87AB3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17AB4DE6">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单层密闭正压</w:t>
                  </w:r>
                </w:p>
              </w:tc>
              <w:tc>
                <w:tcPr>
                  <w:tcW w:w="2182" w:type="pct"/>
                  <w:tcBorders>
                    <w:top w:val="single" w:color="auto" w:sz="6" w:space="0"/>
                    <w:left w:val="single" w:color="auto" w:sz="4" w:space="0"/>
                    <w:bottom w:val="single" w:color="auto" w:sz="6" w:space="0"/>
                    <w:right w:val="single" w:color="auto" w:sz="6" w:space="0"/>
                  </w:tcBorders>
                  <w:vAlign w:val="center"/>
                </w:tcPr>
                <w:p w14:paraId="116D6FC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VOCs 产生源设置在密闭车间内，所有开口处，包括人员或物料进出口处呈正压，且无明显泄漏点</w:t>
                  </w:r>
                </w:p>
              </w:tc>
              <w:tc>
                <w:tcPr>
                  <w:tcW w:w="758" w:type="pct"/>
                  <w:tcBorders>
                    <w:top w:val="single" w:color="auto" w:sz="6" w:space="0"/>
                    <w:left w:val="single" w:color="auto" w:sz="6" w:space="0"/>
                    <w:bottom w:val="single" w:color="auto" w:sz="6" w:space="0"/>
                  </w:tcBorders>
                  <w:vAlign w:val="center"/>
                </w:tcPr>
                <w:p w14:paraId="4EFC6D5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w:t>
                  </w:r>
                  <w:r>
                    <w:rPr>
                      <w:rFonts w:hint="eastAsia" w:cs="Times New Roman"/>
                      <w:color w:val="000000" w:themeColor="text1"/>
                      <w:sz w:val="21"/>
                      <w:szCs w:val="21"/>
                      <w:highlight w:val="none"/>
                      <w:lang w:val="en-US" w:eastAsia="zh-CN"/>
                      <w14:textFill>
                        <w14:solidFill>
                          <w14:schemeClr w14:val="tx1"/>
                        </w14:solidFill>
                      </w14:textFill>
                    </w:rPr>
                    <w:t>0</w:t>
                  </w:r>
                </w:p>
              </w:tc>
            </w:tr>
            <w:tr w14:paraId="2F40C60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6415F34D">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5FC48540">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双层密闭空间</w:t>
                  </w:r>
                </w:p>
              </w:tc>
              <w:tc>
                <w:tcPr>
                  <w:tcW w:w="2182" w:type="pct"/>
                  <w:tcBorders>
                    <w:top w:val="single" w:color="auto" w:sz="6" w:space="0"/>
                    <w:left w:val="single" w:color="auto" w:sz="4" w:space="0"/>
                    <w:bottom w:val="single" w:color="auto" w:sz="6" w:space="0"/>
                    <w:right w:val="single" w:color="auto" w:sz="6" w:space="0"/>
                  </w:tcBorders>
                  <w:vAlign w:val="center"/>
                </w:tcPr>
                <w:p w14:paraId="0680E8B2">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内层空间密闭正压、外层空间密闭负压</w:t>
                  </w:r>
                </w:p>
              </w:tc>
              <w:tc>
                <w:tcPr>
                  <w:tcW w:w="758" w:type="pct"/>
                  <w:tcBorders>
                    <w:top w:val="single" w:color="auto" w:sz="6" w:space="0"/>
                    <w:left w:val="single" w:color="auto" w:sz="6" w:space="0"/>
                    <w:bottom w:val="single" w:color="auto" w:sz="6" w:space="0"/>
                  </w:tcBorders>
                  <w:vAlign w:val="center"/>
                </w:tcPr>
                <w:p w14:paraId="437C6910">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98</w:t>
                  </w:r>
                </w:p>
              </w:tc>
            </w:tr>
            <w:tr w14:paraId="6F039A6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2C435293">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tcBorders>
                    <w:top w:val="single" w:color="auto" w:sz="4" w:space="0"/>
                    <w:left w:val="single" w:color="auto" w:sz="6" w:space="0"/>
                    <w:bottom w:val="single" w:color="auto" w:sz="4" w:space="0"/>
                    <w:right w:val="single" w:color="auto" w:sz="4" w:space="0"/>
                  </w:tcBorders>
                  <w:vAlign w:val="center"/>
                </w:tcPr>
                <w:p w14:paraId="459F8CB7">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设备排放口直连</w:t>
                  </w:r>
                </w:p>
              </w:tc>
              <w:tc>
                <w:tcPr>
                  <w:tcW w:w="2182" w:type="pct"/>
                  <w:tcBorders>
                    <w:top w:val="single" w:color="auto" w:sz="6" w:space="0"/>
                    <w:left w:val="single" w:color="auto" w:sz="4" w:space="0"/>
                    <w:bottom w:val="single" w:color="auto" w:sz="6" w:space="0"/>
                    <w:right w:val="single" w:color="auto" w:sz="6" w:space="0"/>
                  </w:tcBorders>
                  <w:vAlign w:val="center"/>
                </w:tcPr>
                <w:p w14:paraId="4AF916E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设备有固定排放管（或口）直接与风管连接，设备整体密闭只留产品进出口，且进出口处有废气收集措施，收集系统运行时周边基本无VOCs散发</w:t>
                  </w:r>
                </w:p>
              </w:tc>
              <w:tc>
                <w:tcPr>
                  <w:tcW w:w="758" w:type="pct"/>
                  <w:tcBorders>
                    <w:top w:val="single" w:color="auto" w:sz="6" w:space="0"/>
                    <w:left w:val="single" w:color="auto" w:sz="6" w:space="0"/>
                    <w:bottom w:val="single" w:color="auto" w:sz="6" w:space="0"/>
                  </w:tcBorders>
                  <w:vAlign w:val="center"/>
                </w:tcPr>
                <w:p w14:paraId="66F06A7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95</w:t>
                  </w:r>
                </w:p>
              </w:tc>
            </w:tr>
            <w:tr w14:paraId="4E8F42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6861CAF9">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半密闭型集气设备（含排气柜）</w:t>
                  </w:r>
                </w:p>
              </w:tc>
              <w:tc>
                <w:tcPr>
                  <w:tcW w:w="1614" w:type="pct"/>
                  <w:vMerge w:val="restart"/>
                  <w:tcBorders>
                    <w:top w:val="single" w:color="auto" w:sz="4" w:space="0"/>
                    <w:left w:val="single" w:color="auto" w:sz="4" w:space="0"/>
                    <w:right w:val="single" w:color="auto" w:sz="4" w:space="0"/>
                  </w:tcBorders>
                  <w:vAlign w:val="center"/>
                </w:tcPr>
                <w:p w14:paraId="01DC397E">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污染物产生点（或生产设施）四周及上下有围挡设施，符合</w:t>
                  </w:r>
                  <w:r>
                    <w:rPr>
                      <w:rFonts w:hint="eastAsia" w:cs="Times New Roman"/>
                      <w:color w:val="000000" w:themeColor="text1"/>
                      <w:sz w:val="21"/>
                      <w:szCs w:val="21"/>
                      <w:highlight w:val="none"/>
                      <w:lang w:eastAsia="zh-CN"/>
                      <w14:textFill>
                        <w14:solidFill>
                          <w14:schemeClr w14:val="tx1"/>
                        </w14:solidFill>
                      </w14:textFill>
                    </w:rPr>
                    <w:t>以</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下三种情况：</w:t>
                  </w:r>
                </w:p>
                <w:p w14:paraId="4AC02FF8">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1、仅保留一个操作工位面；</w:t>
                  </w:r>
                </w:p>
                <w:p w14:paraId="068891FF">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2、仅保留物料进出通道，通道敞开面小于1个操作工位面</w:t>
                  </w:r>
                  <w:r>
                    <w:rPr>
                      <w:rFonts w:hint="eastAsia" w:cs="Times New Roman"/>
                      <w:color w:val="000000" w:themeColor="text1"/>
                      <w:sz w:val="21"/>
                      <w:szCs w:val="21"/>
                      <w:highlight w:val="none"/>
                      <w:lang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186E7265">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敞开面控制风速不小于0.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3F1E69F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w:t>
                  </w:r>
                </w:p>
              </w:tc>
            </w:tr>
            <w:tr w14:paraId="1E7C69E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7B0F222A">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left w:val="single" w:color="auto" w:sz="4" w:space="0"/>
                    <w:bottom w:val="single" w:color="auto" w:sz="4" w:space="0"/>
                    <w:right w:val="single" w:color="auto" w:sz="4" w:space="0"/>
                  </w:tcBorders>
                  <w:vAlign w:val="center"/>
                </w:tcPr>
                <w:p w14:paraId="716A5045">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67665A67">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敞开面控制风速小于0.3m/s；</w:t>
                  </w:r>
                </w:p>
              </w:tc>
              <w:tc>
                <w:tcPr>
                  <w:tcW w:w="758" w:type="pct"/>
                  <w:tcBorders>
                    <w:top w:val="single" w:color="auto" w:sz="6" w:space="0"/>
                    <w:left w:val="single" w:color="auto" w:sz="6" w:space="0"/>
                    <w:bottom w:val="single" w:color="auto" w:sz="6" w:space="0"/>
                  </w:tcBorders>
                  <w:vAlign w:val="center"/>
                </w:tcPr>
                <w:p w14:paraId="13630F6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50E2A4E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384BB56E">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包围型集气设备</w:t>
                  </w:r>
                </w:p>
              </w:tc>
              <w:tc>
                <w:tcPr>
                  <w:tcW w:w="1614" w:type="pct"/>
                  <w:vMerge w:val="restart"/>
                  <w:tcBorders>
                    <w:top w:val="single" w:color="auto" w:sz="4" w:space="0"/>
                    <w:left w:val="single" w:color="auto" w:sz="4" w:space="0"/>
                    <w:right w:val="single" w:color="auto" w:sz="4" w:space="0"/>
                  </w:tcBorders>
                  <w:vAlign w:val="center"/>
                </w:tcPr>
                <w:p w14:paraId="386D3E05">
                  <w:pPr>
                    <w:spacing w:line="240" w:lineRule="auto"/>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通过软质垂帘四周围挡（偶有部分敞开）</w:t>
                  </w:r>
                </w:p>
              </w:tc>
              <w:tc>
                <w:tcPr>
                  <w:tcW w:w="2182" w:type="pct"/>
                  <w:tcBorders>
                    <w:top w:val="single" w:color="auto" w:sz="6" w:space="0"/>
                    <w:left w:val="single" w:color="auto" w:sz="4" w:space="0"/>
                    <w:bottom w:val="single" w:color="auto" w:sz="6" w:space="0"/>
                    <w:right w:val="single" w:color="auto" w:sz="6" w:space="0"/>
                  </w:tcBorders>
                  <w:vAlign w:val="center"/>
                </w:tcPr>
                <w:p w14:paraId="0A567A9A">
                  <w:pPr>
                    <w:spacing w:line="240" w:lineRule="auto"/>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敞开面控制风速不小于0.</w:t>
                  </w:r>
                  <w:r>
                    <w:rPr>
                      <w:rFonts w:hint="eastAsia" w:cs="Times New Roman"/>
                      <w:b w:val="0"/>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5B8EB9D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0</w:t>
                  </w:r>
                </w:p>
              </w:tc>
            </w:tr>
            <w:tr w14:paraId="669CCCE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3048CC0F">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left w:val="single" w:color="auto" w:sz="4" w:space="0"/>
                    <w:bottom w:val="single" w:color="auto" w:sz="4" w:space="0"/>
                    <w:right w:val="single" w:color="auto" w:sz="4" w:space="0"/>
                  </w:tcBorders>
                  <w:vAlign w:val="center"/>
                </w:tcPr>
                <w:p w14:paraId="58DEF9BD">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37914ACB">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敞开面控制风速小于0.3m/s；</w:t>
                  </w:r>
                </w:p>
              </w:tc>
              <w:tc>
                <w:tcPr>
                  <w:tcW w:w="758" w:type="pct"/>
                  <w:tcBorders>
                    <w:top w:val="single" w:color="auto" w:sz="6" w:space="0"/>
                    <w:left w:val="single" w:color="auto" w:sz="6" w:space="0"/>
                    <w:bottom w:val="single" w:color="auto" w:sz="6" w:space="0"/>
                  </w:tcBorders>
                  <w:vAlign w:val="center"/>
                </w:tcPr>
                <w:p w14:paraId="6A7BD6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7447DF5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3553C81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外部型集气设备</w:t>
                  </w:r>
                </w:p>
              </w:tc>
              <w:tc>
                <w:tcPr>
                  <w:tcW w:w="1614" w:type="pct"/>
                  <w:vMerge w:val="restart"/>
                  <w:tcBorders>
                    <w:top w:val="single" w:color="auto" w:sz="4" w:space="0"/>
                    <w:left w:val="single" w:color="auto" w:sz="6" w:space="0"/>
                    <w:bottom w:val="single" w:color="auto" w:sz="4" w:space="0"/>
                    <w:right w:val="single" w:color="auto" w:sz="4" w:space="0"/>
                  </w:tcBorders>
                  <w:vAlign w:val="center"/>
                </w:tcPr>
                <w:p w14:paraId="7D140DBC">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6E437570">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相应工位所有VOCs逸散点控制风速不小于0.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m/s</w:t>
                  </w:r>
                </w:p>
              </w:tc>
              <w:tc>
                <w:tcPr>
                  <w:tcW w:w="758" w:type="pct"/>
                  <w:tcBorders>
                    <w:top w:val="single" w:color="auto" w:sz="6" w:space="0"/>
                    <w:left w:val="single" w:color="auto" w:sz="6" w:space="0"/>
                    <w:bottom w:val="single" w:color="auto" w:sz="6" w:space="0"/>
                  </w:tcBorders>
                  <w:vAlign w:val="center"/>
                </w:tcPr>
                <w:p w14:paraId="2174AF5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r w14:paraId="3021AB2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6759F0D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14" w:type="pct"/>
                  <w:vMerge w:val="continue"/>
                  <w:tcBorders>
                    <w:top w:val="single" w:color="auto" w:sz="4" w:space="0"/>
                    <w:left w:val="single" w:color="auto" w:sz="6" w:space="0"/>
                    <w:bottom w:val="single" w:color="auto" w:sz="4" w:space="0"/>
                    <w:right w:val="single" w:color="auto" w:sz="4" w:space="0"/>
                  </w:tcBorders>
                  <w:vAlign w:val="center"/>
                </w:tcPr>
                <w:p w14:paraId="2AF5F0D2">
                  <w:pPr>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2182" w:type="pct"/>
                  <w:tcBorders>
                    <w:top w:val="single" w:color="auto" w:sz="6" w:space="0"/>
                    <w:left w:val="single" w:color="auto" w:sz="4" w:space="0"/>
                    <w:bottom w:val="single" w:color="auto" w:sz="6" w:space="0"/>
                    <w:right w:val="single" w:color="auto" w:sz="6" w:space="0"/>
                  </w:tcBorders>
                  <w:vAlign w:val="center"/>
                </w:tcPr>
                <w:p w14:paraId="744AAFF9">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相应工位所有VOCs逸散点控制风速小于0.3m/s，或存在强对流干扰</w:t>
                  </w:r>
                </w:p>
              </w:tc>
              <w:tc>
                <w:tcPr>
                  <w:tcW w:w="758" w:type="pct"/>
                  <w:tcBorders>
                    <w:top w:val="single" w:color="auto" w:sz="6" w:space="0"/>
                    <w:left w:val="single" w:color="auto" w:sz="6" w:space="0"/>
                    <w:bottom w:val="single" w:color="auto" w:sz="6" w:space="0"/>
                  </w:tcBorders>
                  <w:vAlign w:val="center"/>
                </w:tcPr>
                <w:p w14:paraId="4C93583C">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666E612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top w:val="single" w:color="auto" w:sz="4" w:space="0"/>
                    <w:bottom w:val="single" w:color="auto" w:sz="4" w:space="0"/>
                    <w:right w:val="single" w:color="auto" w:sz="6" w:space="0"/>
                  </w:tcBorders>
                  <w:vAlign w:val="center"/>
                </w:tcPr>
                <w:p w14:paraId="10661F3D">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无集气设施</w:t>
                  </w:r>
                </w:p>
              </w:tc>
              <w:tc>
                <w:tcPr>
                  <w:tcW w:w="1614" w:type="pct"/>
                  <w:tcBorders>
                    <w:top w:val="single" w:color="auto" w:sz="4" w:space="0"/>
                    <w:left w:val="single" w:color="auto" w:sz="6" w:space="0"/>
                    <w:bottom w:val="single" w:color="auto" w:sz="4" w:space="0"/>
                    <w:right w:val="single" w:color="auto" w:sz="4" w:space="0"/>
                  </w:tcBorders>
                  <w:vAlign w:val="center"/>
                </w:tcPr>
                <w:p w14:paraId="72F1201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182" w:type="pct"/>
                  <w:tcBorders>
                    <w:top w:val="single" w:color="auto" w:sz="6" w:space="0"/>
                    <w:left w:val="single" w:color="auto" w:sz="4" w:space="0"/>
                    <w:bottom w:val="single" w:color="auto" w:sz="6" w:space="0"/>
                    <w:right w:val="single" w:color="auto" w:sz="6" w:space="0"/>
                  </w:tcBorders>
                  <w:vAlign w:val="center"/>
                </w:tcPr>
                <w:p w14:paraId="0B4FE104">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1、无集气设施；2、集气设施运行不正常</w:t>
                  </w:r>
                </w:p>
              </w:tc>
              <w:tc>
                <w:tcPr>
                  <w:tcW w:w="758" w:type="pct"/>
                  <w:tcBorders>
                    <w:top w:val="single" w:color="auto" w:sz="6" w:space="0"/>
                    <w:left w:val="single" w:color="auto" w:sz="6" w:space="0"/>
                    <w:bottom w:val="single" w:color="auto" w:sz="6" w:space="0"/>
                  </w:tcBorders>
                  <w:vAlign w:val="center"/>
                </w:tcPr>
                <w:p w14:paraId="7ED5D1D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r>
            <w:tr w14:paraId="47B91AC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5000" w:type="pct"/>
                  <w:gridSpan w:val="4"/>
                  <w:tcBorders>
                    <w:top w:val="single" w:color="auto" w:sz="4" w:space="0"/>
                  </w:tcBorders>
                  <w:vAlign w:val="center"/>
                </w:tcPr>
                <w:p w14:paraId="12D7B274">
                  <w:pPr>
                    <w:spacing w:line="24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备注：同一工序具有多种废气收集类型的，该工序按照废气收集效率最高的类型取值。</w:t>
                  </w:r>
                </w:p>
              </w:tc>
            </w:tr>
          </w:tbl>
          <w:p w14:paraId="1D113036">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由上表可知：</w:t>
            </w:r>
          </w:p>
          <w:p w14:paraId="08749CA7">
            <w:pPr>
              <w:spacing w:line="360" w:lineRule="auto"/>
              <w:ind w:firstLine="480" w:firstLineChars="200"/>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炼胶、硫化成型、移印、烘烤等车间均为密闭生产车间</w:t>
            </w:r>
            <w:r>
              <w:rPr>
                <w:rFonts w:hint="eastAsia" w:ascii="宋体" w:hAnsi="宋体" w:cs="宋体"/>
                <w:color w:val="000000" w:themeColor="text1"/>
                <w:kern w:val="0"/>
                <w:sz w:val="24"/>
                <w:szCs w:val="24"/>
                <w:lang w:val="en-US" w:eastAsia="zh-CN" w:bidi="ar"/>
                <w14:textFill>
                  <w14:solidFill>
                    <w14:schemeClr w14:val="tx1"/>
                  </w14:solidFill>
                </w14:textFill>
              </w:rPr>
              <w:t>并在产污设备上方设置集气罩，</w:t>
            </w:r>
            <w:r>
              <w:rPr>
                <w:rFonts w:hint="eastAsia" w:ascii="宋体" w:hAnsi="宋体" w:eastAsia="宋体" w:cs="宋体"/>
                <w:color w:val="000000" w:themeColor="text1"/>
                <w:kern w:val="0"/>
                <w:sz w:val="24"/>
                <w:szCs w:val="24"/>
                <w:lang w:val="en-US" w:eastAsia="zh-CN" w:bidi="ar"/>
                <w14:textFill>
                  <w14:solidFill>
                    <w14:schemeClr w14:val="tx1"/>
                  </w14:solidFill>
                </w14:textFill>
              </w:rPr>
              <w:t>参考《广东省工业源挥发性有机物减排量核算方法（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2023 </w:t>
            </w:r>
            <w:r>
              <w:rPr>
                <w:rFonts w:hint="eastAsia" w:ascii="宋体" w:hAnsi="宋体" w:eastAsia="宋体" w:cs="宋体"/>
                <w:color w:val="000000" w:themeColor="text1"/>
                <w:kern w:val="0"/>
                <w:sz w:val="24"/>
                <w:szCs w:val="24"/>
                <w:lang w:val="en-US" w:eastAsia="zh-CN" w:bidi="ar"/>
                <w14:textFill>
                  <w14:solidFill>
                    <w14:schemeClr w14:val="tx1"/>
                  </w14:solidFill>
                </w14:textFill>
              </w:rPr>
              <w:t>年修订版）》表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3.3-2</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废气收集集气效率参考值中，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全密封设备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空间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单层密闭负压</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-VOCs</w:t>
            </w:r>
            <w:r>
              <w:rPr>
                <w:rFonts w:hint="eastAsia" w:ascii="宋体" w:hAnsi="宋体" w:eastAsia="宋体" w:cs="宋体"/>
                <w:color w:val="000000" w:themeColor="text1"/>
                <w:kern w:val="0"/>
                <w:sz w:val="24"/>
                <w:szCs w:val="24"/>
                <w:lang w:val="en-US" w:eastAsia="zh-CN" w:bidi="ar"/>
                <w14:textFill>
                  <w14:solidFill>
                    <w14:schemeClr w14:val="tx1"/>
                  </w14:solidFill>
                </w14:textFill>
              </w:rPr>
              <w:t>产生源设置在密闭车间内，所有开口处，包括人员或物料进出口处呈负压，且无明显泄漏点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收集效率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w:t>
            </w:r>
            <w:r>
              <w:rPr>
                <w:rFonts w:hint="eastAsia" w:cs="Times New Roman"/>
                <w:color w:val="000000" w:themeColor="text1"/>
                <w:kern w:val="0"/>
                <w:sz w:val="24"/>
                <w:szCs w:val="24"/>
                <w:lang w:val="en-US" w:eastAsia="zh-CN" w:bidi="ar"/>
                <w14:textFill>
                  <w14:solidFill>
                    <w14:schemeClr w14:val="tx1"/>
                  </w14:solidFill>
                </w14:textFill>
              </w:rPr>
              <w:t>。项目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生产设备设置在密闭车间内，密闭车间内采用抽风系统，且控制风速不小于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0.5m/s</w:t>
            </w:r>
            <w:r>
              <w:rPr>
                <w:rFonts w:hint="eastAsia" w:ascii="宋体" w:hAnsi="宋体" w:eastAsia="宋体" w:cs="宋体"/>
                <w:color w:val="000000" w:themeColor="text1"/>
                <w:kern w:val="0"/>
                <w:sz w:val="24"/>
                <w:szCs w:val="24"/>
                <w:lang w:val="en-US" w:eastAsia="zh-CN" w:bidi="ar"/>
                <w14:textFill>
                  <w14:solidFill>
                    <w14:schemeClr w14:val="tx1"/>
                  </w14:solidFill>
                </w14:textFill>
              </w:rPr>
              <w:t>，设计风量较大。经上述措施后，车间内的空气可形成对流，加强车间内废气流向的一致性，提高了废气的收集率。</w:t>
            </w:r>
            <w:r>
              <w:rPr>
                <w:rFonts w:hint="eastAsia" w:ascii="宋体" w:hAnsi="宋体" w:cs="宋体"/>
                <w:color w:val="000000" w:themeColor="text1"/>
                <w:kern w:val="0"/>
                <w:sz w:val="24"/>
                <w:szCs w:val="24"/>
                <w:lang w:val="en-US" w:eastAsia="zh-CN" w:bidi="ar"/>
                <w14:textFill>
                  <w14:solidFill>
                    <w14:schemeClr w14:val="tx1"/>
                  </w14:solidFill>
                </w14:textFill>
              </w:rPr>
              <w:t>故</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项目收集效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率取</w:t>
            </w:r>
            <w:r>
              <w:rPr>
                <w:rFonts w:hint="eastAsia" w:cs="Times New Roman"/>
                <w:color w:val="000000" w:themeColor="text1"/>
                <w:kern w:val="0"/>
                <w:sz w:val="24"/>
                <w:szCs w:val="24"/>
                <w:lang w:val="en-US" w:eastAsia="zh-CN" w:bidi="ar"/>
                <w14:textFill>
                  <w14:solidFill>
                    <w14:schemeClr w14:val="tx1"/>
                  </w14:solidFill>
                </w14:textFill>
              </w:rPr>
              <w:t>9</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0%计。</w:t>
            </w:r>
          </w:p>
          <w:p w14:paraId="6B099E56">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废气处理效率分析：</w:t>
            </w:r>
          </w:p>
          <w:p w14:paraId="63F93D8E">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①有机废气</w:t>
            </w:r>
          </w:p>
          <w:p w14:paraId="1AFD74E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项目拟设置1套“</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吸附装置”处理废气</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参考《广东省家具行业挥发性有机化合物废气治理技术指南》（粤环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2013</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79号）中对有机废气治理设施的治理效率可得，吸附法处理效率为50～80%（本报告一级活性炭处理效率取60%，二级活性炭处理效率取50%），项目采取两级活性炭串联方式，当存在两种或两种以上治理设施联合治理时，治理效率可按公式η=1-（1-η</w:t>
            </w:r>
            <w:r>
              <w:rPr>
                <w:rFonts w:hint="default" w:ascii="Times New Roman" w:hAnsi="Times New Roman" w:cs="Times New Roman"/>
                <w:color w:val="000000" w:themeColor="text1"/>
                <w:sz w:val="24"/>
                <w:highlight w:val="none"/>
                <w:vertAlign w:val="subscript"/>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n</w:t>
            </w:r>
            <w:r>
              <w:rPr>
                <w:rFonts w:hint="default" w:ascii="Times New Roman" w:hAnsi="Times New Roman" w:cs="Times New Roman"/>
                <w:color w:val="000000" w:themeColor="text1"/>
                <w:sz w:val="24"/>
                <w:highlight w:val="none"/>
                <w14:textFill>
                  <w14:solidFill>
                    <w14:schemeClr w14:val="tx1"/>
                  </w14:solidFill>
                </w14:textFill>
              </w:rPr>
              <w:t>）进行计算，则本项目废气处理工艺对有机废气总处理效率合计为1-（1-60%）×（1-50%）=80%。</w:t>
            </w:r>
          </w:p>
          <w:p w14:paraId="36199799">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综上，</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w:t>
            </w:r>
            <w:r>
              <w:rPr>
                <w:rFonts w:hint="eastAsia" w:cs="Times New Roman"/>
                <w:color w:val="000000" w:themeColor="text1"/>
                <w:sz w:val="24"/>
                <w:highlight w:val="none"/>
                <w:lang w:val="en-US" w:eastAsia="zh-CN"/>
                <w14:textFill>
                  <w14:solidFill>
                    <w14:schemeClr w14:val="tx1"/>
                  </w14:solidFill>
                </w14:textFill>
              </w:rPr>
              <w:t>的综合处理效率80%。</w:t>
            </w:r>
          </w:p>
          <w:p w14:paraId="2DD844BE">
            <w:pPr>
              <w:spacing w:line="360" w:lineRule="auto"/>
              <w:ind w:firstLine="480" w:firstLineChars="200"/>
              <w:rPr>
                <w:rFonts w:hint="default"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（4）风量设计</w:t>
            </w:r>
          </w:p>
          <w:p w14:paraId="4757C23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参照《废气处理工程技术手册》（化学工业出版社，2013年版）中的顶吸罩风量计算：</w:t>
            </w:r>
          </w:p>
          <w:p w14:paraId="55315C40">
            <w:pPr>
              <w:spacing w:line="360" w:lineRule="auto"/>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L=3600（W+B）HVx</w:t>
            </w:r>
          </w:p>
          <w:p w14:paraId="4CA9877A">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其中：L——集气罩排气量，m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/h；</w:t>
            </w:r>
          </w:p>
          <w:p w14:paraId="5E995A6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W——集气罩口长度，m；</w:t>
            </w:r>
          </w:p>
          <w:p w14:paraId="2F0E9E2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B——集气罩口宽度，m；</w:t>
            </w:r>
          </w:p>
          <w:p w14:paraId="45E4B0F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H——排气罩至污染源的距离，m；</w:t>
            </w:r>
          </w:p>
          <w:p w14:paraId="6BEF6D0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Vx——控制风速，项目废气以较低的速度散发到较平静的空气中，集气罩吸入速度取0.5m/s；</w:t>
            </w:r>
          </w:p>
          <w:p w14:paraId="247CAEF1">
            <w:pPr>
              <w:spacing w:line="360" w:lineRule="auto"/>
              <w:ind w:firstLine="480" w:firstLineChars="200"/>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集气罩风量计算如下表所示：</w:t>
            </w:r>
          </w:p>
          <w:p w14:paraId="26E67DA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eastAsia"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集</w:t>
            </w:r>
            <w:r>
              <w:rPr>
                <w:rFonts w:hint="eastAsia" w:cs="Times New Roman"/>
                <w:b/>
                <w:color w:val="000000" w:themeColor="text1"/>
                <w:sz w:val="21"/>
                <w:szCs w:val="21"/>
                <w:highlight w:val="none"/>
                <w:lang w:val="en-US" w:eastAsia="zh-CN"/>
                <w14:textFill>
                  <w14:solidFill>
                    <w14:schemeClr w14:val="tx1"/>
                  </w14:solidFill>
                </w14:textFill>
              </w:rPr>
              <w:t>气罩风量计算表</w:t>
            </w:r>
          </w:p>
          <w:tbl>
            <w:tblPr>
              <w:tblStyle w:val="46"/>
              <w:tblW w:w="7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5"/>
              <w:gridCol w:w="1052"/>
              <w:gridCol w:w="528"/>
              <w:gridCol w:w="575"/>
              <w:gridCol w:w="542"/>
              <w:gridCol w:w="767"/>
              <w:gridCol w:w="767"/>
              <w:gridCol w:w="784"/>
              <w:gridCol w:w="693"/>
              <w:gridCol w:w="1031"/>
            </w:tblGrid>
            <w:tr w14:paraId="367B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restart"/>
                  <w:tcBorders>
                    <w:top w:val="single" w:color="000000" w:sz="4" w:space="0"/>
                    <w:left w:val="single" w:color="000000" w:sz="4" w:space="0"/>
                    <w:bottom w:val="single" w:color="000000" w:sz="4" w:space="0"/>
                    <w:right w:val="single" w:color="000000" w:sz="4" w:space="0"/>
                  </w:tcBorders>
                  <w:vAlign w:val="center"/>
                </w:tcPr>
                <w:p w14:paraId="751840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产污类别</w:t>
                  </w:r>
                </w:p>
              </w:tc>
              <w:tc>
                <w:tcPr>
                  <w:tcW w:w="670" w:type="pct"/>
                  <w:vMerge w:val="restart"/>
                  <w:tcBorders>
                    <w:top w:val="single" w:color="000000" w:sz="4" w:space="0"/>
                    <w:left w:val="single" w:color="000000" w:sz="4" w:space="0"/>
                    <w:bottom w:val="single" w:color="000000" w:sz="4" w:space="0"/>
                    <w:right w:val="single" w:color="000000" w:sz="4" w:space="0"/>
                  </w:tcBorders>
                  <w:vAlign w:val="center"/>
                </w:tcPr>
                <w:p w14:paraId="13400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产污设备</w:t>
                  </w:r>
                </w:p>
              </w:tc>
              <w:tc>
                <w:tcPr>
                  <w:tcW w:w="336" w:type="pct"/>
                  <w:vMerge w:val="restart"/>
                  <w:tcBorders>
                    <w:top w:val="single" w:color="000000" w:sz="4" w:space="0"/>
                    <w:left w:val="single" w:color="000000" w:sz="4" w:space="0"/>
                    <w:bottom w:val="single" w:color="000000" w:sz="4" w:space="0"/>
                    <w:right w:val="single" w:color="000000" w:sz="4" w:space="0"/>
                  </w:tcBorders>
                  <w:vAlign w:val="center"/>
                </w:tcPr>
                <w:p w14:paraId="7CC850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设备数量</w:t>
                  </w:r>
                </w:p>
              </w:tc>
              <w:tc>
                <w:tcPr>
                  <w:tcW w:w="1687" w:type="pct"/>
                  <w:gridSpan w:val="4"/>
                  <w:tcBorders>
                    <w:top w:val="single" w:color="000000" w:sz="4" w:space="0"/>
                    <w:left w:val="single" w:color="000000" w:sz="4" w:space="0"/>
                    <w:bottom w:val="single" w:color="000000" w:sz="4" w:space="0"/>
                    <w:right w:val="single" w:color="000000" w:sz="4" w:space="0"/>
                  </w:tcBorders>
                  <w:vAlign w:val="center"/>
                </w:tcPr>
                <w:p w14:paraId="08D8A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集气罩参数</w:t>
                  </w:r>
                </w:p>
              </w:tc>
              <w:tc>
                <w:tcPr>
                  <w:tcW w:w="499" w:type="pct"/>
                  <w:vMerge w:val="restart"/>
                  <w:tcBorders>
                    <w:top w:val="single" w:color="000000" w:sz="4" w:space="0"/>
                    <w:left w:val="single" w:color="000000" w:sz="4" w:space="0"/>
                    <w:bottom w:val="single" w:color="000000" w:sz="4" w:space="0"/>
                    <w:right w:val="single" w:color="000000" w:sz="4" w:space="0"/>
                  </w:tcBorders>
                  <w:vAlign w:val="center"/>
                </w:tcPr>
                <w:p w14:paraId="07E7EF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单个集气罩风量m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/h</w:t>
                  </w:r>
                </w:p>
              </w:tc>
              <w:tc>
                <w:tcPr>
                  <w:tcW w:w="439" w:type="pct"/>
                  <w:vMerge w:val="restart"/>
                  <w:tcBorders>
                    <w:top w:val="single" w:color="000000" w:sz="4" w:space="0"/>
                    <w:left w:val="single" w:color="000000" w:sz="4" w:space="0"/>
                    <w:bottom w:val="single" w:color="000000" w:sz="4" w:space="0"/>
                    <w:right w:val="single" w:color="000000" w:sz="4" w:space="0"/>
                  </w:tcBorders>
                  <w:vAlign w:val="center"/>
                </w:tcPr>
                <w:p w14:paraId="12134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总集气罩数量</w:t>
                  </w:r>
                </w:p>
              </w:tc>
              <w:tc>
                <w:tcPr>
                  <w:tcW w:w="656" w:type="pct"/>
                  <w:vMerge w:val="restart"/>
                  <w:tcBorders>
                    <w:top w:val="single" w:color="000000" w:sz="4" w:space="0"/>
                    <w:left w:val="single" w:color="000000" w:sz="4" w:space="0"/>
                    <w:bottom w:val="single" w:color="000000" w:sz="4" w:space="0"/>
                    <w:right w:val="single" w:color="000000" w:sz="4" w:space="0"/>
                  </w:tcBorders>
                  <w:vAlign w:val="center"/>
                </w:tcPr>
                <w:p w14:paraId="6076A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集气罩计算总风量m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/h</w:t>
                  </w:r>
                </w:p>
              </w:tc>
            </w:tr>
            <w:tr w14:paraId="0F1D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top w:val="single" w:color="000000" w:sz="4" w:space="0"/>
                    <w:left w:val="single" w:color="000000" w:sz="4" w:space="0"/>
                    <w:bottom w:val="single" w:color="000000" w:sz="4" w:space="0"/>
                    <w:right w:val="single" w:color="000000" w:sz="4" w:space="0"/>
                  </w:tcBorders>
                  <w:vAlign w:val="center"/>
                </w:tcPr>
                <w:p w14:paraId="5D4C8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670" w:type="pct"/>
                  <w:vMerge w:val="continue"/>
                  <w:tcBorders>
                    <w:top w:val="single" w:color="000000" w:sz="4" w:space="0"/>
                    <w:left w:val="single" w:color="000000" w:sz="4" w:space="0"/>
                    <w:bottom w:val="single" w:color="000000" w:sz="4" w:space="0"/>
                    <w:right w:val="single" w:color="000000" w:sz="4" w:space="0"/>
                  </w:tcBorders>
                  <w:vAlign w:val="center"/>
                </w:tcPr>
                <w:p w14:paraId="0E48B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36" w:type="pct"/>
                  <w:vMerge w:val="continue"/>
                  <w:tcBorders>
                    <w:top w:val="single" w:color="000000" w:sz="4" w:space="0"/>
                    <w:left w:val="single" w:color="000000" w:sz="4" w:space="0"/>
                    <w:bottom w:val="single" w:color="000000" w:sz="4" w:space="0"/>
                    <w:right w:val="single" w:color="000000" w:sz="4" w:space="0"/>
                  </w:tcBorders>
                  <w:vAlign w:val="center"/>
                </w:tcPr>
                <w:p w14:paraId="578111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66" w:type="pct"/>
                  <w:tcBorders>
                    <w:top w:val="single" w:color="000000" w:sz="4" w:space="0"/>
                    <w:left w:val="single" w:color="000000" w:sz="4" w:space="0"/>
                    <w:bottom w:val="single" w:color="000000" w:sz="4" w:space="0"/>
                    <w:right w:val="single" w:color="000000" w:sz="4" w:space="0"/>
                  </w:tcBorders>
                  <w:vAlign w:val="center"/>
                </w:tcPr>
                <w:p w14:paraId="03229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长度m</w:t>
                  </w:r>
                </w:p>
              </w:tc>
              <w:tc>
                <w:tcPr>
                  <w:tcW w:w="345" w:type="pct"/>
                  <w:tcBorders>
                    <w:top w:val="single" w:color="000000" w:sz="4" w:space="0"/>
                    <w:left w:val="single" w:color="000000" w:sz="4" w:space="0"/>
                    <w:bottom w:val="single" w:color="000000" w:sz="4" w:space="0"/>
                    <w:right w:val="single" w:color="000000" w:sz="4" w:space="0"/>
                  </w:tcBorders>
                  <w:vAlign w:val="center"/>
                </w:tcPr>
                <w:p w14:paraId="02926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宽度m</w:t>
                  </w:r>
                </w:p>
              </w:tc>
              <w:tc>
                <w:tcPr>
                  <w:tcW w:w="488" w:type="pct"/>
                  <w:tcBorders>
                    <w:top w:val="single" w:color="000000" w:sz="4" w:space="0"/>
                    <w:left w:val="single" w:color="000000" w:sz="4" w:space="0"/>
                    <w:bottom w:val="single" w:color="000000" w:sz="4" w:space="0"/>
                    <w:right w:val="single" w:color="000000" w:sz="4" w:space="0"/>
                  </w:tcBorders>
                  <w:vAlign w:val="center"/>
                </w:tcPr>
                <w:p w14:paraId="3044A3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至罩口距离m</w:t>
                  </w:r>
                </w:p>
              </w:tc>
              <w:tc>
                <w:tcPr>
                  <w:tcW w:w="488" w:type="pct"/>
                  <w:tcBorders>
                    <w:top w:val="single" w:color="000000" w:sz="4" w:space="0"/>
                    <w:left w:val="single" w:color="000000" w:sz="4" w:space="0"/>
                    <w:bottom w:val="single" w:color="000000" w:sz="4" w:space="0"/>
                    <w:right w:val="single" w:color="000000" w:sz="4" w:space="0"/>
                  </w:tcBorders>
                  <w:vAlign w:val="center"/>
                </w:tcPr>
                <w:p w14:paraId="244C5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控制风速m/s</w:t>
                  </w:r>
                </w:p>
              </w:tc>
              <w:tc>
                <w:tcPr>
                  <w:tcW w:w="499" w:type="pct"/>
                  <w:vMerge w:val="continue"/>
                  <w:tcBorders>
                    <w:top w:val="single" w:color="000000" w:sz="4" w:space="0"/>
                    <w:left w:val="single" w:color="000000" w:sz="4" w:space="0"/>
                    <w:bottom w:val="single" w:color="000000" w:sz="4" w:space="0"/>
                    <w:right w:val="single" w:color="000000" w:sz="4" w:space="0"/>
                  </w:tcBorders>
                  <w:vAlign w:val="center"/>
                </w:tcPr>
                <w:p w14:paraId="001FF8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39" w:type="pct"/>
                  <w:vMerge w:val="continue"/>
                  <w:tcBorders>
                    <w:top w:val="single" w:color="000000" w:sz="4" w:space="0"/>
                    <w:left w:val="single" w:color="000000" w:sz="4" w:space="0"/>
                    <w:bottom w:val="single" w:color="000000" w:sz="4" w:space="0"/>
                    <w:right w:val="single" w:color="000000" w:sz="4" w:space="0"/>
                  </w:tcBorders>
                  <w:vAlign w:val="center"/>
                </w:tcPr>
                <w:p w14:paraId="4C2A7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656" w:type="pct"/>
                  <w:vMerge w:val="continue"/>
                  <w:tcBorders>
                    <w:top w:val="single" w:color="000000" w:sz="4" w:space="0"/>
                    <w:left w:val="single" w:color="000000" w:sz="4" w:space="0"/>
                    <w:bottom w:val="single" w:color="000000" w:sz="4" w:space="0"/>
                    <w:right w:val="single" w:color="000000" w:sz="4" w:space="0"/>
                  </w:tcBorders>
                  <w:vAlign w:val="center"/>
                </w:tcPr>
                <w:p w14:paraId="4719E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r>
            <w:tr w14:paraId="1A62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restart"/>
                  <w:tcBorders>
                    <w:top w:val="single" w:color="000000" w:sz="4" w:space="0"/>
                    <w:left w:val="single" w:color="000000" w:sz="4" w:space="0"/>
                    <w:right w:val="single" w:color="000000" w:sz="4" w:space="0"/>
                  </w:tcBorders>
                  <w:vAlign w:val="center"/>
                </w:tcPr>
                <w:p w14:paraId="4EE83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SA"/>
                      <w14:textFill>
                        <w14:solidFill>
                          <w14:schemeClr w14:val="tx1"/>
                        </w14:solidFill>
                      </w14:textFill>
                    </w:rPr>
                    <w:t>有机废气</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BC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炼胶机</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F5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36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38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30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07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2A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6F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7C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720</w:t>
                  </w:r>
                </w:p>
              </w:tc>
            </w:tr>
            <w:tr w14:paraId="04770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right w:val="single" w:color="000000" w:sz="4" w:space="0"/>
                  </w:tcBorders>
                  <w:vAlign w:val="center"/>
                </w:tcPr>
                <w:p w14:paraId="2FFC36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5F1098BF">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成型机</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497D4D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23F6FD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712995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08EE07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143391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828E9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5B0D8E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30D4A7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4320</w:t>
                  </w:r>
                </w:p>
              </w:tc>
            </w:tr>
            <w:tr w14:paraId="19C7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right w:val="single" w:color="000000" w:sz="4" w:space="0"/>
                  </w:tcBorders>
                  <w:vAlign w:val="center"/>
                </w:tcPr>
                <w:p w14:paraId="3A9DD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146C67FE">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移印机</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63F553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0B7128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72961A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514862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6987CB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EB255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23B9B9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5A9A3A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1440</w:t>
                  </w:r>
                </w:p>
              </w:tc>
            </w:tr>
            <w:tr w14:paraId="7BAF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10" w:type="pct"/>
                  <w:vMerge w:val="continue"/>
                  <w:tcBorders>
                    <w:left w:val="single" w:color="000000" w:sz="4" w:space="0"/>
                    <w:bottom w:val="single" w:color="000000" w:sz="4" w:space="0"/>
                    <w:right w:val="single" w:color="000000" w:sz="4" w:space="0"/>
                  </w:tcBorders>
                  <w:vAlign w:val="center"/>
                </w:tcPr>
                <w:p w14:paraId="62D6F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2ED5FE30">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烤炉</w:t>
                  </w:r>
                </w:p>
              </w:tc>
              <w:tc>
                <w:tcPr>
                  <w:tcW w:w="336" w:type="pct"/>
                  <w:tcBorders>
                    <w:top w:val="single" w:color="000000" w:sz="4" w:space="0"/>
                    <w:left w:val="single" w:color="000000" w:sz="4" w:space="0"/>
                    <w:bottom w:val="single" w:color="000000" w:sz="4" w:space="0"/>
                    <w:right w:val="single" w:color="000000" w:sz="4" w:space="0"/>
                  </w:tcBorders>
                  <w:noWrap/>
                  <w:vAlign w:val="center"/>
                </w:tcPr>
                <w:p w14:paraId="6A7821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366" w:type="pct"/>
                  <w:tcBorders>
                    <w:top w:val="single" w:color="000000" w:sz="4" w:space="0"/>
                    <w:left w:val="single" w:color="000000" w:sz="4" w:space="0"/>
                    <w:bottom w:val="single" w:color="000000" w:sz="4" w:space="0"/>
                    <w:right w:val="single" w:color="000000" w:sz="4" w:space="0"/>
                  </w:tcBorders>
                  <w:noWrap/>
                  <w:vAlign w:val="center"/>
                </w:tcPr>
                <w:p w14:paraId="05E737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345" w:type="pct"/>
                  <w:tcBorders>
                    <w:top w:val="single" w:color="000000" w:sz="4" w:space="0"/>
                    <w:left w:val="single" w:color="000000" w:sz="4" w:space="0"/>
                    <w:bottom w:val="single" w:color="000000" w:sz="4" w:space="0"/>
                    <w:right w:val="single" w:color="000000" w:sz="4" w:space="0"/>
                  </w:tcBorders>
                  <w:noWrap/>
                  <w:vAlign w:val="center"/>
                </w:tcPr>
                <w:p w14:paraId="3414E1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7FBF39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488" w:type="pct"/>
                  <w:tcBorders>
                    <w:top w:val="single" w:color="000000" w:sz="4" w:space="0"/>
                    <w:left w:val="single" w:color="000000" w:sz="4" w:space="0"/>
                    <w:bottom w:val="single" w:color="000000" w:sz="4" w:space="0"/>
                    <w:right w:val="single" w:color="000000" w:sz="4" w:space="0"/>
                  </w:tcBorders>
                  <w:noWrap/>
                  <w:vAlign w:val="center"/>
                </w:tcPr>
                <w:p w14:paraId="27ECAC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3695F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264C2A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30A28E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432</w:t>
                  </w:r>
                </w:p>
              </w:tc>
            </w:tr>
            <w:tr w14:paraId="49761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4343" w:type="pct"/>
                  <w:gridSpan w:val="9"/>
                  <w:tcBorders>
                    <w:top w:val="single" w:color="000000" w:sz="4" w:space="0"/>
                    <w:left w:val="single" w:color="000000" w:sz="4" w:space="0"/>
                    <w:bottom w:val="single" w:color="000000" w:sz="4" w:space="0"/>
                    <w:right w:val="single" w:color="000000" w:sz="4" w:space="0"/>
                  </w:tcBorders>
                  <w:vAlign w:val="center"/>
                </w:tcPr>
                <w:p w14:paraId="39977B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合计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F2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vertAlign w:val="superscript"/>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r>
                    <w:rPr>
                      <w:rFonts w:hint="eastAsia" w:cs="Times New Roman"/>
                      <w:i w:val="0"/>
                      <w:iCs w:val="0"/>
                      <w:color w:val="000000" w:themeColor="text1"/>
                      <w:kern w:val="0"/>
                      <w:sz w:val="21"/>
                      <w:szCs w:val="21"/>
                      <w:u w:val="none"/>
                      <w:lang w:val="en-US" w:eastAsia="zh-CN"/>
                      <w14:textFill>
                        <w14:solidFill>
                          <w14:schemeClr w14:val="tx1"/>
                        </w14:solidFill>
                      </w14:textFill>
                    </w:rPr>
                    <w:t>912</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vertAlign w:val="baseline"/>
                      <w:lang w:val="en-US" w:eastAsia="zh-CN"/>
                      <w14:textFill>
                        <w14:solidFill>
                          <w14:schemeClr w14:val="tx1"/>
                        </w14:solidFill>
                      </w14:textFill>
                    </w:rPr>
                    <w:t>/h</w:t>
                  </w:r>
                </w:p>
              </w:tc>
            </w:tr>
            <w:tr w14:paraId="2DFA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4343" w:type="pct"/>
                  <w:gridSpan w:val="9"/>
                  <w:tcBorders>
                    <w:top w:val="single" w:color="000000" w:sz="4" w:space="0"/>
                    <w:left w:val="single" w:color="000000" w:sz="4" w:space="0"/>
                    <w:bottom w:val="single" w:color="000000" w:sz="4" w:space="0"/>
                    <w:right w:val="single" w:color="000000" w:sz="4" w:space="0"/>
                  </w:tcBorders>
                  <w:vAlign w:val="center"/>
                </w:tcPr>
                <w:p w14:paraId="73A4FF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环评取值（考虑风阻损失等）</w:t>
                  </w:r>
                </w:p>
              </w:tc>
              <w:tc>
                <w:tcPr>
                  <w:tcW w:w="656" w:type="pct"/>
                  <w:tcBorders>
                    <w:top w:val="single" w:color="000000" w:sz="4" w:space="0"/>
                    <w:left w:val="single" w:color="000000" w:sz="4" w:space="0"/>
                    <w:bottom w:val="single" w:color="000000" w:sz="4" w:space="0"/>
                    <w:right w:val="single" w:color="000000" w:sz="4" w:space="0"/>
                  </w:tcBorders>
                  <w:noWrap/>
                  <w:vAlign w:val="center"/>
                </w:tcPr>
                <w:p w14:paraId="250F99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850</w:t>
                  </w: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0m</w:t>
                  </w:r>
                  <w:r>
                    <w:rPr>
                      <w:rFonts w:hint="eastAsia" w:ascii="Times New Roman" w:hAnsi="Times New Roman" w:eastAsia="宋体" w:cs="Times New Roman"/>
                      <w:i w:val="0"/>
                      <w:iCs w:val="0"/>
                      <w:color w:val="000000" w:themeColor="text1"/>
                      <w:kern w:val="0"/>
                      <w:sz w:val="21"/>
                      <w:szCs w:val="21"/>
                      <w:u w:val="none"/>
                      <w:vertAlign w:val="superscript"/>
                      <w:lang w:val="en-US" w:eastAsia="zh-CN"/>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vertAlign w:val="baseline"/>
                      <w:lang w:val="en-US" w:eastAsia="zh-CN"/>
                      <w14:textFill>
                        <w14:solidFill>
                          <w14:schemeClr w14:val="tx1"/>
                        </w14:solidFill>
                      </w14:textFill>
                    </w:rPr>
                    <w:t>/h</w:t>
                  </w:r>
                </w:p>
              </w:tc>
            </w:tr>
          </w:tbl>
          <w:p w14:paraId="34B22C1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炼胶、硫化成型、移印、烘烤等车间均为密闭生产车间。密闭车间的体积分别约为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270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216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105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共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1101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。按照《三废处理工程设计手册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第十七章 净化系统的设计要求，工厂（一般作业室）换气次数应不少于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次，为加强废气收集效率，本项目车间换气次数取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6 </w:t>
            </w:r>
            <w:r>
              <w:rPr>
                <w:rFonts w:hint="eastAsia" w:ascii="宋体" w:hAnsi="宋体" w:eastAsia="宋体" w:cs="宋体"/>
                <w:color w:val="000000" w:themeColor="text1"/>
                <w:kern w:val="0"/>
                <w:sz w:val="24"/>
                <w:szCs w:val="24"/>
                <w:lang w:val="en-US" w:eastAsia="zh-CN" w:bidi="ar"/>
                <w14:textFill>
                  <w14:solidFill>
                    <w14:schemeClr w14:val="tx1"/>
                  </w14:solidFill>
                </w14:textFill>
              </w:rPr>
              <w:t>次</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eastAsia" w:ascii="宋体" w:hAnsi="宋体" w:eastAsia="宋体" w:cs="宋体"/>
                <w:color w:val="000000" w:themeColor="text1"/>
                <w:kern w:val="0"/>
                <w:sz w:val="24"/>
                <w:szCs w:val="24"/>
                <w:lang w:val="en-US" w:eastAsia="zh-CN" w:bidi="ar"/>
                <w14:textFill>
                  <w14:solidFill>
                    <w14:schemeClr w14:val="tx1"/>
                  </w14:solidFill>
                </w14:textFill>
              </w:rPr>
              <w:t>，则所需风机抽风量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6606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/h。本次设计抽风量为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85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00m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 &gt;</w:t>
            </w:r>
            <w:r>
              <w:rPr>
                <w:rFonts w:hint="eastAsia" w:ascii="宋体" w:hAnsi="宋体" w:eastAsia="宋体" w:cs="宋体"/>
                <w:color w:val="000000" w:themeColor="text1"/>
                <w:kern w:val="0"/>
                <w:sz w:val="24"/>
                <w:szCs w:val="24"/>
                <w:lang w:val="en-US" w:eastAsia="zh-CN" w:bidi="ar"/>
                <w14:textFill>
                  <w14:solidFill>
                    <w14:schemeClr w14:val="tx1"/>
                  </w14:solidFill>
                </w14:textFill>
              </w:rPr>
              <w:t>送风量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6606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/h</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可使整个车间保持微负压状态，可使污染物有序、有方向排出。</w:t>
            </w:r>
          </w:p>
          <w:p w14:paraId="5C740840">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6、事故工况（非正常工况）废气污染物排放</w:t>
            </w:r>
          </w:p>
          <w:p w14:paraId="27DC35FB">
            <w:pPr>
              <w:spacing w:line="360" w:lineRule="auto"/>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本项目的非正常工况主要是污染物排放控制措施达不到应有效率，即处理设施发生故障，造成有机废气未经处理直接排放，其排放情况如下表。</w:t>
            </w:r>
          </w:p>
          <w:p w14:paraId="42A7044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非正常工况有机废气排放情况</w:t>
            </w:r>
          </w:p>
          <w:tbl>
            <w:tblPr>
              <w:tblStyle w:val="46"/>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57" w:type="dxa"/>
                <w:bottom w:w="0" w:type="dxa"/>
                <w:right w:w="57" w:type="dxa"/>
              </w:tblCellMar>
            </w:tblPr>
            <w:tblGrid>
              <w:gridCol w:w="1298"/>
              <w:gridCol w:w="1305"/>
              <w:gridCol w:w="1306"/>
              <w:gridCol w:w="1306"/>
              <w:gridCol w:w="1306"/>
              <w:gridCol w:w="1326"/>
            </w:tblGrid>
            <w:tr w14:paraId="26F7350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vMerge w:val="restart"/>
                  <w:tcBorders>
                    <w:right w:val="single" w:color="auto" w:sz="6" w:space="0"/>
                  </w:tcBorders>
                  <w:vAlign w:val="center"/>
                </w:tcPr>
                <w:p w14:paraId="7E7410E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污染源</w:t>
                  </w:r>
                </w:p>
              </w:tc>
              <w:tc>
                <w:tcPr>
                  <w:tcW w:w="831" w:type="pct"/>
                  <w:vMerge w:val="restart"/>
                  <w:tcBorders>
                    <w:left w:val="single" w:color="auto" w:sz="6" w:space="0"/>
                    <w:right w:val="single" w:color="auto" w:sz="6" w:space="0"/>
                  </w:tcBorders>
                  <w:vAlign w:val="center"/>
                </w:tcPr>
                <w:p w14:paraId="5F15BEA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污染物名称</w:t>
                  </w:r>
                </w:p>
              </w:tc>
              <w:tc>
                <w:tcPr>
                  <w:tcW w:w="832" w:type="pct"/>
                  <w:vMerge w:val="restart"/>
                  <w:tcBorders>
                    <w:left w:val="single" w:color="auto" w:sz="6" w:space="0"/>
                    <w:right w:val="single" w:color="auto" w:sz="6" w:space="0"/>
                  </w:tcBorders>
                  <w:vAlign w:val="center"/>
                </w:tcPr>
                <w:p w14:paraId="3E0C46C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非正常排放</w:t>
                  </w:r>
                </w:p>
                <w:p w14:paraId="4673F7A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原因</w:t>
                  </w:r>
                </w:p>
              </w:tc>
              <w:tc>
                <w:tcPr>
                  <w:tcW w:w="2508" w:type="pct"/>
                  <w:gridSpan w:val="3"/>
                  <w:tcBorders>
                    <w:left w:val="single" w:color="auto" w:sz="6" w:space="0"/>
                    <w:bottom w:val="single" w:color="auto" w:sz="6" w:space="0"/>
                    <w:right w:val="single" w:color="auto" w:sz="6" w:space="0"/>
                  </w:tcBorders>
                  <w:vAlign w:val="center"/>
                </w:tcPr>
                <w:p w14:paraId="3642289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非正常排放状况</w:t>
                  </w:r>
                </w:p>
              </w:tc>
            </w:tr>
            <w:tr w14:paraId="3ABD6DF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vMerge w:val="continue"/>
                  <w:tcBorders>
                    <w:bottom w:val="single" w:color="auto" w:sz="6" w:space="0"/>
                    <w:right w:val="single" w:color="auto" w:sz="6" w:space="0"/>
                  </w:tcBorders>
                  <w:vAlign w:val="center"/>
                </w:tcPr>
                <w:p w14:paraId="78C873F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1" w:type="pct"/>
                  <w:vMerge w:val="continue"/>
                  <w:tcBorders>
                    <w:left w:val="single" w:color="auto" w:sz="6" w:space="0"/>
                    <w:bottom w:val="single" w:color="auto" w:sz="6" w:space="0"/>
                    <w:right w:val="single" w:color="auto" w:sz="6" w:space="0"/>
                  </w:tcBorders>
                  <w:vAlign w:val="center"/>
                </w:tcPr>
                <w:p w14:paraId="487B895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2" w:type="pct"/>
                  <w:vMerge w:val="continue"/>
                  <w:tcBorders>
                    <w:left w:val="single" w:color="auto" w:sz="6" w:space="0"/>
                    <w:bottom w:val="single" w:color="auto" w:sz="6" w:space="0"/>
                    <w:right w:val="single" w:color="auto" w:sz="6" w:space="0"/>
                  </w:tcBorders>
                  <w:vAlign w:val="center"/>
                </w:tcPr>
                <w:p w14:paraId="22E2CF2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32" w:type="pct"/>
                  <w:tcBorders>
                    <w:left w:val="single" w:color="auto" w:sz="6" w:space="0"/>
                    <w:bottom w:val="single" w:color="auto" w:sz="6" w:space="0"/>
                    <w:right w:val="single" w:color="auto" w:sz="6" w:space="0"/>
                  </w:tcBorders>
                  <w:vAlign w:val="center"/>
                </w:tcPr>
                <w:p w14:paraId="659A0E6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频次及持续时间</w:t>
                  </w:r>
                </w:p>
              </w:tc>
              <w:tc>
                <w:tcPr>
                  <w:tcW w:w="832" w:type="pct"/>
                  <w:tcBorders>
                    <w:left w:val="single" w:color="auto" w:sz="6" w:space="0"/>
                    <w:bottom w:val="single" w:color="auto" w:sz="6" w:space="0"/>
                    <w:right w:val="single" w:color="auto" w:sz="6" w:space="0"/>
                  </w:tcBorders>
                  <w:vAlign w:val="center"/>
                </w:tcPr>
                <w:p w14:paraId="2962C1B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排放速率</w:t>
                  </w:r>
                </w:p>
                <w:p w14:paraId="36B5ACD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kg/h</w:t>
                  </w:r>
                </w:p>
              </w:tc>
              <w:tc>
                <w:tcPr>
                  <w:tcW w:w="843" w:type="pct"/>
                  <w:tcBorders>
                    <w:left w:val="nil"/>
                    <w:bottom w:val="single" w:color="auto" w:sz="6" w:space="0"/>
                    <w:right w:val="single" w:color="auto" w:sz="6" w:space="0"/>
                  </w:tcBorders>
                  <w:vAlign w:val="center"/>
                </w:tcPr>
                <w:p w14:paraId="5EBFDDE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排放浓度</w:t>
                  </w:r>
                </w:p>
                <w:p w14:paraId="0CD379B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mg/m</w:t>
                  </w:r>
                  <w:r>
                    <w:rPr>
                      <w:rFonts w:hint="default" w:ascii="Times New Roman" w:hAnsi="Times New Roman" w:cs="Times New Roman"/>
                      <w:b/>
                      <w:color w:val="000000" w:themeColor="text1"/>
                      <w:sz w:val="21"/>
                      <w:szCs w:val="21"/>
                      <w:highlight w:val="none"/>
                      <w:vertAlign w:val="superscript"/>
                      <w:lang w:val="en-US" w:eastAsia="zh-CN"/>
                      <w14:textFill>
                        <w14:solidFill>
                          <w14:schemeClr w14:val="tx1"/>
                        </w14:solidFill>
                      </w14:textFill>
                    </w:rPr>
                    <w:t>3</w:t>
                  </w:r>
                </w:p>
              </w:tc>
            </w:tr>
            <w:tr w14:paraId="7879CC1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57" w:type="dxa"/>
                  <w:bottom w:w="0" w:type="dxa"/>
                  <w:right w:w="57" w:type="dxa"/>
                </w:tblCellMar>
              </w:tblPrEx>
              <w:trPr>
                <w:cantSplit/>
                <w:trHeight w:val="397" w:hRule="atLeast"/>
                <w:jc w:val="center"/>
              </w:trPr>
              <w:tc>
                <w:tcPr>
                  <w:tcW w:w="827" w:type="pct"/>
                  <w:tcBorders>
                    <w:top w:val="single" w:color="auto" w:sz="6" w:space="0"/>
                    <w:right w:val="single" w:color="auto" w:sz="6" w:space="0"/>
                  </w:tcBorders>
                  <w:vAlign w:val="center"/>
                </w:tcPr>
                <w:p w14:paraId="5AC6639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有机废气</w:t>
                  </w:r>
                </w:p>
              </w:tc>
              <w:tc>
                <w:tcPr>
                  <w:tcW w:w="831" w:type="pct"/>
                  <w:tcBorders>
                    <w:top w:val="single" w:color="auto" w:sz="6" w:space="0"/>
                    <w:left w:val="single" w:color="auto" w:sz="6" w:space="0"/>
                    <w:bottom w:val="single" w:color="auto" w:sz="6" w:space="0"/>
                    <w:right w:val="single" w:color="auto" w:sz="6" w:space="0"/>
                  </w:tcBorders>
                  <w:vAlign w:val="center"/>
                </w:tcPr>
                <w:p w14:paraId="3EF1F93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VOCs</w:t>
                  </w:r>
                </w:p>
              </w:tc>
              <w:tc>
                <w:tcPr>
                  <w:tcW w:w="832" w:type="pct"/>
                  <w:tcBorders>
                    <w:top w:val="single" w:color="auto" w:sz="6" w:space="0"/>
                    <w:left w:val="single" w:color="auto" w:sz="6" w:space="0"/>
                    <w:right w:val="single" w:color="auto" w:sz="6" w:space="0"/>
                  </w:tcBorders>
                  <w:vAlign w:val="center"/>
                </w:tcPr>
                <w:p w14:paraId="28D27CD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处理设施发</w:t>
                  </w:r>
                </w:p>
                <w:p w14:paraId="45EADAF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生故障</w:t>
                  </w:r>
                </w:p>
              </w:tc>
              <w:tc>
                <w:tcPr>
                  <w:tcW w:w="832" w:type="pct"/>
                  <w:tcBorders>
                    <w:top w:val="single" w:color="auto" w:sz="6" w:space="0"/>
                    <w:left w:val="single" w:color="auto" w:sz="6" w:space="0"/>
                    <w:right w:val="single" w:color="auto" w:sz="6" w:space="0"/>
                  </w:tcBorders>
                  <w:vAlign w:val="center"/>
                </w:tcPr>
                <w:p w14:paraId="673EC56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1次/a，1h/次</w:t>
                  </w:r>
                </w:p>
              </w:tc>
              <w:tc>
                <w:tcPr>
                  <w:tcW w:w="1306" w:type="dxa"/>
                  <w:tcBorders>
                    <w:top w:val="single" w:color="auto" w:sz="6" w:space="0"/>
                    <w:left w:val="single" w:color="auto" w:sz="6" w:space="0"/>
                    <w:bottom w:val="single" w:color="auto" w:sz="6" w:space="0"/>
                    <w:right w:val="single" w:color="auto" w:sz="6" w:space="0"/>
                  </w:tcBorders>
                  <w:vAlign w:val="center"/>
                </w:tcPr>
                <w:p w14:paraId="757A985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048</w:t>
                  </w:r>
                </w:p>
              </w:tc>
              <w:tc>
                <w:tcPr>
                  <w:tcW w:w="1324" w:type="dxa"/>
                  <w:tcBorders>
                    <w:top w:val="single" w:color="auto" w:sz="6" w:space="0"/>
                    <w:left w:val="nil"/>
                    <w:bottom w:val="single" w:color="auto" w:sz="6" w:space="0"/>
                    <w:right w:val="single" w:color="auto" w:sz="6" w:space="0"/>
                  </w:tcBorders>
                  <w:vAlign w:val="center"/>
                </w:tcPr>
                <w:p w14:paraId="0E1E43E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5.6</w:t>
                  </w:r>
                </w:p>
              </w:tc>
            </w:tr>
          </w:tbl>
          <w:p w14:paraId="7A5295A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由上表可知，在非正常工况下污染物的排放大幅增加。为防止生产废气非正常工况排放，企业必须加强废气处理设施的管理，定期检修，确保废气处理设施正常运行，在废气处理设备停止运行或出现故障时，产生废气的各工序也必须相应停止操作。为防止废气非正常排放，应采取以下措施确保废气达标排放：</w:t>
            </w:r>
          </w:p>
          <w:p w14:paraId="18C4746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①安排专人负责环保设备的日常维护和管理，</w:t>
            </w:r>
            <w:r>
              <w:rPr>
                <w:rFonts w:hint="eastAsia" w:cs="Times New Roman"/>
                <w:color w:val="000000" w:themeColor="text1"/>
                <w:sz w:val="24"/>
                <w:highlight w:val="none"/>
                <w:lang w:eastAsia="zh-CN"/>
                <w14:textFill>
                  <w14:solidFill>
                    <w14:schemeClr w14:val="tx1"/>
                  </w14:solidFill>
                </w14:textFill>
              </w:rPr>
              <w:t>每隔</w:t>
            </w:r>
            <w:r>
              <w:rPr>
                <w:rFonts w:hint="default" w:ascii="Times New Roman" w:hAnsi="Times New Roman" w:cs="Times New Roman"/>
                <w:color w:val="000000" w:themeColor="text1"/>
                <w:sz w:val="24"/>
                <w:highlight w:val="none"/>
                <w14:textFill>
                  <w14:solidFill>
                    <w14:schemeClr w14:val="tx1"/>
                  </w14:solidFill>
                </w14:textFill>
              </w:rPr>
              <w:t>固定时间检查、汇报情况，及时发现废气处理设备的隐患，确保废气处理系统正常运行；</w:t>
            </w:r>
          </w:p>
          <w:p w14:paraId="7E357A2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②建立健全的环保管理机构，对环保管理人员和技术人员进行岗位培训，委托具有专业资质的环境检测单位对项目排放的各类污染物进行定期检测；</w:t>
            </w:r>
          </w:p>
          <w:p w14:paraId="75641917">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③应定期维护、检修废气净化装置，以保持废气处理装置的净化能力和净化容量</w:t>
            </w:r>
            <w:r>
              <w:rPr>
                <w:rFonts w:hint="eastAsia" w:cs="Times New Roman"/>
                <w:color w:val="000000" w:themeColor="text1"/>
                <w:sz w:val="24"/>
                <w:highlight w:val="none"/>
                <w:lang w:eastAsia="zh-CN"/>
                <w14:textFill>
                  <w14:solidFill>
                    <w14:schemeClr w14:val="tx1"/>
                  </w14:solidFill>
                </w14:textFill>
              </w:rPr>
              <w:t>。</w:t>
            </w:r>
          </w:p>
          <w:p w14:paraId="2E6E4332">
            <w:pPr>
              <w:spacing w:line="360" w:lineRule="auto"/>
              <w:ind w:firstLine="480" w:firstLineChars="200"/>
              <w:rPr>
                <w:rFonts w:hint="eastAsia"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7、</w:t>
            </w:r>
            <w:r>
              <w:rPr>
                <w:rFonts w:hint="eastAsia" w:cs="Times New Roman"/>
                <w:b/>
                <w:bCs/>
                <w:color w:val="000000" w:themeColor="text1"/>
                <w:sz w:val="24"/>
                <w:highlight w:val="none"/>
                <w:lang w:val="en-US" w:eastAsia="zh-CN"/>
                <w14:textFill>
                  <w14:solidFill>
                    <w14:schemeClr w14:val="tx1"/>
                  </w14:solidFill>
                </w14:textFill>
              </w:rPr>
              <w:t>措施可行性及其影响分析</w:t>
            </w:r>
          </w:p>
          <w:p w14:paraId="0CCDD418">
            <w:pPr>
              <w:keepNext w:val="0"/>
              <w:keepLines w:val="0"/>
              <w:widowControl/>
              <w:suppressLineNumbers w:val="0"/>
              <w:ind w:firstLine="480" w:firstLineChars="200"/>
              <w:jc w:val="left"/>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）废气治理设施可行性分析</w:t>
            </w:r>
          </w:p>
          <w:p w14:paraId="33951AF5">
            <w:pPr>
              <w:keepNext w:val="0"/>
              <w:keepLines w:val="0"/>
              <w:widowControl/>
              <w:suppressLineNumbers w:val="0"/>
              <w:ind w:firstLine="480" w:firstLineChars="20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根据《关于印发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&lt;</w:t>
            </w:r>
            <w:r>
              <w:rPr>
                <w:rFonts w:hint="eastAsia" w:ascii="宋体" w:hAnsi="宋体" w:eastAsia="宋体" w:cs="宋体"/>
                <w:color w:val="000000" w:themeColor="text1"/>
                <w:kern w:val="0"/>
                <w:sz w:val="24"/>
                <w:szCs w:val="24"/>
                <w:lang w:val="en-US" w:eastAsia="zh-CN" w:bidi="ar"/>
                <w14:textFill>
                  <w14:solidFill>
                    <w14:schemeClr w14:val="tx1"/>
                  </w14:solidFill>
                </w14:textFill>
              </w:rPr>
              <w:t>重点行业挥发性有机物综合治理方案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&gt;</w:t>
            </w:r>
            <w:r>
              <w:rPr>
                <w:rFonts w:hint="eastAsia" w:ascii="宋体" w:hAnsi="宋体" w:eastAsia="宋体" w:cs="宋体"/>
                <w:color w:val="000000" w:themeColor="text1"/>
                <w:kern w:val="0"/>
                <w:sz w:val="24"/>
                <w:szCs w:val="24"/>
                <w:lang w:val="en-US" w:eastAsia="zh-CN" w:bidi="ar"/>
                <w14:textFill>
                  <w14:solidFill>
                    <w14:schemeClr w14:val="tx1"/>
                  </w14:solidFill>
                </w14:textFill>
              </w:rPr>
              <w:t>的通知》（环大气〔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2019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53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号）中对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处理设施的要求，企业新建治污设施或对现有治污设施实施改造，应依据排放废气的浓度、组分、风量，温度、湿度、压力，以及生产工况等，合理选择治理技术。鼓励企业采用多种技术的组合工艺，提高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治理效率。低浓度、大风量废气，宜采用沸石转轮吸附、活性炭吸附、减风增浓等浓缩技术，提高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浓度后净化处理；高浓度废气，优先进行溶剂回收，难以回收的，宜采用高温焚烧、催化燃烧等技术。生物法主要适用于低浓度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废气治理和恶臭异味治理。本项目拟使用的有机废气工艺为活性炭吸附装置，属于推荐性挥发性有机物处理工艺技术。根据《排污许可证申请与核发技术规范 橡胶和塑料制品工业》（</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HJ1122-2020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）中表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A.1 </w:t>
            </w:r>
            <w:r>
              <w:rPr>
                <w:rFonts w:hint="eastAsia" w:ascii="宋体" w:hAnsi="宋体" w:eastAsia="宋体" w:cs="宋体"/>
                <w:color w:val="000000" w:themeColor="text1"/>
                <w:kern w:val="0"/>
                <w:sz w:val="24"/>
                <w:szCs w:val="24"/>
                <w:lang w:val="en-US" w:eastAsia="zh-CN" w:bidi="ar"/>
                <w14:textFill>
                  <w14:solidFill>
                    <w14:schemeClr w14:val="tx1"/>
                  </w14:solidFill>
                </w14:textFill>
              </w:rPr>
              <w:t>橡胶制品工业排污单位废气污染防治可行技术参考表可知，治理臭气浓度的可行技术包含吸附，本项目采用活性炭吸附处理废气，属于可行性技术。</w:t>
            </w:r>
          </w:p>
          <w:p w14:paraId="11D32F43">
            <w:pPr>
              <w:keepNext w:val="0"/>
              <w:keepLines w:val="0"/>
              <w:widowControl/>
              <w:numPr>
                <w:ilvl w:val="0"/>
                <w:numId w:val="11"/>
              </w:numPr>
              <w:suppressLineNumbers w:val="0"/>
              <w:ind w:firstLine="480" w:firstLineChars="200"/>
              <w:jc w:val="left"/>
              <w:rPr>
                <w:rFonts w:hint="eastAsia"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基准排气量</w:t>
            </w:r>
          </w:p>
          <w:p w14:paraId="0D779010">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①本项目 DA001 排气筒混合收集炼胶、硫化成型、移印、烘烤四道工序废气，执行《橡胶制品工业污染物排放标准》（GB27632-2011）表 5、《印刷工业大气污染物排放标准》（GB41616-2022）表 1 及《印刷行业挥发性有机化合物排放标准》（DB44/815-2010）表 2 三者较严值，即非甲烷总烃排放浓度 ≤10mg/m³。GB27632-2011 第 4.2.8 条基准排气量折算条款（2000m³/t 胶，统计周期为一个工作日）系针对表 5 中 "炼胶、硫化装置" 等单一生产装置排气筒设计，目的在于防止以大风量稀释排放规避达标。</w:t>
            </w:r>
          </w:p>
          <w:p w14:paraId="4C960003">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②本项目排气筒为多工序废气混合收集共用排放口，废气量由各工序集气罩捕集需求共同决定（炼胶 720 + 成型 4320 + 移印 1440 + 烘烤 432 = 6912 m³/h，取值 8500 m³/h），无法以 "单位胶料实际排气量" 单一口径对应核算基准排气量，该折算机制在本项目混合收集情形下不具可操作性。</w:t>
            </w:r>
          </w:p>
          <w:p w14:paraId="20913CA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③本项目非甲烷总烃预测排放浓度 1.1mg/m³，仅占执行限值 10mg/m³ 的 11%，浓度余量大；8500m³/h 风量系满足废气捕集效率 90% 的工程需要，不存在稀释排放行为。</w:t>
            </w:r>
          </w:p>
          <w:p w14:paraId="3A39C18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④建设单位承诺：运营期按 GB27632-2011 第 5.1.4 条核定胶料消耗量并留存台账；自行监测时同步记录排气量与胶料量，若按基准排气量口径折算浓度超标，立即采取强化治理措施（提高活性炭更换频次、增设深度治理设施）确保达标排放。</w:t>
            </w:r>
          </w:p>
          <w:p w14:paraId="02E9CB8D">
            <w:pPr>
              <w:spacing w:line="360" w:lineRule="auto"/>
              <w:ind w:left="480" w:leftChars="200" w:firstLine="0" w:firstLineChars="0"/>
              <w:rPr>
                <w:rFonts w:hint="default" w:ascii="Times New Roman" w:hAnsi="Times New Roman" w:cs="Times New Roman"/>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达标排放情况</w:t>
            </w:r>
          </w:p>
          <w:p w14:paraId="63C13E8A">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项目严格控制</w:t>
            </w:r>
            <w:r>
              <w:rPr>
                <w:rFonts w:hint="eastAsia" w:cs="Times New Roman"/>
                <w:color w:val="000000" w:themeColor="text1"/>
                <w:sz w:val="24"/>
                <w:highlight w:val="none"/>
                <w:lang w:val="en-US" w:eastAsia="zh-CN"/>
                <w14:textFill>
                  <w14:solidFill>
                    <w14:schemeClr w14:val="tx1"/>
                  </w14:solidFill>
                </w14:textFill>
              </w:rPr>
              <w:t>有机</w:t>
            </w:r>
            <w:r>
              <w:rPr>
                <w:rFonts w:hint="default" w:ascii="Times New Roman" w:hAnsi="Times New Roman" w:cs="Times New Roman"/>
                <w:color w:val="000000" w:themeColor="text1"/>
                <w:sz w:val="24"/>
                <w:highlight w:val="none"/>
                <w14:textFill>
                  <w14:solidFill>
                    <w14:schemeClr w14:val="tx1"/>
                  </w14:solidFill>
                </w14:textFill>
              </w:rPr>
              <w:t>废气排放，</w:t>
            </w:r>
            <w:r>
              <w:rPr>
                <w:rFonts w:hint="eastAsia" w:cs="Times New Roman"/>
                <w:color w:val="000000" w:themeColor="text1"/>
                <w:sz w:val="24"/>
                <w:highlight w:val="none"/>
                <w:lang w:val="en-US" w:eastAsia="zh-CN"/>
                <w14:textFill>
                  <w14:solidFill>
                    <w14:schemeClr w14:val="tx1"/>
                  </w14:solidFill>
                </w14:textFill>
              </w:rPr>
              <w:t>有组织有机废气排放符</w:t>
            </w:r>
            <w:r>
              <w:rPr>
                <w:rFonts w:hint="eastAsia" w:cs="Times New Roman"/>
                <w:color w:val="000000" w:themeColor="text1"/>
                <w:sz w:val="24"/>
                <w:szCs w:val="24"/>
                <w:highlight w:val="none"/>
                <w:lang w:val="en-US" w:eastAsia="zh-CN"/>
                <w14:textFill>
                  <w14:solidFill>
                    <w14:schemeClr w14:val="tx1"/>
                  </w14:solidFill>
                </w14:textFill>
              </w:rPr>
              <w:t>合</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厂区内无组织排放控制符合广东省《固定污染源挥发性有机物综合排放标准》（DB44/2367-2022）中表3厂区内VOCs无组织排放限值</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厂界无组织排放符合</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《橡胶制品工业污染物排放标准》（GB 27632-2011）表 6 现有和新建企业厂界无组织排放限值、《印刷行业挥发性有机化合物排放标准》（DB44/815</w:t>
            </w:r>
            <w:r>
              <w:rPr>
                <w:rFonts w:hint="eastAsia"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-2010）表3无组织排放监控点浓度限值两者较严值</w:t>
            </w:r>
            <w:r>
              <w:rPr>
                <w:rFonts w:hint="eastAsia" w:cs="Times New Roman"/>
                <w:color w:val="000000" w:themeColor="text1"/>
                <w:sz w:val="24"/>
                <w:highlight w:val="none"/>
                <w:lang w:eastAsia="zh-CN"/>
                <w14:textFill>
                  <w14:solidFill>
                    <w14:schemeClr w14:val="tx1"/>
                  </w14:solidFill>
                </w14:textFill>
              </w:rPr>
              <w:t>。</w:t>
            </w:r>
          </w:p>
          <w:p w14:paraId="1286B78C">
            <w:pPr>
              <w:spacing w:line="360" w:lineRule="auto"/>
              <w:ind w:firstLine="480" w:firstLineChars="200"/>
              <w:rPr>
                <w:rFonts w:hint="eastAsia"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项目臭气浓度有组织排放小于</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000（无量纲），符合《恶臭污染物排放标准》（GB14554-93）表2恶臭污染物排放标准值要求；通过加强车间密闭管理，臭气浓度无组织排放符合《恶臭污染物排放标准》（GB14554-93）表1恶臭污染物厂界新扩改建二级标准值要求</w:t>
            </w:r>
            <w:r>
              <w:rPr>
                <w:rFonts w:hint="eastAsia" w:cs="Times New Roman"/>
                <w:color w:val="000000" w:themeColor="text1"/>
                <w:sz w:val="24"/>
                <w:highlight w:val="none"/>
                <w:lang w:eastAsia="zh-CN"/>
                <w14:textFill>
                  <w14:solidFill>
                    <w14:schemeClr w14:val="tx1"/>
                  </w14:solidFill>
                </w14:textFill>
              </w:rPr>
              <w:t>；</w:t>
            </w:r>
          </w:p>
          <w:p w14:paraId="79CD439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VOCs物料储存无组织排放控制要求：</w:t>
            </w:r>
          </w:p>
          <w:p w14:paraId="2A05704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项目所用的物料均采用密封袋贮存于室内；危险废物经分类收集后用加厚胶袋盛装并进行密闭，暂存于专门的危废仓。故储存过程无VOCs的产生。因此，项目符合VOCs物料储存无组织排放控制要求。</w:t>
            </w:r>
          </w:p>
          <w:p w14:paraId="11A1F942">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VOCs物料转移和输送无组织排放控制要求：</w:t>
            </w:r>
          </w:p>
          <w:p w14:paraId="39C22DD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项目使用的原辅材料常温下不会挥发有机废气；危险废物经分类收集后用加厚胶袋密闭盛装后进行转移。因此，项目符合VOCs物料转移和输送无组织排放控制要求。</w:t>
            </w:r>
          </w:p>
          <w:p w14:paraId="3A4A5F2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工艺过程VOCs无组织排放控制要求：</w:t>
            </w:r>
          </w:p>
          <w:p w14:paraId="091BAE91">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VOCs质量占比大于等于10%的含VOCs产品，其使用过程应采用密闭设备或在密闭空间内操作，废气应排至VOCs废气收集处理系统</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无法密闭的，应采取局部气体收集措施，废气应排至VOCs废气收集处理系统</w:t>
            </w:r>
            <w:r>
              <w:rPr>
                <w:rFonts w:hint="eastAsia" w:cs="Times New Roman"/>
                <w:color w:val="000000" w:themeColor="text1"/>
                <w:sz w:val="24"/>
                <w:highlight w:val="none"/>
                <w:lang w:eastAsia="zh-CN"/>
                <w14:textFill>
                  <w14:solidFill>
                    <w14:schemeClr w14:val="tx1"/>
                  </w14:solidFill>
                </w14:textFill>
              </w:rPr>
              <w:t>。</w:t>
            </w:r>
          </w:p>
          <w:p w14:paraId="62E79E1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敞开液面VOCs无组织排放控制要求：</w:t>
            </w:r>
          </w:p>
          <w:p w14:paraId="0D549D1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项目生产过程中无含VOCs废水的排放。</w:t>
            </w:r>
          </w:p>
          <w:p w14:paraId="590857C4">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记录要求：企业拟建立台账，记录废气收集系统、VOCs处理设施的主要运行和维护信息，如运行时间、废气处理量、操作温度、停留时间、吸附剂再生/更换周期和更换量等关键运行参数。台账保存期限不少于5年。因此，项目符合VOCs无组织排放废气收集处理系统要求。</w:t>
            </w:r>
          </w:p>
          <w:p w14:paraId="72EA5C80">
            <w:pPr>
              <w:spacing w:line="360" w:lineRule="auto"/>
              <w:ind w:firstLine="480"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废气影响分析</w:t>
            </w:r>
          </w:p>
          <w:p w14:paraId="34BB45E0">
            <w:pPr>
              <w:shd w:val="clear" w:color="auto" w:fill="auto"/>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w:t>
            </w:r>
            <w:r>
              <w:rPr>
                <w:rFonts w:hint="default" w:ascii="Times New Roman" w:hAnsi="Times New Roman" w:cs="Times New Roman"/>
                <w:color w:val="000000" w:themeColor="text1"/>
                <w:highlight w:val="none"/>
                <w14:textFill>
                  <w14:solidFill>
                    <w14:schemeClr w14:val="tx1"/>
                  </w14:solidFill>
                </w14:textFill>
              </w:rPr>
              <w:t>《韶关市生态环境保护战略规划（2020-2035）》</w:t>
            </w:r>
            <w:r>
              <w:rPr>
                <w:rFonts w:hint="default" w:ascii="Times New Roman" w:hAnsi="Times New Roman" w:cs="Times New Roman"/>
                <w:color w:val="000000" w:themeColor="text1"/>
                <w:sz w:val="24"/>
                <w:highlight w:val="none"/>
                <w14:textFill>
                  <w14:solidFill>
                    <w14:schemeClr w14:val="tx1"/>
                  </w14:solidFill>
                </w14:textFill>
              </w:rPr>
              <w:t>，项目所在地属环境空气二类区域，根据</w:t>
            </w:r>
            <w:r>
              <w:rPr>
                <w:rFonts w:hint="default" w:ascii="Times New Roman" w:hAnsi="Times New Roman" w:cs="Times New Roman"/>
                <w:color w:val="000000" w:themeColor="text1"/>
                <w:highlight w:val="none"/>
                <w14:textFill>
                  <w14:solidFill>
                    <w14:schemeClr w14:val="tx1"/>
                  </w14:solidFill>
                </w14:textFill>
              </w:rPr>
              <w:t>《韶关市生态环境状况公报》（202</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年）</w:t>
            </w:r>
            <w:r>
              <w:rPr>
                <w:rFonts w:hint="default" w:ascii="Times New Roman" w:hAnsi="Times New Roman" w:cs="Times New Roman"/>
                <w:color w:val="000000" w:themeColor="text1"/>
                <w:sz w:val="24"/>
                <w:highlight w:val="none"/>
                <w14:textFill>
                  <w14:solidFill>
                    <w14:schemeClr w14:val="tx1"/>
                  </w14:solidFill>
                </w14:textFill>
              </w:rPr>
              <w:t>中的数据可知，</w:t>
            </w:r>
            <w:r>
              <w:rPr>
                <w:rFonts w:hint="default" w:ascii="Times New Roman" w:hAnsi="Times New Roman" w:cs="Times New Roman"/>
                <w:color w:val="000000" w:themeColor="text1"/>
                <w:highlight w:val="none"/>
                <w14:textFill>
                  <w14:solidFill>
                    <w14:schemeClr w14:val="tx1"/>
                  </w14:solidFill>
                </w14:textFill>
              </w:rPr>
              <w:t>韶关市区各常规监测因子均可满足国家《环境空气质量标准》（</w:t>
            </w:r>
            <w:r>
              <w:rPr>
                <w:rFonts w:hint="eastAsia" w:cs="Times New Roman"/>
                <w:color w:val="000000" w:themeColor="text1"/>
                <w:highlight w:val="none"/>
                <w:lang w:eastAsia="zh-CN"/>
                <w14:textFill>
                  <w14:solidFill>
                    <w14:schemeClr w14:val="tx1"/>
                  </w14:solidFill>
                </w14:textFill>
              </w:rPr>
              <w:t>GB3095-2026</w:t>
            </w:r>
            <w:r>
              <w:rPr>
                <w:rFonts w:hint="default" w:ascii="Times New Roman" w:hAnsi="Times New Roman" w:cs="Times New Roman"/>
                <w:color w:val="000000" w:themeColor="text1"/>
                <w:highlight w:val="none"/>
                <w14:textFill>
                  <w14:solidFill>
                    <w14:schemeClr w14:val="tx1"/>
                  </w14:solidFill>
                </w14:textFill>
              </w:rPr>
              <w:t>）过渡阶段浓度限值二级标准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项目所在地属于达标区。</w:t>
            </w:r>
          </w:p>
          <w:p w14:paraId="4374D96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本项目生产过程中产生的废气主要为</w:t>
            </w:r>
            <w:r>
              <w:rPr>
                <w:rFonts w:hint="eastAsia" w:cs="Times New Roman"/>
                <w:color w:val="000000" w:themeColor="text1"/>
                <w:sz w:val="24"/>
                <w:highlight w:val="none"/>
                <w:lang w:val="en-US" w:eastAsia="zh-CN"/>
                <w14:textFill>
                  <w14:solidFill>
                    <w14:schemeClr w14:val="tx1"/>
                  </w14:solidFill>
                </w14:textFill>
              </w:rPr>
              <w:t>VOCs</w:t>
            </w:r>
            <w:r>
              <w:rPr>
                <w:rFonts w:hint="default" w:ascii="Times New Roman" w:hAnsi="Times New Roman" w:cs="Times New Roman"/>
                <w:color w:val="000000" w:themeColor="text1"/>
                <w:sz w:val="24"/>
                <w:highlight w:val="none"/>
                <w14:textFill>
                  <w14:solidFill>
                    <w14:schemeClr w14:val="tx1"/>
                  </w14:solidFill>
                </w14:textFill>
              </w:rPr>
              <w:t>、臭气浓度，经“</w:t>
            </w:r>
            <w:r>
              <w:rPr>
                <w:rFonts w:hint="default" w:ascii="Times New Roman" w:hAnsi="Times New Roman" w:cs="Times New Roman"/>
                <w:color w:val="000000" w:themeColor="text1"/>
                <w:sz w:val="24"/>
                <w:highlight w:val="none"/>
                <w:lang w:val="en-US" w:eastAsia="zh-CN"/>
                <w14:textFill>
                  <w14:solidFill>
                    <w14:schemeClr w14:val="tx1"/>
                  </w14:solidFill>
                </w14:textFill>
              </w:rPr>
              <w:t>二级活性炭</w:t>
            </w:r>
            <w:r>
              <w:rPr>
                <w:rFonts w:hint="default" w:ascii="Times New Roman" w:hAnsi="Times New Roman" w:cs="Times New Roman"/>
                <w:color w:val="000000" w:themeColor="text1"/>
                <w:sz w:val="24"/>
                <w:highlight w:val="none"/>
                <w14:textFill>
                  <w14:solidFill>
                    <w14:schemeClr w14:val="tx1"/>
                  </w14:solidFill>
                </w14:textFill>
              </w:rPr>
              <w:t>吸附装置”处理达标后</w:t>
            </w:r>
            <w:r>
              <w:rPr>
                <w:rFonts w:hint="eastAsia" w:cs="Times New Roman"/>
                <w:color w:val="000000" w:themeColor="text1"/>
                <w:sz w:val="24"/>
                <w:highlight w:val="none"/>
                <w:lang w:val="en-US" w:eastAsia="zh-CN"/>
                <w14:textFill>
                  <w14:solidFill>
                    <w14:schemeClr w14:val="tx1"/>
                  </w14:solidFill>
                </w14:textFill>
              </w:rPr>
              <w:t>于25m排气筒DA001</w:t>
            </w:r>
            <w:r>
              <w:rPr>
                <w:rFonts w:hint="default" w:ascii="Times New Roman" w:hAnsi="Times New Roman" w:cs="Times New Roman"/>
                <w:color w:val="000000" w:themeColor="text1"/>
                <w:sz w:val="24"/>
                <w:highlight w:val="none"/>
                <w14:textFill>
                  <w14:solidFill>
                    <w14:schemeClr w14:val="tx1"/>
                  </w14:solidFill>
                </w14:textFill>
              </w:rPr>
              <w:t>高空排放</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因此，</w:t>
            </w:r>
            <w:r>
              <w:rPr>
                <w:rFonts w:hint="eastAsia" w:cs="Times New Roman"/>
                <w:color w:val="000000" w:themeColor="text1"/>
                <w:sz w:val="24"/>
                <w:highlight w:val="none"/>
                <w:lang w:val="en-US" w:eastAsia="zh-CN"/>
                <w14:textFill>
                  <w14:solidFill>
                    <w14:schemeClr w14:val="tx1"/>
                  </w14:solidFill>
                </w14:textFill>
              </w:rPr>
              <w:t>本项目运营期间产生的生产废气</w:t>
            </w:r>
            <w:r>
              <w:rPr>
                <w:rFonts w:hint="default" w:ascii="Times New Roman" w:hAnsi="Times New Roman" w:cs="Times New Roman"/>
                <w:color w:val="000000" w:themeColor="text1"/>
                <w:sz w:val="24"/>
                <w:highlight w:val="none"/>
                <w14:textFill>
                  <w14:solidFill>
                    <w14:schemeClr w14:val="tx1"/>
                  </w14:solidFill>
                </w14:textFill>
              </w:rPr>
              <w:t>不会对周围主要环境空气敏感点</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大气</w:t>
            </w:r>
            <w:r>
              <w:rPr>
                <w:rFonts w:hint="eastAsia" w:cs="Times New Roman"/>
                <w:color w:val="000000" w:themeColor="text1"/>
                <w:sz w:val="24"/>
                <w:highlight w:val="none"/>
                <w:lang w:val="en-US" w:eastAsia="zh-CN"/>
                <w14:textFill>
                  <w14:solidFill>
                    <w14:schemeClr w14:val="tx1"/>
                  </w14:solidFill>
                </w14:textFill>
              </w:rPr>
              <w:t>环境</w:t>
            </w:r>
            <w:r>
              <w:rPr>
                <w:rFonts w:hint="default" w:ascii="Times New Roman" w:hAnsi="Times New Roman" w:cs="Times New Roman"/>
                <w:color w:val="000000" w:themeColor="text1"/>
                <w:sz w:val="24"/>
                <w:highlight w:val="none"/>
                <w14:textFill>
                  <w14:solidFill>
                    <w14:schemeClr w14:val="tx1"/>
                  </w14:solidFill>
                </w14:textFill>
              </w:rPr>
              <w:t>造成明显影响。</w:t>
            </w:r>
          </w:p>
          <w:p w14:paraId="75A8BB27">
            <w:pPr>
              <w:keepNext/>
              <w:keepLines/>
              <w:tabs>
                <w:tab w:val="left" w:pos="0"/>
              </w:tabs>
              <w:ind w:firstLine="480" w:firstLineChars="200"/>
              <w:outlineLvl w:val="3"/>
              <w:rPr>
                <w:rFonts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二、</w:t>
            </w:r>
            <w:r>
              <w:rPr>
                <w:rFonts w:ascii="Times New Roman" w:hAnsi="Times New Roman" w:eastAsia="宋体" w:cs="Times New Roman"/>
                <w:b/>
                <w:bCs/>
                <w:color w:val="000000" w:themeColor="text1"/>
                <w:highlight w:val="none"/>
                <w:lang w:val="en-US" w:eastAsia="zh-CN"/>
                <w14:textFill>
                  <w14:solidFill>
                    <w14:schemeClr w14:val="tx1"/>
                  </w14:solidFill>
                </w14:textFill>
              </w:rPr>
              <w:t>废水污染源</w:t>
            </w:r>
          </w:p>
          <w:p w14:paraId="473E05C4">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1、污染源源强分析</w:t>
            </w:r>
          </w:p>
          <w:p w14:paraId="7DF09476">
            <w:pPr>
              <w:keepNext/>
              <w:keepLines/>
              <w:numPr>
                <w:ilvl w:val="4"/>
                <w:numId w:val="0"/>
              </w:numPr>
              <w:tabs>
                <w:tab w:val="left" w:pos="0"/>
              </w:tabs>
              <w:ind w:left="-960" w:firstLine="1440"/>
              <w:outlineLvl w:val="4"/>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宋体"/>
                <w:b/>
                <w:bCs/>
                <w:color w:val="000000" w:themeColor="text1"/>
                <w:highlight w:val="none"/>
                <w14:textFill>
                  <w14:solidFill>
                    <w14:schemeClr w14:val="tx1"/>
                  </w14:solidFill>
                </w14:textFill>
              </w:rPr>
              <w:t>（1）</w:t>
            </w:r>
            <w:r>
              <w:rPr>
                <w:rFonts w:ascii="Times New Roman" w:hAnsi="Times New Roman" w:eastAsia="宋体" w:cs="Times New Roman"/>
                <w:b/>
                <w:bCs/>
                <w:color w:val="000000" w:themeColor="text1"/>
                <w:highlight w:val="none"/>
                <w14:textFill>
                  <w14:solidFill>
                    <w14:schemeClr w14:val="tx1"/>
                  </w14:solidFill>
                </w14:textFill>
              </w:rPr>
              <w:t>生活污水</w:t>
            </w:r>
          </w:p>
          <w:p w14:paraId="1AD08AA1">
            <w:pPr>
              <w:widowControl/>
              <w:ind w:firstLine="480" w:firstLineChars="200"/>
              <w:jc w:val="both"/>
              <w:rPr>
                <w:rFonts w:ascii="Times New Roman" w:hAnsi="Times New Roman" w:eastAsia="宋体" w:cs="Times New Roman"/>
                <w:color w:val="000000" w:themeColor="text1"/>
                <w:kern w:val="0"/>
                <w:highlight w:val="none"/>
                <w14:textFill>
                  <w14:solidFill>
                    <w14:schemeClr w14:val="tx1"/>
                  </w14:solidFill>
                </w14:textFill>
              </w:rPr>
            </w:pPr>
            <w:r>
              <w:rPr>
                <w:rFonts w:hint="eastAsia" w:cs="Times New Roman"/>
                <w:color w:val="000000" w:themeColor="text1"/>
                <w:kern w:val="0"/>
                <w:highlight w:val="none"/>
                <w:lang w:val="en-US" w:eastAsia="zh-CN"/>
                <w14:textFill>
                  <w14:solidFill>
                    <w14:schemeClr w14:val="tx1"/>
                  </w14:solidFill>
                </w14:textFill>
              </w:rPr>
              <w:t>本</w:t>
            </w:r>
            <w:r>
              <w:rPr>
                <w:rFonts w:ascii="Times New Roman" w:hAnsi="Times New Roman" w:eastAsia="宋体" w:cs="Times New Roman"/>
                <w:color w:val="000000" w:themeColor="text1"/>
                <w:kern w:val="0"/>
                <w:highlight w:val="none"/>
                <w14:textFill>
                  <w14:solidFill>
                    <w14:schemeClr w14:val="tx1"/>
                  </w14:solidFill>
                </w14:textFill>
              </w:rPr>
              <w:t>项目</w:t>
            </w:r>
            <w:r>
              <w:rPr>
                <w:rFonts w:ascii="Times New Roman" w:hAnsi="Times New Roman" w:eastAsia="宋体" w:cs="Times New Roman"/>
                <w:color w:val="000000" w:themeColor="text1"/>
                <w:highlight w:val="none"/>
                <w14:textFill>
                  <w14:solidFill>
                    <w14:schemeClr w14:val="tx1"/>
                  </w14:solidFill>
                </w14:textFill>
              </w:rPr>
              <w:t>劳动定员</w:t>
            </w:r>
            <w:r>
              <w:rPr>
                <w:rFonts w:hint="eastAsia" w:cs="Times New Roman"/>
                <w:color w:val="000000" w:themeColor="text1"/>
                <w:highlight w:val="none"/>
                <w:lang w:val="en-US" w:eastAsia="zh-CN"/>
                <w14:textFill>
                  <w14:solidFill>
                    <w14:schemeClr w14:val="tx1"/>
                  </w14:solidFill>
                </w14:textFill>
              </w:rPr>
              <w:t>40</w:t>
            </w:r>
            <w:r>
              <w:rPr>
                <w:rFonts w:ascii="Times New Roman" w:hAnsi="Times New Roman" w:eastAsia="宋体" w:cs="Times New Roman"/>
                <w:color w:val="000000" w:themeColor="text1"/>
                <w:highlight w:val="none"/>
                <w14:textFill>
                  <w14:solidFill>
                    <w14:schemeClr w14:val="tx1"/>
                  </w14:solidFill>
                </w14:textFill>
              </w:rPr>
              <w:t>名</w:t>
            </w:r>
            <w:r>
              <w:rPr>
                <w:rFonts w:ascii="Times New Roman" w:hAnsi="Times New Roman" w:eastAsia="宋体"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不设食堂，仅有住宿，住宿人员20人，</w:t>
            </w:r>
            <w:r>
              <w:rPr>
                <w:rFonts w:ascii="Times New Roman" w:hAnsi="Times New Roman" w:eastAsia="宋体" w:cs="Times New Roman"/>
                <w:color w:val="000000" w:themeColor="text1"/>
                <w:kern w:val="0"/>
                <w:highlight w:val="none"/>
                <w14:textFill>
                  <w14:solidFill>
                    <w14:schemeClr w14:val="tx1"/>
                  </w14:solidFill>
                </w14:textFill>
              </w:rPr>
              <w:t>年工作时间</w:t>
            </w:r>
            <w:r>
              <w:rPr>
                <w:rFonts w:hint="eastAsia" w:cs="Times New Roman"/>
                <w:color w:val="000000" w:themeColor="text1"/>
                <w:kern w:val="0"/>
                <w:highlight w:val="none"/>
                <w:lang w:val="en-US" w:eastAsia="zh-CN"/>
                <w14:textFill>
                  <w14:solidFill>
                    <w14:schemeClr w14:val="tx1"/>
                  </w14:solidFill>
                </w14:textFill>
              </w:rPr>
              <w:t>264</w:t>
            </w:r>
            <w:r>
              <w:rPr>
                <w:rFonts w:ascii="Times New Roman" w:hAnsi="Times New Roman" w:eastAsia="宋体" w:cs="Times New Roman"/>
                <w:color w:val="000000" w:themeColor="text1"/>
                <w:kern w:val="0"/>
                <w:highlight w:val="none"/>
                <w14:textFill>
                  <w14:solidFill>
                    <w14:schemeClr w14:val="tx1"/>
                  </w14:solidFill>
                </w14:textFill>
              </w:rPr>
              <w:t>天。</w:t>
            </w:r>
            <w:r>
              <w:rPr>
                <w:rFonts w:hint="eastAsia" w:cs="Times New Roman"/>
                <w:color w:val="000000" w:themeColor="text1"/>
                <w:kern w:val="0"/>
                <w:sz w:val="24"/>
                <w:szCs w:val="24"/>
                <w:highlight w:val="none"/>
                <w:lang w:val="en-US" w:eastAsia="zh-CN"/>
                <w14:textFill>
                  <w14:solidFill>
                    <w14:schemeClr w14:val="tx1"/>
                  </w14:solidFill>
                </w14:textFill>
              </w:rPr>
              <w:t>根据前文计算，生活用水量为500</w:t>
            </w:r>
            <w:r>
              <w:rPr>
                <w:rFonts w:hint="default" w:ascii="Times New Roman" w:hAnsi="Times New Roman" w:eastAsia="宋体" w:cs="Times New Roman"/>
                <w:color w:val="000000" w:themeColor="text1"/>
                <w:sz w:val="24"/>
                <w:highlight w:val="none"/>
                <w14:textFill>
                  <w14:solidFill>
                    <w14:schemeClr w14:val="tx1"/>
                  </w14:solidFill>
                </w14:textFill>
              </w:rPr>
              <w:t>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/a</w:t>
            </w:r>
            <w:r>
              <w:rPr>
                <w:rFonts w:hint="eastAsia" w:cs="Times New Roman"/>
                <w:color w:val="000000" w:themeColor="text1"/>
                <w:sz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按照排污系数0.9计算，则生活污水排放量为</w:t>
            </w:r>
            <w:r>
              <w:rPr>
                <w:rFonts w:hint="eastAsia" w:cs="Times New Roman"/>
                <w:color w:val="000000" w:themeColor="text1"/>
                <w:kern w:val="0"/>
                <w:sz w:val="24"/>
                <w:szCs w:val="24"/>
                <w:highlight w:val="none"/>
                <w:lang w:val="en-US" w:eastAsia="zh-CN"/>
                <w14:textFill>
                  <w14:solidFill>
                    <w14:schemeClr w14:val="tx1"/>
                  </w14:solidFill>
                </w14:textFill>
              </w:rPr>
              <w:t>450</w:t>
            </w:r>
            <w:r>
              <w:rPr>
                <w:rFonts w:hint="default" w:ascii="Times New Roman" w:hAnsi="Times New Roman" w:eastAsia="宋体" w:cs="Times New Roman"/>
                <w:color w:val="000000" w:themeColor="text1"/>
                <w:sz w:val="24"/>
                <w:highlight w:val="none"/>
                <w14:textFill>
                  <w14:solidFill>
                    <w14:schemeClr w14:val="tx1"/>
                  </w14:solidFill>
                </w14:textFill>
              </w:rPr>
              <w:t>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vertAlign w:val="baseli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。本项目</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生活</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污水经过</w:t>
            </w:r>
            <w:r>
              <w:rPr>
                <w:rFonts w:hint="eastAsia" w:cs="Times New Roman"/>
                <w:color w:val="000000" w:themeColor="text1"/>
                <w:kern w:val="0"/>
                <w:sz w:val="24"/>
                <w:szCs w:val="24"/>
                <w:highlight w:val="none"/>
                <w:lang w:eastAsia="zh-CN"/>
                <w14:textFill>
                  <w14:solidFill>
                    <w14:schemeClr w14:val="tx1"/>
                  </w14:solidFill>
                </w14:textFill>
              </w:rPr>
              <w:t>三级化粪池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处理后排入园区污水处理厂，处理达标后排入武江（乐昌城-犁市河段）</w:t>
            </w:r>
            <w:r>
              <w:rPr>
                <w:rFonts w:hint="eastAsia" w:cs="Times New Roman"/>
                <w:color w:val="000000" w:themeColor="text1"/>
                <w:kern w:val="0"/>
                <w:sz w:val="24"/>
                <w:szCs w:val="24"/>
                <w:highlight w:val="none"/>
                <w:lang w:eastAsia="zh-CN"/>
                <w14:textFill>
                  <w14:solidFill>
                    <w14:schemeClr w14:val="tx1"/>
                  </w14:solidFill>
                </w14:textFill>
              </w:rPr>
              <w:t>。</w:t>
            </w:r>
          </w:p>
          <w:p w14:paraId="3FB21315">
            <w:pPr>
              <w:widowControl/>
              <w:ind w:firstLine="48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污染物产生浓度参考《给排水设计手册》第五册《城镇排水》表4-1典型生活污水水质示例中的中浓度水质指标。生活污水的主要污染物为COD</w:t>
            </w:r>
            <w:r>
              <w:rPr>
                <w:rFonts w:ascii="Times New Roman" w:hAnsi="Times New Roman" w:eastAsia="宋体" w:cs="Times New Roman"/>
                <w:color w:val="000000" w:themeColor="text1"/>
                <w:highlight w:val="none"/>
                <w:vertAlign w:val="subscript"/>
                <w14:textFill>
                  <w14:solidFill>
                    <w14:schemeClr w14:val="tx1"/>
                  </w14:solidFill>
                </w14:textFill>
              </w:rPr>
              <w:t>Cr</w:t>
            </w:r>
            <w:r>
              <w:rPr>
                <w:rFonts w:ascii="Times New Roman" w:hAnsi="Times New Roman" w:eastAsia="宋体" w:cs="Times New Roman"/>
                <w:color w:val="000000" w:themeColor="text1"/>
                <w:highlight w:val="none"/>
                <w14:textFill>
                  <w14:solidFill>
                    <w14:schemeClr w14:val="tx1"/>
                  </w14:solidFill>
                </w14:textFill>
              </w:rPr>
              <w:t>、BOD</w:t>
            </w:r>
            <w:r>
              <w:rPr>
                <w:rFonts w:ascii="Times New Roman" w:hAnsi="Times New Roman" w:eastAsia="宋体" w:cs="Times New Roman"/>
                <w:color w:val="000000" w:themeColor="text1"/>
                <w:highlight w:val="none"/>
                <w:vertAlign w:val="subscript"/>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、SS、NH</w:t>
            </w:r>
            <w:r>
              <w:rPr>
                <w:rFonts w:ascii="Times New Roman" w:hAnsi="Times New Roman" w:eastAsia="宋体" w:cs="Times New Roman"/>
                <w:color w:val="000000" w:themeColor="text1"/>
                <w:highlight w:val="none"/>
                <w:vertAlign w:val="subscript"/>
                <w14:textFill>
                  <w14:solidFill>
                    <w14:schemeClr w14:val="tx1"/>
                  </w14:solidFill>
                </w14:textFill>
              </w:rPr>
              <w:t>3</w:t>
            </w:r>
            <w:r>
              <w:rPr>
                <w:rFonts w:ascii="Times New Roman" w:hAnsi="Times New Roman" w:eastAsia="宋体" w:cs="Times New Roman"/>
                <w:color w:val="000000" w:themeColor="text1"/>
                <w:highlight w:val="none"/>
                <w14:textFill>
                  <w14:solidFill>
                    <w14:schemeClr w14:val="tx1"/>
                  </w14:solidFill>
                </w14:textFill>
              </w:rPr>
              <w:t>-N</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动植物油</w:t>
            </w:r>
            <w:r>
              <w:rPr>
                <w:rFonts w:ascii="Times New Roman" w:hAnsi="Times New Roman" w:eastAsia="宋体" w:cs="Times New Roman"/>
                <w:color w:val="000000" w:themeColor="text1"/>
                <w:highlight w:val="none"/>
                <w14:textFill>
                  <w14:solidFill>
                    <w14:schemeClr w14:val="tx1"/>
                  </w14:solidFill>
                </w14:textFill>
              </w:rPr>
              <w:t>。</w:t>
            </w:r>
          </w:p>
          <w:p w14:paraId="4DF9564A">
            <w:pPr>
              <w:widowControl w:val="0"/>
              <w:autoSpaceDE w:val="0"/>
              <w:autoSpaceDN w:val="0"/>
              <w:adjustRightInd w:val="0"/>
              <w:spacing w:line="360" w:lineRule="auto"/>
              <w:ind w:firstLine="480" w:firstLineChars="200"/>
              <w:jc w:val="both"/>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参考《给排水设计手册》（第5册城镇排水）中关于化粪池的处理效率，“三级化粪池”对SS的去除效率</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达</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30%，项目生活污水经三级化粪池处理效率参考《第一次全国污染源普查城镇生活源产排污系数手册》三级化粪池产排污系数计算的处理效率，即COD</w:t>
            </w:r>
            <w:r>
              <w:rPr>
                <w:rFonts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去除率为20%，NH</w:t>
            </w:r>
            <w:r>
              <w:rPr>
                <w:rFonts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3</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-N去除率为3%）。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效率参考《我国农村化粪池污染物去除效果及影响因素分析》（环境工程学报，2021）、《化粪池在实际生活中的比选和应用》（污染与防治陈杰、姜红）、《化粪池与人工湿地联用处理湖南农村地区生活污水研究》（湖南大学蒙语桦）等文献，三级化粪池对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去除效率为去除效率29%～72%，因此本项目BOD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去除效率取29%。</w:t>
            </w:r>
            <w:r>
              <w:rPr>
                <w:rFonts w:hint="eastAsia" w:cs="Times New Roman"/>
                <w:color w:val="000000" w:themeColor="text1"/>
                <w:kern w:val="2"/>
                <w:sz w:val="24"/>
                <w:szCs w:val="24"/>
                <w:highlight w:val="none"/>
                <w:lang w:val="en-US" w:eastAsia="zh-CN" w:bidi="ar-SA"/>
                <w14:textFill>
                  <w14:solidFill>
                    <w14:schemeClr w14:val="tx1"/>
                  </w14:solidFill>
                </w14:textFill>
              </w:rPr>
              <w:t>隔油隔渣池对动植物油去除效率取50%</w:t>
            </w:r>
          </w:p>
          <w:p w14:paraId="6B3E3E24">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污水</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污染源源强核算结果及相关参数一览表</w:t>
            </w:r>
          </w:p>
          <w:tbl>
            <w:tblPr>
              <w:tblStyle w:val="4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8"/>
              <w:gridCol w:w="543"/>
              <w:gridCol w:w="811"/>
              <w:gridCol w:w="463"/>
              <w:gridCol w:w="673"/>
              <w:gridCol w:w="568"/>
              <w:gridCol w:w="775"/>
              <w:gridCol w:w="527"/>
              <w:gridCol w:w="438"/>
              <w:gridCol w:w="554"/>
              <w:gridCol w:w="554"/>
              <w:gridCol w:w="836"/>
              <w:gridCol w:w="561"/>
            </w:tblGrid>
            <w:tr w14:paraId="711B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restart"/>
                  <w:vAlign w:val="center"/>
                </w:tcPr>
                <w:p w14:paraId="65CE98D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工序/生产线</w:t>
                  </w:r>
                </w:p>
              </w:tc>
              <w:tc>
                <w:tcPr>
                  <w:tcW w:w="346" w:type="pct"/>
                  <w:vMerge w:val="restart"/>
                  <w:vAlign w:val="center"/>
                </w:tcPr>
                <w:p w14:paraId="7DD3E89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装置</w:t>
                  </w:r>
                </w:p>
              </w:tc>
              <w:tc>
                <w:tcPr>
                  <w:tcW w:w="517" w:type="pct"/>
                  <w:vMerge w:val="restart"/>
                  <w:vAlign w:val="center"/>
                </w:tcPr>
                <w:p w14:paraId="5F92640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w:t>
                  </w:r>
                </w:p>
              </w:tc>
              <w:tc>
                <w:tcPr>
                  <w:tcW w:w="1580" w:type="pct"/>
                  <w:gridSpan w:val="4"/>
                  <w:vAlign w:val="center"/>
                </w:tcPr>
                <w:p w14:paraId="4BD76D2E">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污染物产生</w:t>
                  </w:r>
                </w:p>
              </w:tc>
              <w:tc>
                <w:tcPr>
                  <w:tcW w:w="615" w:type="pct"/>
                  <w:gridSpan w:val="2"/>
                  <w:vAlign w:val="center"/>
                </w:tcPr>
                <w:p w14:paraId="21C4A31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治理措施</w:t>
                  </w:r>
                </w:p>
              </w:tc>
              <w:tc>
                <w:tcPr>
                  <w:tcW w:w="1238" w:type="pct"/>
                  <w:gridSpan w:val="3"/>
                  <w:vAlign w:val="center"/>
                </w:tcPr>
                <w:p w14:paraId="1875EA46">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污染物排放</w:t>
                  </w:r>
                </w:p>
              </w:tc>
              <w:tc>
                <w:tcPr>
                  <w:tcW w:w="357" w:type="pct"/>
                  <w:vMerge w:val="restart"/>
                  <w:vAlign w:val="center"/>
                </w:tcPr>
                <w:p w14:paraId="291B939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排放时间h/a</w:t>
                  </w:r>
                </w:p>
              </w:tc>
            </w:tr>
            <w:tr w14:paraId="5EE4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5E86404C">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1821F765">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Merge w:val="continue"/>
                  <w:vAlign w:val="center"/>
                </w:tcPr>
                <w:p w14:paraId="41BEDD7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95" w:type="pct"/>
                  <w:vAlign w:val="center"/>
                </w:tcPr>
                <w:p w14:paraId="391A6264">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429" w:type="pct"/>
                  <w:vAlign w:val="center"/>
                </w:tcPr>
                <w:p w14:paraId="281ED598">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cs="Times New Roman"/>
                      <w:b/>
                      <w:bCs/>
                      <w:color w:val="000000" w:themeColor="text1"/>
                      <w:position w:val="-10"/>
                      <w:sz w:val="21"/>
                      <w:szCs w:val="21"/>
                      <w:highlight w:val="none"/>
                      <w:lang w:val="en-US" w:eastAsia="zh-CN" w:bidi="ar-SA"/>
                      <w14:textFill>
                        <w14:solidFill>
                          <w14:schemeClr w14:val="tx1"/>
                        </w14:solidFill>
                      </w14:textFill>
                    </w:rPr>
                    <w:t>废水</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6F06A2AC">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62" w:type="pct"/>
                  <w:vAlign w:val="center"/>
                </w:tcPr>
                <w:p w14:paraId="4C50A8A1">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产生浓度mg/L</w:t>
                  </w:r>
                </w:p>
              </w:tc>
              <w:tc>
                <w:tcPr>
                  <w:tcW w:w="493" w:type="pct"/>
                  <w:vAlign w:val="center"/>
                </w:tcPr>
                <w:p w14:paraId="4C997E25">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38FEBB2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36" w:type="pct"/>
                  <w:vAlign w:val="center"/>
                </w:tcPr>
                <w:p w14:paraId="5121373F">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工艺</w:t>
                  </w:r>
                </w:p>
              </w:tc>
              <w:tc>
                <w:tcPr>
                  <w:tcW w:w="279" w:type="pct"/>
                  <w:vAlign w:val="center"/>
                </w:tcPr>
                <w:p w14:paraId="3C85AED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效率</w:t>
                  </w:r>
                </w:p>
              </w:tc>
              <w:tc>
                <w:tcPr>
                  <w:tcW w:w="353" w:type="pct"/>
                  <w:vAlign w:val="center"/>
                </w:tcPr>
                <w:p w14:paraId="0C1AACFC">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353" w:type="pct"/>
                  <w:vAlign w:val="center"/>
                </w:tcPr>
                <w:p w14:paraId="3374A011">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排放浓度</w:t>
                  </w:r>
                </w:p>
                <w:p w14:paraId="693F753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mg/L</w:t>
                  </w:r>
                </w:p>
              </w:tc>
              <w:tc>
                <w:tcPr>
                  <w:tcW w:w="532" w:type="pct"/>
                  <w:vAlign w:val="center"/>
                </w:tcPr>
                <w:p w14:paraId="7342D7EA">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排放量</w:t>
                  </w:r>
                </w:p>
                <w:p w14:paraId="0CE8F0E7">
                  <w:pPr>
                    <w:wordWrap w:val="0"/>
                    <w:autoSpaceDE w:val="0"/>
                    <w:autoSpaceDN w:val="0"/>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357" w:type="pct"/>
                  <w:vMerge w:val="continue"/>
                  <w:vAlign w:val="center"/>
                </w:tcPr>
                <w:p w14:paraId="14B56C6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E1E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restart"/>
                  <w:vAlign w:val="center"/>
                </w:tcPr>
                <w:p w14:paraId="07AD1AF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办公生活</w:t>
                  </w:r>
                </w:p>
              </w:tc>
              <w:tc>
                <w:tcPr>
                  <w:tcW w:w="346" w:type="pct"/>
                  <w:vMerge w:val="restart"/>
                  <w:vAlign w:val="center"/>
                </w:tcPr>
                <w:p w14:paraId="7328B7E6">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三级化粪池</w:t>
                  </w:r>
                </w:p>
              </w:tc>
              <w:tc>
                <w:tcPr>
                  <w:tcW w:w="517" w:type="pct"/>
                  <w:vAlign w:val="center"/>
                </w:tcPr>
                <w:p w14:paraId="07C0C39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Cr</w:t>
                  </w:r>
                </w:p>
              </w:tc>
              <w:tc>
                <w:tcPr>
                  <w:tcW w:w="295" w:type="pct"/>
                  <w:vMerge w:val="restart"/>
                  <w:vAlign w:val="center"/>
                </w:tcPr>
                <w:p w14:paraId="2CC89D0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产污系数法</w:t>
                  </w:r>
                </w:p>
              </w:tc>
              <w:tc>
                <w:tcPr>
                  <w:tcW w:w="429" w:type="pct"/>
                  <w:vMerge w:val="restart"/>
                  <w:vAlign w:val="center"/>
                </w:tcPr>
                <w:p w14:paraId="209BBA7B">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450</w:t>
                  </w:r>
                </w:p>
              </w:tc>
              <w:tc>
                <w:tcPr>
                  <w:tcW w:w="362" w:type="pct"/>
                  <w:vAlign w:val="center"/>
                </w:tcPr>
                <w:p w14:paraId="4AE5F33A">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250</w:t>
                  </w:r>
                </w:p>
              </w:tc>
              <w:tc>
                <w:tcPr>
                  <w:tcW w:w="493" w:type="pct"/>
                  <w:vAlign w:val="center"/>
                </w:tcPr>
                <w:p w14:paraId="2FE85B9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0.113 </w:t>
                  </w:r>
                </w:p>
              </w:tc>
              <w:tc>
                <w:tcPr>
                  <w:tcW w:w="336" w:type="pct"/>
                  <w:vMerge w:val="restart"/>
                  <w:vAlign w:val="center"/>
                </w:tcPr>
                <w:p w14:paraId="69352F97">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厌氧</w:t>
                  </w:r>
                  <w:r>
                    <w:rPr>
                      <w:rFonts w:hint="eastAsia" w:cs="Times New Roman"/>
                      <w:color w:val="000000" w:themeColor="text1"/>
                      <w:position w:val="-10"/>
                      <w:sz w:val="21"/>
                      <w:szCs w:val="21"/>
                      <w:highlight w:val="none"/>
                      <w:lang w:val="en-US" w:eastAsia="zh-CN" w:bidi="ar-SA"/>
                      <w14:textFill>
                        <w14:solidFill>
                          <w14:schemeClr w14:val="tx1"/>
                        </w14:solidFill>
                      </w14:textFill>
                    </w:rPr>
                    <w:t>、隔油隔渣</w:t>
                  </w:r>
                </w:p>
              </w:tc>
              <w:tc>
                <w:tcPr>
                  <w:tcW w:w="279" w:type="pct"/>
                  <w:vAlign w:val="center"/>
                </w:tcPr>
                <w:p w14:paraId="1AA65829">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20</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restart"/>
                  <w:vAlign w:val="center"/>
                </w:tcPr>
                <w:p w14:paraId="14F84C50">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排污系数法</w:t>
                  </w:r>
                </w:p>
              </w:tc>
              <w:tc>
                <w:tcPr>
                  <w:tcW w:w="353" w:type="pct"/>
                  <w:vAlign w:val="center"/>
                </w:tcPr>
                <w:p w14:paraId="7DA50E9D">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532" w:type="pct"/>
                  <w:vAlign w:val="center"/>
                </w:tcPr>
                <w:p w14:paraId="6ED1DDC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357" w:type="pct"/>
                  <w:vMerge w:val="restart"/>
                  <w:vAlign w:val="center"/>
                </w:tcPr>
                <w:p w14:paraId="0CE83385">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6336</w:t>
                  </w:r>
                </w:p>
              </w:tc>
            </w:tr>
            <w:tr w14:paraId="4F67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159EC1C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0A5C63A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4900F05D">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5</w:t>
                  </w:r>
                </w:p>
              </w:tc>
              <w:tc>
                <w:tcPr>
                  <w:tcW w:w="295" w:type="pct"/>
                  <w:vMerge w:val="continue"/>
                  <w:vAlign w:val="center"/>
                </w:tcPr>
                <w:p w14:paraId="3D0994F5">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106215E5">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1E4124F7">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110</w:t>
                  </w:r>
                </w:p>
              </w:tc>
              <w:tc>
                <w:tcPr>
                  <w:tcW w:w="493" w:type="pct"/>
                  <w:vAlign w:val="center"/>
                </w:tcPr>
                <w:p w14:paraId="1A5ADC1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0.050 </w:t>
                  </w:r>
                </w:p>
              </w:tc>
              <w:tc>
                <w:tcPr>
                  <w:tcW w:w="336" w:type="pct"/>
                  <w:vMerge w:val="continue"/>
                  <w:vAlign w:val="center"/>
                </w:tcPr>
                <w:p w14:paraId="72BBF828">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0CDBB385">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29</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506C75F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17176FE2">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532" w:type="pct"/>
                  <w:vAlign w:val="center"/>
                </w:tcPr>
                <w:p w14:paraId="61D21B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357" w:type="pct"/>
                  <w:vMerge w:val="continue"/>
                  <w:vAlign w:val="center"/>
                </w:tcPr>
                <w:p w14:paraId="172F692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A41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343" w:type="pct"/>
                  <w:vMerge w:val="continue"/>
                  <w:vAlign w:val="center"/>
                </w:tcPr>
                <w:p w14:paraId="718C9D87">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0180375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26CC0B2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p>
              </w:tc>
              <w:tc>
                <w:tcPr>
                  <w:tcW w:w="295" w:type="pct"/>
                  <w:vMerge w:val="continue"/>
                  <w:vAlign w:val="center"/>
                </w:tcPr>
                <w:p w14:paraId="3D01432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28F9C30A">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466731DC">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100</w:t>
                  </w:r>
                </w:p>
              </w:tc>
              <w:tc>
                <w:tcPr>
                  <w:tcW w:w="493" w:type="pct"/>
                  <w:vAlign w:val="center"/>
                </w:tcPr>
                <w:p w14:paraId="58214EE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0.045 </w:t>
                  </w:r>
                </w:p>
              </w:tc>
              <w:tc>
                <w:tcPr>
                  <w:tcW w:w="336" w:type="pct"/>
                  <w:vMerge w:val="continue"/>
                  <w:vAlign w:val="center"/>
                </w:tcPr>
                <w:p w14:paraId="7F908D80">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2F076222">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30</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2B58D40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62960CC0">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532" w:type="pct"/>
                  <w:vAlign w:val="center"/>
                </w:tcPr>
                <w:p w14:paraId="2E226D8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357" w:type="pct"/>
                  <w:vMerge w:val="continue"/>
                  <w:vAlign w:val="center"/>
                </w:tcPr>
                <w:p w14:paraId="56B71AC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0100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6820849F">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46" w:type="pct"/>
                  <w:vMerge w:val="continue"/>
                  <w:vAlign w:val="center"/>
                </w:tcPr>
                <w:p w14:paraId="3458C74E">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2726CF63">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NH</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3</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-N</w:t>
                  </w:r>
                </w:p>
              </w:tc>
              <w:tc>
                <w:tcPr>
                  <w:tcW w:w="295" w:type="pct"/>
                  <w:vMerge w:val="continue"/>
                  <w:vAlign w:val="center"/>
                </w:tcPr>
                <w:p w14:paraId="5BB25342">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3E81A47B">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65532844">
                  <w:pPr>
                    <w:keepNext w:val="0"/>
                    <w:keepLines w:val="0"/>
                    <w:widowControl/>
                    <w:suppressLineNumbers w:val="0"/>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493" w:type="pct"/>
                  <w:vAlign w:val="center"/>
                </w:tcPr>
                <w:p w14:paraId="13167F2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336" w:type="pct"/>
                  <w:vMerge w:val="continue"/>
                  <w:vAlign w:val="center"/>
                </w:tcPr>
                <w:p w14:paraId="097AB09B">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50402863">
                  <w:pPr>
                    <w:widowControl/>
                    <w:spacing w:line="240" w:lineRule="auto"/>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3</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353" w:type="pct"/>
                  <w:vMerge w:val="continue"/>
                  <w:vAlign w:val="center"/>
                </w:tcPr>
                <w:p w14:paraId="15C24C37">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7E701593">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532" w:type="pct"/>
                  <w:vAlign w:val="center"/>
                </w:tcPr>
                <w:p w14:paraId="63A9F77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357" w:type="pct"/>
                  <w:vMerge w:val="continue"/>
                  <w:vAlign w:val="center"/>
                </w:tcPr>
                <w:p w14:paraId="6CF451C4">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A72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3" w:type="pct"/>
                  <w:vMerge w:val="continue"/>
                  <w:vAlign w:val="center"/>
                </w:tcPr>
                <w:p w14:paraId="634218E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bookmarkStart w:id="110" w:name="_Toc29682"/>
                  <w:bookmarkStart w:id="111" w:name="_Toc20985"/>
                  <w:bookmarkStart w:id="112" w:name="_Toc24167"/>
                  <w:bookmarkStart w:id="113" w:name="_Toc5539"/>
                </w:p>
              </w:tc>
              <w:tc>
                <w:tcPr>
                  <w:tcW w:w="346" w:type="pct"/>
                  <w:vMerge w:val="continue"/>
                  <w:vAlign w:val="center"/>
                </w:tcPr>
                <w:p w14:paraId="77B9408C">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17" w:type="pct"/>
                  <w:vAlign w:val="center"/>
                </w:tcPr>
                <w:p w14:paraId="631985A1">
                  <w:pPr>
                    <w:wordWrap w:val="0"/>
                    <w:autoSpaceDE w:val="0"/>
                    <w:autoSpaceDN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动植物油</w:t>
                  </w:r>
                </w:p>
              </w:tc>
              <w:tc>
                <w:tcPr>
                  <w:tcW w:w="295" w:type="pct"/>
                  <w:vMerge w:val="continue"/>
                  <w:vAlign w:val="center"/>
                </w:tcPr>
                <w:p w14:paraId="6C84224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9" w:type="pct"/>
                  <w:vMerge w:val="continue"/>
                  <w:vAlign w:val="center"/>
                </w:tcPr>
                <w:p w14:paraId="2A03AA01">
                  <w:pPr>
                    <w:jc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62" w:type="pct"/>
                  <w:vAlign w:val="center"/>
                </w:tcPr>
                <w:p w14:paraId="255EF232">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100</w:t>
                  </w:r>
                </w:p>
              </w:tc>
              <w:tc>
                <w:tcPr>
                  <w:tcW w:w="493" w:type="pct"/>
                  <w:vAlign w:val="center"/>
                </w:tcPr>
                <w:p w14:paraId="53878F4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0.045 </w:t>
                  </w:r>
                </w:p>
              </w:tc>
              <w:tc>
                <w:tcPr>
                  <w:tcW w:w="336" w:type="pct"/>
                  <w:vMerge w:val="continue"/>
                  <w:vAlign w:val="center"/>
                </w:tcPr>
                <w:p w14:paraId="183059EA">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279" w:type="pct"/>
                  <w:vAlign w:val="center"/>
                </w:tcPr>
                <w:p w14:paraId="26E2552B">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353" w:type="pct"/>
                  <w:vMerge w:val="continue"/>
                  <w:vAlign w:val="center"/>
                </w:tcPr>
                <w:p w14:paraId="61744C11">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53" w:type="pct"/>
                  <w:vAlign w:val="center"/>
                </w:tcPr>
                <w:p w14:paraId="7CEA18FE">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532" w:type="pct"/>
                  <w:vAlign w:val="center"/>
                </w:tcPr>
                <w:p w14:paraId="6D3B74D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357" w:type="pct"/>
                  <w:vMerge w:val="continue"/>
                  <w:vAlign w:val="center"/>
                </w:tcPr>
                <w:p w14:paraId="13D35739">
                  <w:pPr>
                    <w:wordWrap w:val="0"/>
                    <w:autoSpaceDE w:val="0"/>
                    <w:autoSpaceDN w:val="0"/>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bl>
          <w:p w14:paraId="4B95D012">
            <w:pPr>
              <w:pStyle w:val="21"/>
              <w:numPr>
                <w:ilvl w:val="4"/>
                <w:numId w:val="0"/>
              </w:numPr>
              <w:ind w:firstLine="480" w:firstLineChars="200"/>
              <w:jc w:val="both"/>
              <w:rPr>
                <w:rFonts w:hint="default" w:eastAsia="宋体"/>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eastAsia="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2）冷却用水</w:t>
            </w:r>
          </w:p>
          <w:p w14:paraId="63506764">
            <w:pPr>
              <w:adjustRightInd w:val="0"/>
              <w:ind w:firstLine="480" w:firstLineChars="20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14:textFill>
                  <w14:solidFill>
                    <w14:schemeClr w14:val="tx1"/>
                  </w14:solidFill>
                </w14:textFill>
              </w:rPr>
              <w:t>本项目</w:t>
            </w:r>
            <w:bookmarkEnd w:id="110"/>
            <w:bookmarkEnd w:id="111"/>
            <w:bookmarkEnd w:id="112"/>
            <w:bookmarkEnd w:id="113"/>
            <w:r>
              <w:rPr>
                <w:rFonts w:hint="eastAsia"/>
                <w:b w:val="0"/>
                <w:bCs w:val="0"/>
                <w:color w:val="000000" w:themeColor="text1"/>
                <w:highlight w:val="none"/>
                <w:lang w:val="en-US" w:eastAsia="zh-CN"/>
                <w14:textFill>
                  <w14:solidFill>
                    <w14:schemeClr w14:val="tx1"/>
                  </w14:solidFill>
                </w14:textFill>
              </w:rPr>
              <w:t>生产过程中需用冷却水进行设备冷却，项目冷却塔底部设置一个循环水池</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5m×2.5m×2m，有效水深1.6m</w:t>
            </w:r>
            <w:r>
              <w:rPr>
                <w:rFonts w:hint="eastAsia"/>
                <w:color w:val="000000" w:themeColor="text1"/>
                <w:lang w:eastAsia="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有效容积为2m</w:t>
            </w:r>
            <w:r>
              <w:rPr>
                <w:rFonts w:hint="eastAsia"/>
                <w:b w:val="0"/>
                <w:bCs w:val="0"/>
                <w:color w:val="000000" w:themeColor="text1"/>
                <w:highlight w:val="none"/>
                <w:vertAlign w:val="superscript"/>
                <w:lang w:val="en-US" w:eastAsia="zh-CN"/>
                <w14:textFill>
                  <w14:solidFill>
                    <w14:schemeClr w14:val="tx1"/>
                  </w14:solidFill>
                </w14:textFill>
              </w:rPr>
              <w:t>3</w:t>
            </w:r>
            <w:r>
              <w:rPr>
                <w:rFonts w:hint="eastAsia"/>
                <w:b w:val="0"/>
                <w:bCs w:val="0"/>
                <w:color w:val="000000" w:themeColor="text1"/>
                <w:highlight w:val="none"/>
                <w:vertAlign w:val="baseline"/>
                <w:lang w:val="en-US" w:eastAsia="zh-CN"/>
                <w14:textFill>
                  <w14:solidFill>
                    <w14:schemeClr w14:val="tx1"/>
                  </w14:solidFill>
                </w14:textFill>
              </w:rPr>
              <w:t>，冷却水</w:t>
            </w:r>
            <w:r>
              <w:rPr>
                <w:rFonts w:hint="eastAsia" w:cs="Times New Roman"/>
                <w:color w:val="000000" w:themeColor="text1"/>
                <w:highlight w:val="none"/>
                <w:lang w:val="en-US" w:eastAsia="zh-CN"/>
                <w14:textFill>
                  <w14:solidFill>
                    <w14:schemeClr w14:val="tx1"/>
                  </w14:solidFill>
                </w14:textFill>
              </w:rPr>
              <w:t>循环过程补充新鲜用水、定期捞渣，不外排，每年更换一次，则每年产生的冷却塔废</w:t>
            </w:r>
            <w:r>
              <w:rPr>
                <w:rFonts w:hint="default" w:ascii="Times New Roman" w:hAnsi="Times New Roman" w:cs="Times New Roman"/>
                <w:color w:val="000000" w:themeColor="text1"/>
                <w:highlight w:val="none"/>
                <w:lang w:val="en-US" w:eastAsia="zh-CN"/>
                <w14:textFill>
                  <w14:solidFill>
                    <w14:schemeClr w14:val="tx1"/>
                  </w14:solidFill>
                </w14:textFill>
              </w:rPr>
              <w:t>水</w:t>
            </w:r>
            <w:r>
              <w:rPr>
                <w:rFonts w:hint="eastAsia" w:cs="Times New Roman"/>
                <w:color w:val="000000" w:themeColor="text1"/>
                <w:highlight w:val="none"/>
                <w:lang w:val="en-US" w:eastAsia="zh-CN"/>
                <w14:textFill>
                  <w14:solidFill>
                    <w14:schemeClr w14:val="tx1"/>
                  </w14:solidFill>
                </w14:textFill>
              </w:rPr>
              <w:t>为2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，该废水成分简单，主要为COD、SS等，用于厂区绿化浇灌，不外排</w:t>
            </w:r>
            <w:r>
              <w:rPr>
                <w:rFonts w:hint="eastAsia"/>
                <w:b w:val="0"/>
                <w:bCs w:val="0"/>
                <w:color w:val="000000" w:themeColor="text1"/>
                <w:highlight w:val="none"/>
                <w:lang w:val="en-US" w:eastAsia="zh-CN"/>
                <w14:textFill>
                  <w14:solidFill>
                    <w14:schemeClr w14:val="tx1"/>
                  </w14:solidFill>
                </w14:textFill>
              </w:rPr>
              <w:t>。</w:t>
            </w:r>
          </w:p>
          <w:p w14:paraId="05FA5635">
            <w:pPr>
              <w:pStyle w:val="21"/>
              <w:numPr>
                <w:ilvl w:val="4"/>
                <w:numId w:val="0"/>
              </w:numPr>
              <w:ind w:firstLine="480" w:firstLineChars="200"/>
              <w:jc w:val="both"/>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（3）</w:t>
            </w:r>
            <w:r>
              <w:rPr>
                <w:rFonts w:hint="eastAsia" w:cs="Times New Roman"/>
                <w:b w:val="0"/>
                <w:bCs w:val="0"/>
                <w:color w:val="000000" w:themeColor="text1"/>
                <w:highlight w:val="none"/>
                <w:lang w:val="en-US" w:eastAsia="zh-CN"/>
                <w14:textFill>
                  <w14:solidFill>
                    <w14:schemeClr w14:val="tx1"/>
                  </w14:solidFill>
                </w14:textFill>
              </w:rPr>
              <w:t>钢板、胶头清洗</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用水</w:t>
            </w:r>
          </w:p>
          <w:p w14:paraId="591472BB">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本项目移印工序需清洗钢板、胶头，根据企业提供的资料，需每天清洗一次（本项目共设有1个清洗池，清洗池配置1支流量为5L/min的清洗枪），每次最多为3套钢板、胶头，单次冲洗时间为10s，年工作264天，则钢板、胶头清洗用水量为（3个×10s）÷60 s×5L/min=2.5L/次，2.5L/次×1次/天×264天÷1000=0.66t/a。</w:t>
            </w:r>
            <w:r>
              <w:rPr>
                <w:rFonts w:hint="eastAsia"/>
                <w:bCs/>
                <w:color w:val="000000" w:themeColor="text1"/>
                <w:spacing w:val="-10"/>
                <w:sz w:val="24"/>
                <w:highlight w:val="none"/>
                <w14:textFill>
                  <w14:solidFill>
                    <w14:schemeClr w14:val="tx1"/>
                  </w14:solidFill>
                </w14:textFill>
              </w:rPr>
              <w:t>年</w:t>
            </w:r>
            <w:r>
              <w:rPr>
                <w:rFonts w:hint="eastAsia"/>
                <w:color w:val="000000" w:themeColor="text1"/>
                <w:sz w:val="24"/>
                <w:highlight w:val="none"/>
                <w14:textFill>
                  <w14:solidFill>
                    <w14:schemeClr w14:val="tx1"/>
                  </w14:solidFill>
                </w14:textFill>
              </w:rPr>
              <w:t>用水量为</w:t>
            </w:r>
            <w:r>
              <w:rPr>
                <w:rFonts w:hint="eastAsia"/>
                <w:color w:val="000000" w:themeColor="text1"/>
                <w:sz w:val="24"/>
                <w:highlight w:val="none"/>
                <w:lang w:val="en-US" w:eastAsia="zh-CN"/>
                <w14:textFill>
                  <w14:solidFill>
                    <w14:schemeClr w14:val="tx1"/>
                  </w14:solidFill>
                </w14:textFill>
              </w:rPr>
              <w:t>0.66</w:t>
            </w:r>
            <w:r>
              <w:rPr>
                <w:rFonts w:hint="eastAsia"/>
                <w:bCs/>
                <w:color w:val="000000" w:themeColor="text1"/>
                <w:spacing w:val="-10"/>
                <w:sz w:val="24"/>
                <w:highlight w:val="none"/>
                <w14:textFill>
                  <w14:solidFill>
                    <w14:schemeClr w14:val="tx1"/>
                  </w14:solidFill>
                </w14:textFill>
              </w:rPr>
              <w:t>t/a，污水量按用水量90%计，则</w:t>
            </w:r>
            <w:r>
              <w:rPr>
                <w:rFonts w:hint="eastAsia"/>
                <w:bCs/>
                <w:color w:val="000000" w:themeColor="text1"/>
                <w:spacing w:val="-10"/>
                <w:sz w:val="24"/>
                <w:highlight w:val="none"/>
                <w:lang w:eastAsia="zh-CN"/>
                <w14:textFill>
                  <w14:solidFill>
                    <w14:schemeClr w14:val="tx1"/>
                  </w14:solidFill>
                </w14:textFill>
              </w:rPr>
              <w:t>钢板、胶头清洗</w:t>
            </w:r>
            <w:r>
              <w:rPr>
                <w:rFonts w:hint="eastAsia"/>
                <w:bCs/>
                <w:color w:val="000000" w:themeColor="text1"/>
                <w:spacing w:val="-10"/>
                <w:sz w:val="24"/>
                <w:highlight w:val="none"/>
                <w14:textFill>
                  <w14:solidFill>
                    <w14:schemeClr w14:val="tx1"/>
                  </w14:solidFill>
                </w14:textFill>
              </w:rPr>
              <w:t>废水产生量约为</w:t>
            </w:r>
            <w:r>
              <w:rPr>
                <w:rFonts w:hint="eastAsia"/>
                <w:bCs/>
                <w:color w:val="000000" w:themeColor="text1"/>
                <w:spacing w:val="-10"/>
                <w:sz w:val="24"/>
                <w:highlight w:val="none"/>
                <w:lang w:val="en-US" w:eastAsia="zh-CN"/>
                <w14:textFill>
                  <w14:solidFill>
                    <w14:schemeClr w14:val="tx1"/>
                  </w14:solidFill>
                </w14:textFill>
              </w:rPr>
              <w:t>0.594</w:t>
            </w:r>
            <w:r>
              <w:rPr>
                <w:rFonts w:hint="eastAsia"/>
                <w:bCs/>
                <w:color w:val="000000" w:themeColor="text1"/>
                <w:spacing w:val="-10"/>
                <w:sz w:val="24"/>
                <w:highlight w:val="none"/>
                <w14:textFill>
                  <w14:solidFill>
                    <w14:schemeClr w14:val="tx1"/>
                  </w14:solidFill>
                </w14:textFill>
              </w:rPr>
              <w:t>t/a。</w:t>
            </w:r>
            <w:r>
              <w:rPr>
                <w:rFonts w:hint="eastAsia"/>
                <w:bCs/>
                <w:color w:val="000000" w:themeColor="text1"/>
                <w:spacing w:val="-10"/>
                <w:sz w:val="24"/>
                <w:highlight w:val="none"/>
                <w:lang w:val="en-US" w:eastAsia="zh-CN"/>
                <w14:textFill>
                  <w14:solidFill>
                    <w14:schemeClr w14:val="tx1"/>
                  </w14:solidFill>
                </w14:textFill>
              </w:rPr>
              <w:t>清洗废水中成分复杂，按危险废物交由有危险废物处理资质单位处理</w:t>
            </w:r>
            <w:r>
              <w:rPr>
                <w:rFonts w:hint="eastAsia"/>
                <w:bCs/>
                <w:color w:val="000000" w:themeColor="text1"/>
                <w:spacing w:val="-10"/>
                <w:sz w:val="24"/>
                <w:highlight w:val="none"/>
                <w14:textFill>
                  <w14:solidFill>
                    <w14:schemeClr w14:val="tx1"/>
                  </w14:solidFill>
                </w14:textFill>
              </w:rPr>
              <w:t>。</w:t>
            </w:r>
          </w:p>
          <w:p w14:paraId="3F06ABA6">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w:t>
            </w:r>
            <w:r>
              <w:rPr>
                <w:rFonts w:ascii="Times New Roman" w:hAnsi="Times New Roman" w:eastAsia="宋体" w:cs="Times New Roman"/>
                <w:b/>
                <w:bCs/>
                <w:color w:val="000000" w:themeColor="text1"/>
                <w:highlight w:val="none"/>
                <w14:textFill>
                  <w14:solidFill>
                    <w14:schemeClr w14:val="tx1"/>
                  </w14:solidFill>
                </w14:textFill>
              </w:rPr>
              <w:t>、排放口基本情况</w:t>
            </w:r>
          </w:p>
          <w:p w14:paraId="628D36EA">
            <w:pPr>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营运期排放的废水主要为生活污水</w:t>
            </w:r>
            <w:r>
              <w:rPr>
                <w:rFonts w:hint="eastAsia" w:cs="Times New Roman"/>
                <w:color w:val="000000" w:themeColor="text1"/>
                <w:highlight w:val="none"/>
                <w:lang w:eastAsia="zh-CN"/>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产生量为</w:t>
            </w:r>
            <w:r>
              <w:rPr>
                <w:rFonts w:hint="eastAsia" w:cs="Times New Roman"/>
                <w:color w:val="000000" w:themeColor="text1"/>
                <w:highlight w:val="none"/>
                <w:lang w:val="en-US" w:eastAsia="zh-CN"/>
                <w14:textFill>
                  <w14:solidFill>
                    <w14:schemeClr w14:val="tx1"/>
                  </w14:solidFill>
                </w14:textFill>
              </w:rPr>
              <w:t>450t</w:t>
            </w:r>
            <w:r>
              <w:rPr>
                <w:rFonts w:ascii="Times New Roman" w:hAnsi="Times New Roman" w:eastAsia="宋体" w:cs="Times New Roman"/>
                <w:color w:val="000000" w:themeColor="text1"/>
                <w:highlight w:val="none"/>
                <w14:textFill>
                  <w14:solidFill>
                    <w14:schemeClr w14:val="tx1"/>
                  </w14:solidFill>
                </w14:textFill>
              </w:rPr>
              <w:t>/a，主要污染物为</w:t>
            </w:r>
            <w:r>
              <w:rPr>
                <w:rFonts w:hint="eastAsia" w:cs="Times New Roman"/>
                <w:color w:val="000000" w:themeColor="text1"/>
                <w:highlight w:val="none"/>
                <w:lang w:val="en-US" w:eastAsia="zh-CN"/>
                <w14:textFill>
                  <w14:solidFill>
                    <w14:schemeClr w14:val="tx1"/>
                  </w14:solidFill>
                </w14:textFill>
              </w:rPr>
              <w:t>pH、</w:t>
            </w:r>
            <w:r>
              <w:rPr>
                <w:rFonts w:ascii="Times New Roman" w:hAnsi="Times New Roman" w:eastAsia="宋体" w:cs="Times New Roman"/>
                <w:color w:val="000000" w:themeColor="text1"/>
                <w:highlight w:val="none"/>
                <w14:textFill>
                  <w14:solidFill>
                    <w14:schemeClr w14:val="tx1"/>
                  </w14:solidFill>
                </w14:textFill>
              </w:rPr>
              <w:t>COD</w:t>
            </w:r>
            <w:r>
              <w:rPr>
                <w:rFonts w:ascii="Times New Roman" w:hAnsi="Times New Roman" w:eastAsia="宋体" w:cs="Times New Roman"/>
                <w:color w:val="000000" w:themeColor="text1"/>
                <w:highlight w:val="none"/>
                <w:vertAlign w:val="subscript"/>
                <w14:textFill>
                  <w14:solidFill>
                    <w14:schemeClr w14:val="tx1"/>
                  </w14:solidFill>
                </w14:textFill>
              </w:rPr>
              <w:t>Cr</w:t>
            </w:r>
            <w:r>
              <w:rPr>
                <w:rFonts w:ascii="Times New Roman" w:hAnsi="Times New Roman" w:eastAsia="宋体" w:cs="Times New Roman"/>
                <w:color w:val="000000" w:themeColor="text1"/>
                <w:highlight w:val="none"/>
                <w14:textFill>
                  <w14:solidFill>
                    <w14:schemeClr w14:val="tx1"/>
                  </w14:solidFill>
                </w14:textFill>
              </w:rPr>
              <w:t>、BOD</w:t>
            </w:r>
            <w:r>
              <w:rPr>
                <w:rFonts w:ascii="Times New Roman" w:hAnsi="Times New Roman" w:eastAsia="宋体" w:cs="Times New Roman"/>
                <w:color w:val="000000" w:themeColor="text1"/>
                <w:highlight w:val="none"/>
                <w:vertAlign w:val="subscript"/>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、SS、</w:t>
            </w:r>
            <w:r>
              <w:rPr>
                <w:rFonts w:hint="eastAsia" w:ascii="Times New Roman" w:hAnsi="Times New Roman" w:eastAsia="宋体" w:cs="Times New Roman"/>
                <w:color w:val="000000" w:themeColor="text1"/>
                <w:highlight w:val="none"/>
                <w14:textFill>
                  <w14:solidFill>
                    <w14:schemeClr w14:val="tx1"/>
                  </w14:solidFill>
                </w14:textFill>
              </w:rPr>
              <w:t>氨氮</w:t>
            </w:r>
            <w:r>
              <w:rPr>
                <w:rFonts w:ascii="Times New Roman" w:hAnsi="Times New Roman" w:eastAsia="宋体" w:cs="Times New Roman"/>
                <w:color w:val="000000" w:themeColor="text1"/>
                <w:highlight w:val="none"/>
                <w14:textFill>
                  <w14:solidFill>
                    <w14:schemeClr w14:val="tx1"/>
                  </w14:solidFill>
                </w14:textFill>
              </w:rPr>
              <w:t>。本项目</w:t>
            </w:r>
            <w:r>
              <w:rPr>
                <w:rFonts w:hint="eastAsia" w:ascii="Times New Roman" w:hAnsi="Times New Roman" w:eastAsia="宋体" w:cs="Times New Roman"/>
                <w:color w:val="000000" w:themeColor="text1"/>
                <w:highlight w:val="none"/>
                <w14:textFill>
                  <w14:solidFill>
                    <w14:schemeClr w14:val="tx1"/>
                  </w14:solidFill>
                </w14:textFill>
              </w:rPr>
              <w:t>生活污水经三级化粪池处理后排入园区污水处理</w:t>
            </w:r>
            <w:r>
              <w:rPr>
                <w:rFonts w:hint="eastAsia" w:ascii="Times New Roman" w:hAnsi="Times New Roman" w:eastAsia="宋体" w:cs="Times New Roman"/>
                <w:color w:val="000000" w:themeColor="text1"/>
                <w:highlight w:val="none"/>
                <w:lang w:eastAsia="zh-CN"/>
                <w14:textFill>
                  <w14:solidFill>
                    <w14:schemeClr w14:val="tx1"/>
                  </w14:solidFill>
                </w14:textFill>
              </w:rPr>
              <w:t>厂</w:t>
            </w:r>
            <w:r>
              <w:rPr>
                <w:rFonts w:hint="eastAsia" w:ascii="Times New Roman" w:hAnsi="Times New Roman" w:eastAsia="宋体" w:cs="Times New Roman"/>
                <w:color w:val="000000" w:themeColor="text1"/>
                <w:highlight w:val="none"/>
                <w14:textFill>
                  <w14:solidFill>
                    <w14:schemeClr w14:val="tx1"/>
                  </w14:solidFill>
                </w14:textFill>
              </w:rPr>
              <w:t>进一步处理后排放</w:t>
            </w:r>
            <w:r>
              <w:rPr>
                <w:rFonts w:ascii="Times New Roman" w:hAnsi="Times New Roman" w:eastAsia="宋体" w:cs="Times New Roman"/>
                <w:color w:val="000000" w:themeColor="text1"/>
                <w:highlight w:val="none"/>
                <w14:textFill>
                  <w14:solidFill>
                    <w14:schemeClr w14:val="tx1"/>
                  </w14:solidFill>
                </w14:textFill>
              </w:rPr>
              <w:t>，不新增污水排放口，属于一般排放口。</w:t>
            </w:r>
          </w:p>
          <w:p w14:paraId="3D625877">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废水排放口基本情况表</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8"/>
              <w:gridCol w:w="614"/>
              <w:gridCol w:w="653"/>
              <w:gridCol w:w="582"/>
              <w:gridCol w:w="833"/>
              <w:gridCol w:w="615"/>
              <w:gridCol w:w="932"/>
              <w:gridCol w:w="532"/>
              <w:gridCol w:w="532"/>
              <w:gridCol w:w="665"/>
              <w:gridCol w:w="1465"/>
            </w:tblGrid>
            <w:tr w14:paraId="4D58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restart"/>
                  <w:vAlign w:val="center"/>
                </w:tcPr>
                <w:p w14:paraId="53C6F5B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排放口编号</w:t>
                  </w:r>
                </w:p>
              </w:tc>
              <w:tc>
                <w:tcPr>
                  <w:tcW w:w="392" w:type="pct"/>
                  <w:vMerge w:val="restart"/>
                  <w:vAlign w:val="center"/>
                </w:tcPr>
                <w:p w14:paraId="04F3F34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排放口名称</w:t>
                  </w:r>
                </w:p>
              </w:tc>
              <w:tc>
                <w:tcPr>
                  <w:tcW w:w="788" w:type="pct"/>
                  <w:gridSpan w:val="2"/>
                  <w:vAlign w:val="center"/>
                </w:tcPr>
                <w:p w14:paraId="2E0A7CD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排放口坐标/m</w:t>
                  </w:r>
                </w:p>
              </w:tc>
              <w:tc>
                <w:tcPr>
                  <w:tcW w:w="531" w:type="pct"/>
                  <w:vMerge w:val="restart"/>
                  <w:vAlign w:val="center"/>
                </w:tcPr>
                <w:p w14:paraId="0CF27EC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废水排放量</w:t>
                  </w:r>
                </w:p>
                <w:p w14:paraId="45D2ADB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（万t/a）</w:t>
                  </w:r>
                </w:p>
              </w:tc>
              <w:tc>
                <w:tcPr>
                  <w:tcW w:w="392" w:type="pct"/>
                  <w:vMerge w:val="restart"/>
                  <w:vAlign w:val="center"/>
                </w:tcPr>
                <w:p w14:paraId="1E7A03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排放去向</w:t>
                  </w:r>
                </w:p>
              </w:tc>
              <w:tc>
                <w:tcPr>
                  <w:tcW w:w="594" w:type="pct"/>
                  <w:vMerge w:val="restart"/>
                  <w:vAlign w:val="center"/>
                </w:tcPr>
                <w:p w14:paraId="13EB69F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排放规律</w:t>
                  </w:r>
                </w:p>
              </w:tc>
              <w:tc>
                <w:tcPr>
                  <w:tcW w:w="339" w:type="pct"/>
                  <w:vMerge w:val="restart"/>
                  <w:vAlign w:val="center"/>
                </w:tcPr>
                <w:p w14:paraId="38B0D2D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排放口类型</w:t>
                  </w:r>
                </w:p>
              </w:tc>
              <w:tc>
                <w:tcPr>
                  <w:tcW w:w="1695" w:type="pct"/>
                  <w:gridSpan w:val="3"/>
                  <w:vAlign w:val="center"/>
                </w:tcPr>
                <w:p w14:paraId="23F7801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受纳</w:t>
                  </w: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污水处理厂</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信息</w:t>
                  </w:r>
                </w:p>
              </w:tc>
            </w:tr>
            <w:tr w14:paraId="38DC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0818C2A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1C8C348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417" w:type="pct"/>
                  <w:vAlign w:val="center"/>
                </w:tcPr>
                <w:p w14:paraId="4396881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X</w:t>
                  </w:r>
                </w:p>
              </w:tc>
              <w:tc>
                <w:tcPr>
                  <w:tcW w:w="371" w:type="pct"/>
                  <w:vAlign w:val="center"/>
                </w:tcPr>
                <w:p w14:paraId="6DAB176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Y</w:t>
                  </w:r>
                </w:p>
              </w:tc>
              <w:tc>
                <w:tcPr>
                  <w:tcW w:w="531" w:type="pct"/>
                  <w:vMerge w:val="continue"/>
                  <w:vAlign w:val="center"/>
                </w:tcPr>
                <w:p w14:paraId="59A1A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1A2FCF8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6ADE9F4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4A54B85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c>
                <w:tcPr>
                  <w:tcW w:w="339" w:type="pct"/>
                  <w:vAlign w:val="center"/>
                </w:tcPr>
                <w:p w14:paraId="4928CAB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名称</w:t>
                  </w:r>
                </w:p>
              </w:tc>
              <w:tc>
                <w:tcPr>
                  <w:tcW w:w="424" w:type="pct"/>
                  <w:vAlign w:val="center"/>
                </w:tcPr>
                <w:p w14:paraId="4A6E6DC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污染物种类</w:t>
                  </w:r>
                </w:p>
              </w:tc>
              <w:tc>
                <w:tcPr>
                  <w:tcW w:w="932" w:type="pct"/>
                  <w:vAlign w:val="center"/>
                </w:tcPr>
                <w:p w14:paraId="6B269B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国家或</w:t>
                  </w: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地方污</w:t>
                  </w:r>
                </w:p>
                <w:p w14:paraId="183D54F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染物排放标准浓度限值/(mg/L)</w:t>
                  </w:r>
                </w:p>
              </w:tc>
            </w:tr>
            <w:tr w14:paraId="2E06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restart"/>
                  <w:vAlign w:val="center"/>
                </w:tcPr>
                <w:p w14:paraId="15F1674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w:t>
                  </w:r>
                </w:p>
              </w:tc>
              <w:tc>
                <w:tcPr>
                  <w:tcW w:w="392" w:type="pct"/>
                  <w:vMerge w:val="restart"/>
                  <w:vAlign w:val="center"/>
                </w:tcPr>
                <w:p w14:paraId="4CC152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生活废水排放口</w:t>
                  </w:r>
                </w:p>
              </w:tc>
              <w:tc>
                <w:tcPr>
                  <w:tcW w:w="417" w:type="pct"/>
                  <w:vMerge w:val="restart"/>
                  <w:vAlign w:val="center"/>
                </w:tcPr>
                <w:p w14:paraId="063D96F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60</w:t>
                  </w:r>
                </w:p>
              </w:tc>
              <w:tc>
                <w:tcPr>
                  <w:tcW w:w="371" w:type="pct"/>
                  <w:vMerge w:val="restart"/>
                  <w:vAlign w:val="center"/>
                </w:tcPr>
                <w:p w14:paraId="015C68F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-54</w:t>
                  </w:r>
                </w:p>
              </w:tc>
              <w:tc>
                <w:tcPr>
                  <w:tcW w:w="531" w:type="pct"/>
                  <w:vMerge w:val="restart"/>
                  <w:vAlign w:val="center"/>
                </w:tcPr>
                <w:p w14:paraId="073FE6A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0.0450</w:t>
                  </w:r>
                </w:p>
              </w:tc>
              <w:tc>
                <w:tcPr>
                  <w:tcW w:w="392" w:type="pct"/>
                  <w:vMerge w:val="restart"/>
                  <w:vAlign w:val="center"/>
                </w:tcPr>
                <w:p w14:paraId="5C55996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集中式工业污水处理厂</w:t>
                  </w:r>
                </w:p>
              </w:tc>
              <w:tc>
                <w:tcPr>
                  <w:tcW w:w="594" w:type="pct"/>
                  <w:vMerge w:val="restart"/>
                  <w:vAlign w:val="center"/>
                </w:tcPr>
                <w:p w14:paraId="16024AB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间歇排放，流量不稳定，但不属于冲击型排放</w:t>
                  </w:r>
                </w:p>
              </w:tc>
              <w:tc>
                <w:tcPr>
                  <w:tcW w:w="339" w:type="pct"/>
                  <w:vMerge w:val="restart"/>
                  <w:vAlign w:val="center"/>
                </w:tcPr>
                <w:p w14:paraId="01F351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一般排放口</w:t>
                  </w:r>
                </w:p>
              </w:tc>
              <w:tc>
                <w:tcPr>
                  <w:tcW w:w="339" w:type="pct"/>
                  <w:vMerge w:val="restart"/>
                  <w:vAlign w:val="center"/>
                </w:tcPr>
                <w:p w14:paraId="7DE487E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园区污水处理厂</w:t>
                  </w:r>
                </w:p>
              </w:tc>
              <w:tc>
                <w:tcPr>
                  <w:tcW w:w="424" w:type="pct"/>
                  <w:vAlign w:val="center"/>
                </w:tcPr>
                <w:p w14:paraId="5F0F3A0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pH</w:t>
                  </w:r>
                </w:p>
              </w:tc>
              <w:tc>
                <w:tcPr>
                  <w:tcW w:w="932" w:type="pct"/>
                  <w:vAlign w:val="center"/>
                </w:tcPr>
                <w:p w14:paraId="367B352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6~9</w:t>
                  </w:r>
                </w:p>
              </w:tc>
            </w:tr>
            <w:tr w14:paraId="16CF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0F76B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989A8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7947930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95647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7FE7D48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1345F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977235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7127736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69F8CD4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4F8AA21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b w:val="0"/>
                      <w:bCs w:val="0"/>
                      <w:color w:val="000000" w:themeColor="text1"/>
                      <w:position w:val="-10"/>
                      <w:sz w:val="21"/>
                      <w:szCs w:val="21"/>
                      <w:highlight w:val="none"/>
                      <w:vertAlign w:val="subscript"/>
                      <w:lang w:val="en-US" w:eastAsia="zh-CN" w:bidi="ar-SA"/>
                      <w14:textFill>
                        <w14:solidFill>
                          <w14:schemeClr w14:val="tx1"/>
                        </w14:solidFill>
                      </w14:textFill>
                    </w:rPr>
                    <w:t>Cr</w:t>
                  </w:r>
                </w:p>
              </w:tc>
              <w:tc>
                <w:tcPr>
                  <w:tcW w:w="932" w:type="pct"/>
                  <w:vAlign w:val="center"/>
                </w:tcPr>
                <w:p w14:paraId="0C23AEB8">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40</w:t>
                  </w:r>
                </w:p>
              </w:tc>
            </w:tr>
            <w:tr w14:paraId="47A6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3DA41D9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3A477E3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0C066F7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5206D07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6E8D463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CF6491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4E0D497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0386669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C1A7F5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5ABC68C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val="0"/>
                      <w:bCs w:val="0"/>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b w:val="0"/>
                      <w:bCs w:val="0"/>
                      <w:color w:val="000000" w:themeColor="text1"/>
                      <w:position w:val="-10"/>
                      <w:sz w:val="21"/>
                      <w:szCs w:val="21"/>
                      <w:highlight w:val="none"/>
                      <w:vertAlign w:val="subscript"/>
                      <w:lang w:val="en-US" w:eastAsia="zh-CN" w:bidi="ar-SA"/>
                      <w14:textFill>
                        <w14:solidFill>
                          <w14:schemeClr w14:val="tx1"/>
                        </w14:solidFill>
                      </w14:textFill>
                    </w:rPr>
                    <w:t>5</w:t>
                  </w:r>
                </w:p>
              </w:tc>
              <w:tc>
                <w:tcPr>
                  <w:tcW w:w="932" w:type="pct"/>
                  <w:vAlign w:val="center"/>
                </w:tcPr>
                <w:p w14:paraId="18F9F2AB">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sz w:val="21"/>
                      <w:szCs w:val="21"/>
                      <w:highlight w:val="none"/>
                      <w14:textFill>
                        <w14:solidFill>
                          <w14:schemeClr w14:val="tx1"/>
                        </w14:solidFill>
                      </w14:textFill>
                    </w:rPr>
                    <w:t>10</w:t>
                  </w:r>
                </w:p>
              </w:tc>
            </w:tr>
            <w:tr w14:paraId="458F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516B2D0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628544F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11F2828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1E6A83F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204D7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276A494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4DD1354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ACB937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322685A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795FB5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p>
              </w:tc>
              <w:tc>
                <w:tcPr>
                  <w:tcW w:w="932" w:type="pct"/>
                  <w:vAlign w:val="center"/>
                </w:tcPr>
                <w:p w14:paraId="653F2521">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10</w:t>
                  </w:r>
                </w:p>
              </w:tc>
            </w:tr>
            <w:tr w14:paraId="46C2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61A946C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4D0D0A0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39B8B0B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1CC9ED0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46BEC7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7B977DD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06D5050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6F8500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207839E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06E57AD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氨氮</w:t>
                  </w:r>
                </w:p>
              </w:tc>
              <w:tc>
                <w:tcPr>
                  <w:tcW w:w="932" w:type="pct"/>
                  <w:vAlign w:val="center"/>
                </w:tcPr>
                <w:p w14:paraId="18D05D7C">
                  <w:pPr>
                    <w:keepNext w:val="0"/>
                    <w:keepLines w:val="0"/>
                    <w:pageBreakBefore w:val="0"/>
                    <w:widowControl w:val="0"/>
                    <w:kinsoku/>
                    <w:overflowPunct/>
                    <w:topLinePunct w:val="0"/>
                    <w:bidi w:val="0"/>
                    <w:adjustRightInd/>
                    <w:snapToGrid/>
                    <w:spacing w:line="240" w:lineRule="auto"/>
                    <w:jc w:val="center"/>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5</w:t>
                  </w:r>
                </w:p>
              </w:tc>
            </w:tr>
            <w:tr w14:paraId="480B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2D14C41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26D8598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0090E2B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DA129C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1E962A5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E0DD71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2D18385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302F15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BD7BF2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shd w:val="clear" w:color="auto" w:fill="auto"/>
                  <w:vAlign w:val="center"/>
                </w:tcPr>
                <w:p w14:paraId="0F8AD70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TP</w:t>
                  </w:r>
                </w:p>
              </w:tc>
              <w:tc>
                <w:tcPr>
                  <w:tcW w:w="932" w:type="pct"/>
                  <w:shd w:val="clear" w:color="auto" w:fill="auto"/>
                  <w:vAlign w:val="center"/>
                </w:tcPr>
                <w:p w14:paraId="73FBB8A3">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0.5</w:t>
                  </w:r>
                </w:p>
              </w:tc>
            </w:tr>
            <w:tr w14:paraId="1BA0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1ED278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33244C3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12DF89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70418B6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3879CE5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4760B9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7E0C9BB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58947F3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4B2DC50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7775147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石油类</w:t>
                  </w:r>
                </w:p>
              </w:tc>
              <w:tc>
                <w:tcPr>
                  <w:tcW w:w="932" w:type="pct"/>
                  <w:vAlign w:val="center"/>
                </w:tcPr>
                <w:p w14:paraId="7DAA8DBD">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w:t>
                  </w:r>
                </w:p>
              </w:tc>
            </w:tr>
            <w:tr w14:paraId="7163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184A5E6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1AA405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7FCC46C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06072A9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216DDBE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965C5F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1F0836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12D3F8E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3FFC389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4BFD4F3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铜</w:t>
                  </w:r>
                </w:p>
              </w:tc>
              <w:tc>
                <w:tcPr>
                  <w:tcW w:w="932" w:type="pct"/>
                  <w:vAlign w:val="center"/>
                </w:tcPr>
                <w:p w14:paraId="0991BD65">
                  <w:pPr>
                    <w:keepNext w:val="0"/>
                    <w:keepLines w:val="0"/>
                    <w:pageBreakBefore w:val="0"/>
                    <w:widowControl w:val="0"/>
                    <w:kinsoku/>
                    <w:overflowPunct/>
                    <w:topLinePunct w:val="0"/>
                    <w:bidi w:val="0"/>
                    <w:adjustRightInd/>
                    <w:snapToGrid/>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0.5</w:t>
                  </w:r>
                </w:p>
              </w:tc>
            </w:tr>
            <w:tr w14:paraId="3E28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7" w:type="pct"/>
                  <w:vMerge w:val="continue"/>
                  <w:vAlign w:val="center"/>
                </w:tcPr>
                <w:p w14:paraId="6FCE0DA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5F83054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17" w:type="pct"/>
                  <w:vMerge w:val="continue"/>
                  <w:vAlign w:val="center"/>
                </w:tcPr>
                <w:p w14:paraId="68E0F41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71" w:type="pct"/>
                  <w:vMerge w:val="continue"/>
                  <w:vAlign w:val="center"/>
                </w:tcPr>
                <w:p w14:paraId="6B83DE4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31" w:type="pct"/>
                  <w:vMerge w:val="continue"/>
                  <w:vAlign w:val="center"/>
                </w:tcPr>
                <w:p w14:paraId="41F908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92" w:type="pct"/>
                  <w:vMerge w:val="continue"/>
                  <w:vAlign w:val="center"/>
                </w:tcPr>
                <w:p w14:paraId="099F9E1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94" w:type="pct"/>
                  <w:vMerge w:val="continue"/>
                  <w:vAlign w:val="center"/>
                </w:tcPr>
                <w:p w14:paraId="3D6A0F1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284E7D8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39" w:type="pct"/>
                  <w:vMerge w:val="continue"/>
                  <w:vAlign w:val="center"/>
                </w:tcPr>
                <w:p w14:paraId="6ABA838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24" w:type="pct"/>
                  <w:vAlign w:val="center"/>
                </w:tcPr>
                <w:p w14:paraId="33FF0F9E">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锌</w:t>
                  </w:r>
                </w:p>
              </w:tc>
              <w:tc>
                <w:tcPr>
                  <w:tcW w:w="932" w:type="pct"/>
                  <w:vAlign w:val="center"/>
                </w:tcPr>
                <w:p w14:paraId="23034F41">
                  <w:pPr>
                    <w:keepNext w:val="0"/>
                    <w:keepLines w:val="0"/>
                    <w:pageBreakBefore w:val="0"/>
                    <w:widowControl w:val="0"/>
                    <w:kinsoku/>
                    <w:overflowPunct/>
                    <w:topLinePunct w:val="0"/>
                    <w:bidi w:val="0"/>
                    <w:adjustRightInd/>
                    <w:snapToGrid/>
                    <w:spacing w:line="240" w:lineRule="auto"/>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w:t>
                  </w:r>
                </w:p>
              </w:tc>
            </w:tr>
            <w:tr w14:paraId="6B43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11"/>
                  <w:vAlign w:val="center"/>
                </w:tcPr>
                <w:p w14:paraId="73D5B7A8">
                  <w:pPr>
                    <w:keepNext w:val="0"/>
                    <w:keepLines w:val="0"/>
                    <w:pageBreakBefore w:val="0"/>
                    <w:widowControl w:val="0"/>
                    <w:kinsoku/>
                    <w:wordWrap w:val="0"/>
                    <w:overflowPunct/>
                    <w:topLinePunct w:val="0"/>
                    <w:autoSpaceDE w:val="0"/>
                    <w:autoSpaceDN w:val="0"/>
                    <w:bidi w:val="0"/>
                    <w:adjustRightInd/>
                    <w:snapToGrid/>
                    <w:spacing w:line="240" w:lineRule="auto"/>
                    <w:jc w:val="left"/>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注：项目废水排放执行广东省地方标准《水污染物排放限值》（DB44/26-2001）第二时段三级标准及园区污水处理厂接管水质要求两者较严值。</w:t>
                  </w:r>
                </w:p>
              </w:tc>
            </w:tr>
          </w:tbl>
          <w:p w14:paraId="7BE961B5">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污染物排放信息表</w:t>
            </w:r>
          </w:p>
          <w:tbl>
            <w:tblPr>
              <w:tblStyle w:val="4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960"/>
              <w:gridCol w:w="1425"/>
              <w:gridCol w:w="1166"/>
              <w:gridCol w:w="1599"/>
              <w:gridCol w:w="2041"/>
            </w:tblGrid>
            <w:tr w14:paraId="70602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15433B5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序号</w:t>
                  </w:r>
                </w:p>
              </w:tc>
              <w:tc>
                <w:tcPr>
                  <w:tcW w:w="611" w:type="pct"/>
                  <w:tcBorders>
                    <w:tl2br w:val="nil"/>
                    <w:tr2bl w:val="nil"/>
                  </w:tcBorders>
                  <w:shd w:val="clear" w:color="auto" w:fill="FFFFFF"/>
                  <w:vAlign w:val="center"/>
                </w:tcPr>
                <w:p w14:paraId="3358927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排放口编号</w:t>
                  </w:r>
                </w:p>
              </w:tc>
              <w:tc>
                <w:tcPr>
                  <w:tcW w:w="908" w:type="pct"/>
                  <w:tcBorders>
                    <w:tl2br w:val="nil"/>
                    <w:tr2bl w:val="nil"/>
                  </w:tcBorders>
                  <w:shd w:val="clear" w:color="auto" w:fill="FFFFFF"/>
                  <w:vAlign w:val="center"/>
                </w:tcPr>
                <w:p w14:paraId="11681FA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污染物种类</w:t>
                  </w:r>
                </w:p>
              </w:tc>
              <w:tc>
                <w:tcPr>
                  <w:tcW w:w="743" w:type="pct"/>
                  <w:tcBorders>
                    <w:tl2br w:val="nil"/>
                    <w:tr2bl w:val="nil"/>
                  </w:tcBorders>
                  <w:shd w:val="clear" w:color="auto" w:fill="FFFFFF"/>
                  <w:vAlign w:val="center"/>
                </w:tcPr>
                <w:p w14:paraId="6328008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排放浓度（</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mg/L</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c>
                <w:tcPr>
                  <w:tcW w:w="1018" w:type="pct"/>
                  <w:tcBorders>
                    <w:tl2br w:val="nil"/>
                    <w:tr2bl w:val="nil"/>
                  </w:tcBorders>
                  <w:shd w:val="clear" w:color="auto" w:fill="FFFFFF"/>
                  <w:vAlign w:val="center"/>
                </w:tcPr>
                <w:p w14:paraId="7EA9CC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全厂日排放量</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t/d</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c>
                <w:tcPr>
                  <w:tcW w:w="1300" w:type="pct"/>
                  <w:tcBorders>
                    <w:tl2br w:val="nil"/>
                    <w:tr2bl w:val="nil"/>
                  </w:tcBorders>
                  <w:shd w:val="clear" w:color="auto" w:fill="FFFFFF"/>
                  <w:vAlign w:val="center"/>
                </w:tcPr>
                <w:p w14:paraId="57772C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全厂年排放量</w:t>
                  </w:r>
                </w:p>
                <w:p w14:paraId="3F088BE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u w:val="none"/>
                      <w14:textFill>
                        <w14:solidFill>
                          <w14:schemeClr w14:val="tx1"/>
                        </w14:solidFill>
                      </w14:textFill>
                    </w:rPr>
                    <w:t>）</w:t>
                  </w:r>
                </w:p>
              </w:tc>
            </w:tr>
            <w:tr w14:paraId="448FD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420A1F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1</w:t>
                  </w:r>
                </w:p>
              </w:tc>
              <w:tc>
                <w:tcPr>
                  <w:tcW w:w="611" w:type="pct"/>
                  <w:vMerge w:val="restart"/>
                  <w:tcBorders>
                    <w:tl2br w:val="nil"/>
                    <w:tr2bl w:val="nil"/>
                  </w:tcBorders>
                  <w:shd w:val="clear" w:color="auto" w:fill="FFFFFF"/>
                  <w:vAlign w:val="center"/>
                </w:tcPr>
                <w:p w14:paraId="2E9D6D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DW001</w:t>
                  </w:r>
                </w:p>
              </w:tc>
              <w:tc>
                <w:tcPr>
                  <w:tcW w:w="908" w:type="pct"/>
                  <w:tcBorders>
                    <w:tl2br w:val="nil"/>
                    <w:tr2bl w:val="nil"/>
                  </w:tcBorders>
                  <w:shd w:val="clear" w:color="auto" w:fill="FFFFFF"/>
                  <w:vAlign w:val="center"/>
                </w:tcPr>
                <w:p w14:paraId="3F52091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COD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Cr</w:t>
                  </w:r>
                </w:p>
              </w:tc>
              <w:tc>
                <w:tcPr>
                  <w:tcW w:w="743" w:type="pct"/>
                  <w:tcBorders>
                    <w:tl2br w:val="nil"/>
                    <w:tr2bl w:val="nil"/>
                  </w:tcBorders>
                  <w:shd w:val="clear" w:color="auto" w:fill="FFFFFF"/>
                  <w:vAlign w:val="center"/>
                </w:tcPr>
                <w:p w14:paraId="1D150F66">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1018" w:type="pct"/>
                  <w:tcBorders>
                    <w:tl2br w:val="nil"/>
                    <w:tr2bl w:val="nil"/>
                  </w:tcBorders>
                  <w:shd w:val="clear" w:color="auto" w:fill="FFFFFF"/>
                  <w:vAlign w:val="center"/>
                </w:tcPr>
                <w:p w14:paraId="1D03804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0.00034 </w:t>
                  </w:r>
                </w:p>
              </w:tc>
              <w:tc>
                <w:tcPr>
                  <w:tcW w:w="1300" w:type="pct"/>
                  <w:tcBorders>
                    <w:tl2br w:val="nil"/>
                    <w:tr2bl w:val="nil"/>
                  </w:tcBorders>
                  <w:shd w:val="clear" w:color="auto" w:fill="FFFFFF"/>
                  <w:vAlign w:val="center"/>
                </w:tcPr>
                <w:p w14:paraId="5C42A47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4A7FB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58AB288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2</w:t>
                  </w:r>
                </w:p>
              </w:tc>
              <w:tc>
                <w:tcPr>
                  <w:tcW w:w="611" w:type="pct"/>
                  <w:vMerge w:val="continue"/>
                  <w:tcBorders>
                    <w:tl2br w:val="nil"/>
                    <w:tr2bl w:val="nil"/>
                  </w:tcBorders>
                  <w:shd w:val="clear" w:color="auto" w:fill="FFFFFF"/>
                  <w:vAlign w:val="center"/>
                </w:tcPr>
                <w:p w14:paraId="40D8A08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2DEC57D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BOD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743" w:type="pct"/>
                  <w:tcBorders>
                    <w:tl2br w:val="nil"/>
                    <w:tr2bl w:val="nil"/>
                  </w:tcBorders>
                  <w:shd w:val="clear" w:color="auto" w:fill="FFFFFF"/>
                  <w:vAlign w:val="center"/>
                </w:tcPr>
                <w:p w14:paraId="2D45DEA2">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1018" w:type="pct"/>
                  <w:tcBorders>
                    <w:tl2br w:val="nil"/>
                    <w:tr2bl w:val="nil"/>
                  </w:tcBorders>
                  <w:shd w:val="clear" w:color="auto" w:fill="FFFFFF"/>
                  <w:vAlign w:val="center"/>
                </w:tcPr>
                <w:p w14:paraId="0A8923D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0.00013 </w:t>
                  </w:r>
                </w:p>
              </w:tc>
              <w:tc>
                <w:tcPr>
                  <w:tcW w:w="1300" w:type="pct"/>
                  <w:tcBorders>
                    <w:tl2br w:val="nil"/>
                    <w:tr2bl w:val="nil"/>
                  </w:tcBorders>
                  <w:shd w:val="clear" w:color="auto" w:fill="FFFFFF"/>
                  <w:vAlign w:val="center"/>
                </w:tcPr>
                <w:p w14:paraId="6424AD9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15051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2C26111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3</w:t>
                  </w:r>
                </w:p>
              </w:tc>
              <w:tc>
                <w:tcPr>
                  <w:tcW w:w="611" w:type="pct"/>
                  <w:vMerge w:val="continue"/>
                  <w:tcBorders>
                    <w:tl2br w:val="nil"/>
                    <w:tr2bl w:val="nil"/>
                  </w:tcBorders>
                  <w:shd w:val="clear" w:color="auto" w:fill="FFFFFF"/>
                  <w:vAlign w:val="center"/>
                </w:tcPr>
                <w:p w14:paraId="1829094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7684AC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743" w:type="pct"/>
                  <w:tcBorders>
                    <w:tl2br w:val="nil"/>
                    <w:tr2bl w:val="nil"/>
                  </w:tcBorders>
                  <w:shd w:val="clear" w:color="auto" w:fill="FFFFFF"/>
                  <w:vAlign w:val="center"/>
                </w:tcPr>
                <w:p w14:paraId="389FC691">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1018" w:type="pct"/>
                  <w:tcBorders>
                    <w:tl2br w:val="nil"/>
                    <w:tr2bl w:val="nil"/>
                  </w:tcBorders>
                  <w:shd w:val="clear" w:color="auto" w:fill="FFFFFF"/>
                  <w:vAlign w:val="center"/>
                </w:tcPr>
                <w:p w14:paraId="5379D34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0.00012 </w:t>
                  </w:r>
                </w:p>
              </w:tc>
              <w:tc>
                <w:tcPr>
                  <w:tcW w:w="1300" w:type="pct"/>
                  <w:tcBorders>
                    <w:tl2br w:val="nil"/>
                    <w:tr2bl w:val="nil"/>
                  </w:tcBorders>
                  <w:shd w:val="clear" w:color="auto" w:fill="FFFFFF"/>
                  <w:vAlign w:val="center"/>
                </w:tcPr>
                <w:p w14:paraId="598325A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56492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613E75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4</w:t>
                  </w:r>
                </w:p>
              </w:tc>
              <w:tc>
                <w:tcPr>
                  <w:tcW w:w="611" w:type="pct"/>
                  <w:vMerge w:val="continue"/>
                  <w:tcBorders>
                    <w:tl2br w:val="nil"/>
                    <w:tr2bl w:val="nil"/>
                  </w:tcBorders>
                  <w:shd w:val="clear" w:color="auto" w:fill="FFFFFF"/>
                  <w:vAlign w:val="center"/>
                </w:tcPr>
                <w:p w14:paraId="4E9BD10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51617B8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氨氮</w:t>
                  </w:r>
                </w:p>
              </w:tc>
              <w:tc>
                <w:tcPr>
                  <w:tcW w:w="743" w:type="pct"/>
                  <w:tcBorders>
                    <w:tl2br w:val="nil"/>
                    <w:tr2bl w:val="nil"/>
                  </w:tcBorders>
                  <w:shd w:val="clear" w:color="auto" w:fill="FFFFFF"/>
                  <w:vAlign w:val="center"/>
                </w:tcPr>
                <w:p w14:paraId="1BA22DA5">
                  <w:pPr>
                    <w:widowControl/>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1018" w:type="pct"/>
                  <w:tcBorders>
                    <w:tl2br w:val="nil"/>
                    <w:tr2bl w:val="nil"/>
                  </w:tcBorders>
                  <w:shd w:val="clear" w:color="auto" w:fill="FFFFFF"/>
                  <w:vAlign w:val="center"/>
                </w:tcPr>
                <w:p w14:paraId="194EC7A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0.00003 </w:t>
                  </w:r>
                </w:p>
              </w:tc>
              <w:tc>
                <w:tcPr>
                  <w:tcW w:w="1300" w:type="pct"/>
                  <w:tcBorders>
                    <w:tl2br w:val="nil"/>
                    <w:tr2bl w:val="nil"/>
                  </w:tcBorders>
                  <w:shd w:val="clear" w:color="auto" w:fill="FFFFFF"/>
                  <w:vAlign w:val="center"/>
                </w:tcPr>
                <w:p w14:paraId="64C12E2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05ACD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08B0FE3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5</w:t>
                  </w:r>
                </w:p>
              </w:tc>
              <w:tc>
                <w:tcPr>
                  <w:tcW w:w="611" w:type="pct"/>
                  <w:vMerge w:val="continue"/>
                  <w:tcBorders>
                    <w:tl2br w:val="nil"/>
                    <w:tr2bl w:val="nil"/>
                  </w:tcBorders>
                  <w:shd w:val="clear" w:color="auto" w:fill="FFFFFF"/>
                  <w:vAlign w:val="center"/>
                </w:tcPr>
                <w:p w14:paraId="1E28240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57DAA51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动植物油</w:t>
                  </w:r>
                </w:p>
              </w:tc>
              <w:tc>
                <w:tcPr>
                  <w:tcW w:w="743" w:type="pct"/>
                  <w:tcBorders>
                    <w:tl2br w:val="nil"/>
                    <w:tr2bl w:val="nil"/>
                  </w:tcBorders>
                  <w:shd w:val="clear" w:color="auto" w:fill="FFFFFF"/>
                  <w:vAlign w:val="center"/>
                </w:tcPr>
                <w:p w14:paraId="373DE14B">
                  <w:pPr>
                    <w:widowControl/>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018" w:type="pct"/>
                  <w:tcBorders>
                    <w:tl2br w:val="nil"/>
                    <w:tr2bl w:val="nil"/>
                  </w:tcBorders>
                  <w:shd w:val="clear" w:color="auto" w:fill="FFFFFF"/>
                  <w:vAlign w:val="center"/>
                </w:tcPr>
                <w:p w14:paraId="464580A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0.00009 </w:t>
                  </w:r>
                </w:p>
              </w:tc>
              <w:tc>
                <w:tcPr>
                  <w:tcW w:w="1300" w:type="pct"/>
                  <w:tcBorders>
                    <w:tl2br w:val="nil"/>
                    <w:tr2bl w:val="nil"/>
                  </w:tcBorders>
                  <w:shd w:val="clear" w:color="auto" w:fill="FFFFFF"/>
                  <w:vAlign w:val="center"/>
                </w:tcPr>
                <w:p w14:paraId="5335FCB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0D189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416" w:type="pct"/>
                  <w:tcBorders>
                    <w:tl2br w:val="nil"/>
                    <w:tr2bl w:val="nil"/>
                  </w:tcBorders>
                  <w:shd w:val="clear" w:color="auto" w:fill="FFFFFF"/>
                  <w:vAlign w:val="center"/>
                </w:tcPr>
                <w:p w14:paraId="0574297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11" w:type="pct"/>
                  <w:vMerge w:val="continue"/>
                  <w:tcBorders>
                    <w:tl2br w:val="nil"/>
                    <w:tr2bl w:val="nil"/>
                  </w:tcBorders>
                  <w:shd w:val="clear" w:color="auto" w:fill="FFFFFF"/>
                  <w:vAlign w:val="center"/>
                </w:tcPr>
                <w:p w14:paraId="30D7171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08" w:type="pct"/>
                  <w:tcBorders>
                    <w:tl2br w:val="nil"/>
                    <w:tr2bl w:val="nil"/>
                  </w:tcBorders>
                  <w:shd w:val="clear" w:color="auto" w:fill="FFFFFF"/>
                  <w:vAlign w:val="center"/>
                </w:tcPr>
                <w:p w14:paraId="3E56E50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pH</w:t>
                  </w:r>
                </w:p>
              </w:tc>
              <w:tc>
                <w:tcPr>
                  <w:tcW w:w="743" w:type="pct"/>
                  <w:tcBorders>
                    <w:tl2br w:val="nil"/>
                    <w:tr2bl w:val="nil"/>
                  </w:tcBorders>
                  <w:shd w:val="clear" w:color="auto" w:fill="FFFFFF"/>
                  <w:vAlign w:val="center"/>
                </w:tcPr>
                <w:p w14:paraId="1809CD7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6~9</w:t>
                  </w:r>
                </w:p>
              </w:tc>
              <w:tc>
                <w:tcPr>
                  <w:tcW w:w="1018" w:type="pct"/>
                  <w:tcBorders>
                    <w:tl2br w:val="nil"/>
                    <w:tr2bl w:val="nil"/>
                  </w:tcBorders>
                  <w:shd w:val="clear" w:color="auto" w:fill="FFFFFF"/>
                  <w:vAlign w:val="center"/>
                </w:tcPr>
                <w:p w14:paraId="1033873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1300" w:type="pct"/>
                  <w:tcBorders>
                    <w:tl2br w:val="nil"/>
                    <w:tr2bl w:val="nil"/>
                  </w:tcBorders>
                  <w:shd w:val="clear" w:color="auto" w:fill="FFFFFF"/>
                  <w:vAlign w:val="center"/>
                </w:tcPr>
                <w:p w14:paraId="69A12B1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r>
            <w:tr w14:paraId="5DC4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restart"/>
                  <w:tcBorders>
                    <w:tl2br w:val="nil"/>
                    <w:tr2bl w:val="nil"/>
                  </w:tcBorders>
                  <w:shd w:val="clear" w:color="auto" w:fill="FFFFFF"/>
                  <w:vAlign w:val="center"/>
                </w:tcPr>
                <w:p w14:paraId="73D657D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全厂排放口合计</w:t>
                  </w:r>
                </w:p>
              </w:tc>
              <w:tc>
                <w:tcPr>
                  <w:tcW w:w="2670" w:type="pct"/>
                  <w:gridSpan w:val="3"/>
                  <w:tcBorders>
                    <w:tl2br w:val="nil"/>
                    <w:tr2bl w:val="nil"/>
                  </w:tcBorders>
                  <w:shd w:val="clear" w:color="auto" w:fill="FFFFFF"/>
                  <w:vAlign w:val="center"/>
                </w:tcPr>
                <w:p w14:paraId="5642D17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COD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Cr</w:t>
                  </w:r>
                </w:p>
              </w:tc>
              <w:tc>
                <w:tcPr>
                  <w:tcW w:w="1300" w:type="pct"/>
                  <w:tcBorders>
                    <w:tl2br w:val="nil"/>
                    <w:tr2bl w:val="nil"/>
                  </w:tcBorders>
                  <w:shd w:val="clear" w:color="auto" w:fill="FFFFFF"/>
                  <w:vAlign w:val="center"/>
                </w:tcPr>
                <w:p w14:paraId="793582D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0D7E3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79825DD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1892417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BOD</w:t>
                  </w:r>
                  <w:r>
                    <w:rPr>
                      <w:rFonts w:hint="default"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1300" w:type="pct"/>
                  <w:tcBorders>
                    <w:tl2br w:val="nil"/>
                    <w:tr2bl w:val="nil"/>
                  </w:tcBorders>
                  <w:shd w:val="clear" w:color="auto" w:fill="FFFFFF"/>
                  <w:vAlign w:val="center"/>
                </w:tcPr>
                <w:p w14:paraId="52E4D83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686BF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161BB85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645272E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1300" w:type="pct"/>
                  <w:tcBorders>
                    <w:tl2br w:val="nil"/>
                    <w:tr2bl w:val="nil"/>
                  </w:tcBorders>
                  <w:shd w:val="clear" w:color="auto" w:fill="FFFFFF"/>
                  <w:vAlign w:val="center"/>
                </w:tcPr>
                <w:p w14:paraId="6A323F5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22CB7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2EA3C9E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4EAF6B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氨氮</w:t>
                  </w:r>
                </w:p>
              </w:tc>
              <w:tc>
                <w:tcPr>
                  <w:tcW w:w="1300" w:type="pct"/>
                  <w:tcBorders>
                    <w:tl2br w:val="nil"/>
                    <w:tr2bl w:val="nil"/>
                  </w:tcBorders>
                  <w:shd w:val="clear" w:color="auto" w:fill="FFFFFF"/>
                  <w:vAlign w:val="center"/>
                </w:tcPr>
                <w:p w14:paraId="65C6440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78B5C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64327DA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5D7F5DD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动植物油</w:t>
                  </w:r>
                </w:p>
              </w:tc>
              <w:tc>
                <w:tcPr>
                  <w:tcW w:w="1300" w:type="pct"/>
                  <w:tcBorders>
                    <w:tl2br w:val="nil"/>
                    <w:tr2bl w:val="nil"/>
                  </w:tcBorders>
                  <w:shd w:val="clear" w:color="auto" w:fill="FFFFFF"/>
                  <w:vAlign w:val="center"/>
                </w:tcPr>
                <w:p w14:paraId="02B002D1">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6E6B6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028" w:type="pct"/>
                  <w:gridSpan w:val="2"/>
                  <w:vMerge w:val="continue"/>
                  <w:tcBorders>
                    <w:tl2br w:val="nil"/>
                    <w:tr2bl w:val="nil"/>
                  </w:tcBorders>
                  <w:shd w:val="clear" w:color="auto" w:fill="FFFFFF"/>
                  <w:vAlign w:val="center"/>
                </w:tcPr>
                <w:p w14:paraId="21F0067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0" w:type="pct"/>
                  <w:gridSpan w:val="3"/>
                  <w:tcBorders>
                    <w:tl2br w:val="nil"/>
                    <w:tr2bl w:val="nil"/>
                  </w:tcBorders>
                  <w:shd w:val="clear" w:color="auto" w:fill="FFFFFF"/>
                  <w:vAlign w:val="center"/>
                </w:tcPr>
                <w:p w14:paraId="5FEE19E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pH</w:t>
                  </w:r>
                </w:p>
              </w:tc>
              <w:tc>
                <w:tcPr>
                  <w:tcW w:w="1300" w:type="pct"/>
                  <w:tcBorders>
                    <w:tl2br w:val="nil"/>
                    <w:tr2bl w:val="nil"/>
                  </w:tcBorders>
                  <w:shd w:val="clear" w:color="auto" w:fill="FFFFFF"/>
                  <w:vAlign w:val="center"/>
                </w:tcPr>
                <w:p w14:paraId="4CC38CA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r>
          </w:tbl>
          <w:p w14:paraId="52F38D91">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4</w:t>
            </w:r>
            <w:r>
              <w:rPr>
                <w:rFonts w:ascii="Times New Roman" w:hAnsi="Times New Roman" w:eastAsia="宋体" w:cs="Times New Roman"/>
                <w:b/>
                <w:bCs/>
                <w:color w:val="000000" w:themeColor="text1"/>
                <w:highlight w:val="none"/>
                <w14:textFill>
                  <w14:solidFill>
                    <w14:schemeClr w14:val="tx1"/>
                  </w14:solidFill>
                </w14:textFill>
              </w:rPr>
              <w:t>、污染治理设施情况</w:t>
            </w:r>
          </w:p>
          <w:p w14:paraId="13D5F60F">
            <w:pPr>
              <w:adjustRightInd w:val="0"/>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本项目位于园区污水处理厂纳污范围内，生活污水经</w:t>
            </w:r>
            <w:r>
              <w:rPr>
                <w:rFonts w:hint="eastAsia" w:cs="Times New Roman"/>
                <w:color w:val="000000" w:themeColor="text1"/>
                <w:highlight w:val="none"/>
                <w:lang w:eastAsia="zh-CN"/>
                <w14:textFill>
                  <w14:solidFill>
                    <w14:schemeClr w14:val="tx1"/>
                  </w14:solidFill>
                </w14:textFill>
              </w:rPr>
              <w:t>三级化粪池</w:t>
            </w:r>
            <w:r>
              <w:rPr>
                <w:rFonts w:hint="eastAsia" w:ascii="Times New Roman" w:hAnsi="Times New Roman" w:eastAsia="宋体" w:cs="Times New Roman"/>
                <w:color w:val="000000" w:themeColor="text1"/>
                <w:highlight w:val="none"/>
                <w14:textFill>
                  <w14:solidFill>
                    <w14:schemeClr w14:val="tx1"/>
                  </w14:solidFill>
                </w14:textFill>
              </w:rPr>
              <w:t>预处理</w:t>
            </w:r>
            <w:r>
              <w:rPr>
                <w:rFonts w:hint="eastAsia" w:cs="Times New Roman"/>
                <w:color w:val="000000" w:themeColor="text1"/>
                <w:highlight w:val="none"/>
                <w:lang w:val="en-US" w:eastAsia="zh-CN"/>
                <w14:textFill>
                  <w14:solidFill>
                    <w14:schemeClr w14:val="tx1"/>
                  </w14:solidFill>
                </w14:textFill>
              </w:rPr>
              <w:t>后经</w:t>
            </w:r>
            <w:r>
              <w:rPr>
                <w:rFonts w:hint="eastAsia" w:ascii="Times New Roman" w:hAnsi="Times New Roman" w:eastAsia="宋体" w:cs="Times New Roman"/>
                <w:color w:val="000000" w:themeColor="text1"/>
                <w:highlight w:val="none"/>
                <w14:textFill>
                  <w14:solidFill>
                    <w14:schemeClr w14:val="tx1"/>
                  </w14:solidFill>
                </w14:textFill>
              </w:rPr>
              <w:t>废水排放口DW001进入园区污水处理</w:t>
            </w:r>
            <w:r>
              <w:rPr>
                <w:rFonts w:hint="eastAsia" w:ascii="Times New Roman" w:hAnsi="Times New Roman" w:eastAsia="宋体" w:cs="Times New Roman"/>
                <w:color w:val="000000" w:themeColor="text1"/>
                <w:highlight w:val="none"/>
                <w:lang w:eastAsia="zh-CN"/>
                <w14:textFill>
                  <w14:solidFill>
                    <w14:schemeClr w14:val="tx1"/>
                  </w14:solidFill>
                </w14:textFill>
              </w:rPr>
              <w:t>厂</w:t>
            </w:r>
            <w:r>
              <w:rPr>
                <w:rFonts w:hint="eastAsia" w:ascii="Times New Roman" w:hAnsi="Times New Roman" w:eastAsia="宋体" w:cs="Times New Roman"/>
                <w:color w:val="000000" w:themeColor="text1"/>
                <w:highlight w:val="none"/>
                <w14:textFill>
                  <w14:solidFill>
                    <w14:schemeClr w14:val="tx1"/>
                  </w14:solidFill>
                </w14:textFill>
              </w:rPr>
              <w:t>处理。处理后达到广东省地方标准《水污染物排放限值》（DB44/26-2001）第二时段三级标准及园区污水处理厂接管水质要求两者较严值后排入园区污水处理厂</w:t>
            </w:r>
            <w:r>
              <w:rPr>
                <w:rFonts w:ascii="Times New Roman" w:hAnsi="Times New Roman" w:eastAsia="宋体" w:cs="Times New Roman"/>
                <w:color w:val="000000" w:themeColor="text1"/>
                <w:highlight w:val="none"/>
                <w14:textFill>
                  <w14:solidFill>
                    <w14:schemeClr w14:val="tx1"/>
                  </w14:solidFill>
                </w14:textFill>
              </w:rPr>
              <w:t>。</w:t>
            </w:r>
          </w:p>
          <w:p w14:paraId="6EAE2FC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类别、污染物及污染治理设施信息表</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393"/>
              <w:gridCol w:w="1150"/>
              <w:gridCol w:w="820"/>
              <w:gridCol w:w="1015"/>
              <w:gridCol w:w="812"/>
              <w:gridCol w:w="621"/>
              <w:gridCol w:w="621"/>
              <w:gridCol w:w="450"/>
              <w:gridCol w:w="928"/>
              <w:gridCol w:w="1033"/>
            </w:tblGrid>
            <w:tr w14:paraId="69D3527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93" w:type="dxa"/>
                  <w:vMerge w:val="restart"/>
                  <w:vAlign w:val="center"/>
                </w:tcPr>
                <w:p w14:paraId="1E4828E8">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废水类别</w:t>
                  </w:r>
                </w:p>
              </w:tc>
              <w:tc>
                <w:tcPr>
                  <w:tcW w:w="1150" w:type="dxa"/>
                  <w:vMerge w:val="restart"/>
                  <w:vAlign w:val="center"/>
                </w:tcPr>
                <w:p w14:paraId="0BE525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污染物种类</w:t>
                  </w:r>
                </w:p>
              </w:tc>
              <w:tc>
                <w:tcPr>
                  <w:tcW w:w="820" w:type="dxa"/>
                  <w:vMerge w:val="restart"/>
                  <w:vAlign w:val="center"/>
                </w:tcPr>
                <w:p w14:paraId="7A09773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排放去向</w:t>
                  </w:r>
                </w:p>
              </w:tc>
              <w:tc>
                <w:tcPr>
                  <w:tcW w:w="1015" w:type="dxa"/>
                  <w:vMerge w:val="restart"/>
                  <w:vAlign w:val="center"/>
                </w:tcPr>
                <w:p w14:paraId="282EFD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排放规律</w:t>
                  </w:r>
                </w:p>
              </w:tc>
              <w:tc>
                <w:tcPr>
                  <w:tcW w:w="2054" w:type="dxa"/>
                  <w:gridSpan w:val="3"/>
                  <w:vAlign w:val="center"/>
                </w:tcPr>
                <w:p w14:paraId="53B7B467">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w:t>
                  </w:r>
                </w:p>
              </w:tc>
              <w:tc>
                <w:tcPr>
                  <w:tcW w:w="450" w:type="dxa"/>
                  <w:vMerge w:val="restart"/>
                  <w:vAlign w:val="center"/>
                </w:tcPr>
                <w:p w14:paraId="0E9FC29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排放口编号</w:t>
                  </w:r>
                </w:p>
              </w:tc>
              <w:tc>
                <w:tcPr>
                  <w:tcW w:w="928" w:type="dxa"/>
                  <w:vMerge w:val="restart"/>
                  <w:vAlign w:val="center"/>
                </w:tcPr>
                <w:p w14:paraId="0D995E8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排放口设置是否符合要求</w:t>
                  </w:r>
                </w:p>
              </w:tc>
              <w:tc>
                <w:tcPr>
                  <w:tcW w:w="1033" w:type="dxa"/>
                  <w:vMerge w:val="restart"/>
                  <w:vAlign w:val="center"/>
                </w:tcPr>
                <w:p w14:paraId="46E9ABA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排放口类型</w:t>
                  </w:r>
                </w:p>
              </w:tc>
            </w:tr>
            <w:tr w14:paraId="3E7C22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93" w:type="dxa"/>
                  <w:vMerge w:val="continue"/>
                  <w:vAlign w:val="center"/>
                </w:tcPr>
                <w:p w14:paraId="20680B08">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50" w:type="dxa"/>
                  <w:vMerge w:val="continue"/>
                  <w:vAlign w:val="center"/>
                </w:tcPr>
                <w:p w14:paraId="5AFF4A7C">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20" w:type="dxa"/>
                  <w:vMerge w:val="continue"/>
                  <w:vAlign w:val="center"/>
                </w:tcPr>
                <w:p w14:paraId="14CAC9E5">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dxa"/>
                  <w:vMerge w:val="continue"/>
                  <w:vAlign w:val="center"/>
                </w:tcPr>
                <w:p w14:paraId="7B7721D5">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812" w:type="dxa"/>
                  <w:vAlign w:val="center"/>
                </w:tcPr>
                <w:p w14:paraId="1264B649">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污染治理设施编号</w:t>
                  </w:r>
                </w:p>
              </w:tc>
              <w:tc>
                <w:tcPr>
                  <w:tcW w:w="621" w:type="dxa"/>
                  <w:vAlign w:val="center"/>
                </w:tcPr>
                <w:p w14:paraId="746071E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污染治理设施名称</w:t>
                  </w:r>
                </w:p>
              </w:tc>
              <w:tc>
                <w:tcPr>
                  <w:tcW w:w="621" w:type="dxa"/>
                  <w:vAlign w:val="center"/>
                </w:tcPr>
                <w:p w14:paraId="5660A4A4">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污染治理设施工艺</w:t>
                  </w:r>
                </w:p>
              </w:tc>
              <w:tc>
                <w:tcPr>
                  <w:tcW w:w="450" w:type="dxa"/>
                  <w:vMerge w:val="continue"/>
                  <w:vAlign w:val="center"/>
                </w:tcPr>
                <w:p w14:paraId="324CE6A3">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928" w:type="dxa"/>
                  <w:vMerge w:val="continue"/>
                  <w:vAlign w:val="center"/>
                </w:tcPr>
                <w:p w14:paraId="63240916">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33" w:type="dxa"/>
                  <w:vMerge w:val="continue"/>
                  <w:vAlign w:val="center"/>
                </w:tcPr>
                <w:p w14:paraId="6B6D0BB9">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p>
              </w:tc>
            </w:tr>
            <w:tr w14:paraId="21E4ED4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393" w:type="dxa"/>
                  <w:vAlign w:val="center"/>
                </w:tcPr>
                <w:p w14:paraId="3DD2012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生活污水</w:t>
                  </w:r>
                </w:p>
              </w:tc>
              <w:tc>
                <w:tcPr>
                  <w:tcW w:w="1150" w:type="dxa"/>
                  <w:vAlign w:val="center"/>
                </w:tcPr>
                <w:p w14:paraId="514CB93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pH、</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COD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、BOD</w:t>
                  </w:r>
                  <w:r>
                    <w:rPr>
                      <w:rFonts w:ascii="Times New Roman" w:hAnsi="Times New Roman" w:eastAsia="宋体" w:cs="Times New Roman"/>
                      <w:color w:val="000000" w:themeColor="text1"/>
                      <w:position w:val="-10"/>
                      <w:sz w:val="21"/>
                      <w:szCs w:val="21"/>
                      <w:highlight w:val="none"/>
                      <w:vertAlign w:val="subscript"/>
                      <w:lang w:val="en-US" w:eastAsia="zh-CN" w:bidi="ar-SA"/>
                      <w14:textFill>
                        <w14:solidFill>
                          <w14:schemeClr w14:val="tx1"/>
                        </w14:solidFill>
                      </w14:textFill>
                    </w:rPr>
                    <w:t>5</w:t>
                  </w: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、SS</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、氨氮</w:t>
                  </w:r>
                  <w:r>
                    <w:rPr>
                      <w:rFonts w:hint="eastAsia" w:cs="Times New Roman"/>
                      <w:color w:val="000000" w:themeColor="text1"/>
                      <w:position w:val="-10"/>
                      <w:sz w:val="21"/>
                      <w:szCs w:val="21"/>
                      <w:highlight w:val="none"/>
                      <w:lang w:val="en-US" w:eastAsia="zh-CN" w:bidi="ar-SA"/>
                      <w14:textFill>
                        <w14:solidFill>
                          <w14:schemeClr w14:val="tx1"/>
                        </w14:solidFill>
                      </w14:textFill>
                    </w:rPr>
                    <w:t>、动植物油</w:t>
                  </w:r>
                </w:p>
              </w:tc>
              <w:tc>
                <w:tcPr>
                  <w:tcW w:w="820" w:type="dxa"/>
                  <w:vAlign w:val="center"/>
                </w:tcPr>
                <w:p w14:paraId="769C27A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进入园区污水处理厂</w:t>
                  </w:r>
                </w:p>
              </w:tc>
              <w:tc>
                <w:tcPr>
                  <w:tcW w:w="1015" w:type="dxa"/>
                  <w:vAlign w:val="center"/>
                </w:tcPr>
                <w:p w14:paraId="7531527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间歇排放，流量不稳定，但不属于冲击型排放</w:t>
                  </w:r>
                </w:p>
              </w:tc>
              <w:tc>
                <w:tcPr>
                  <w:tcW w:w="812" w:type="dxa"/>
                  <w:vAlign w:val="center"/>
                </w:tcPr>
                <w:p w14:paraId="62AB02B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TW001</w:t>
                  </w:r>
                </w:p>
              </w:tc>
              <w:tc>
                <w:tcPr>
                  <w:tcW w:w="621" w:type="dxa"/>
                  <w:vAlign w:val="center"/>
                </w:tcPr>
                <w:p w14:paraId="38A2D125">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三级化粪池</w:t>
                  </w:r>
                </w:p>
              </w:tc>
              <w:tc>
                <w:tcPr>
                  <w:tcW w:w="621" w:type="dxa"/>
                  <w:vAlign w:val="center"/>
                </w:tcPr>
                <w:p w14:paraId="01F0C40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厌氧、隔油、隔渣</w:t>
                  </w:r>
                </w:p>
              </w:tc>
              <w:tc>
                <w:tcPr>
                  <w:tcW w:w="450" w:type="dxa"/>
                  <w:vAlign w:val="center"/>
                </w:tcPr>
                <w:p w14:paraId="7A4B0F42">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DW001</w:t>
                  </w:r>
                </w:p>
              </w:tc>
              <w:tc>
                <w:tcPr>
                  <w:tcW w:w="928" w:type="dxa"/>
                  <w:vAlign w:val="center"/>
                </w:tcPr>
                <w:p w14:paraId="36B3E6B1">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ascii="Times New Roman" w:hAnsi="Times New Roman" w:eastAsia="宋体" w:cs="Times New Roman"/>
                      <w:color w:val="000000" w:themeColor="text1"/>
                      <w:sz w:val="21"/>
                      <w:szCs w:val="21"/>
                      <w:highlight w:val="none"/>
                      <w14:textFill>
                        <w14:solidFill>
                          <w14:schemeClr w14:val="tx1"/>
                        </w14:solidFill>
                      </w14:textFill>
                    </w:rPr>
                    <w:t>是</w:t>
                  </w:r>
                </w:p>
                <w:p w14:paraId="4137CF17">
                  <w:pPr>
                    <w:keepNext w:val="0"/>
                    <w:keepLines w:val="0"/>
                    <w:pageBreakBefore w:val="0"/>
                    <w:widowControl w:val="0"/>
                    <w:kinsoku/>
                    <w:overflowPunct/>
                    <w:topLinePunct w:val="0"/>
                    <w:bidi w:val="0"/>
                    <w:adjustRightInd/>
                    <w:snapToGrid/>
                    <w:spacing w:line="240" w:lineRule="auto"/>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否</w:t>
                  </w:r>
                </w:p>
              </w:tc>
              <w:tc>
                <w:tcPr>
                  <w:tcW w:w="1033" w:type="dxa"/>
                  <w:vAlign w:val="center"/>
                </w:tcPr>
                <w:p w14:paraId="480314EC">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ascii="Times New Roman" w:hAnsi="Times New Roman" w:eastAsia="宋体" w:cs="Times New Roman"/>
                      <w:color w:val="000000" w:themeColor="text1"/>
                      <w:sz w:val="21"/>
                      <w:szCs w:val="21"/>
                      <w:highlight w:val="none"/>
                      <w14:textFill>
                        <w14:solidFill>
                          <w14:schemeClr w14:val="tx1"/>
                        </w14:solidFill>
                      </w14:textFill>
                    </w:rPr>
                    <w:t>企业总排</w:t>
                  </w:r>
                </w:p>
                <w:p w14:paraId="14B72D05">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雨水排放</w:t>
                  </w:r>
                </w:p>
                <w:p w14:paraId="5EE51BC2">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清净下水排放</w:t>
                  </w:r>
                </w:p>
                <w:p w14:paraId="3104BC48">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温排水排放</w:t>
                  </w:r>
                </w:p>
                <w:p w14:paraId="45DB1BEE">
                  <w:pPr>
                    <w:keepNext w:val="0"/>
                    <w:keepLines w:val="0"/>
                    <w:pageBreakBefore w:val="0"/>
                    <w:widowControl w:val="0"/>
                    <w:kinsoku/>
                    <w:overflowPunct/>
                    <w:topLinePunct w:val="0"/>
                    <w:bidi w:val="0"/>
                    <w:adjustRightInd/>
                    <w:snapToGrid/>
                    <w:spacing w:line="240" w:lineRule="auto"/>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ascii="Times New Roman" w:hAnsi="Times New Roman" w:eastAsia="宋体" w:cs="Times New Roman"/>
                      <w:color w:val="000000" w:themeColor="text1"/>
                      <w:sz w:val="21"/>
                      <w:szCs w:val="21"/>
                      <w:highlight w:val="none"/>
                      <w14:textFill>
                        <w14:solidFill>
                          <w14:schemeClr w14:val="tx1"/>
                        </w14:solidFill>
                      </w14:textFill>
                    </w:rPr>
                    <w:t>车间或车间处理设施排放口</w:t>
                  </w:r>
                </w:p>
              </w:tc>
            </w:tr>
          </w:tbl>
          <w:p w14:paraId="68980248">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5</w:t>
            </w:r>
            <w:r>
              <w:rPr>
                <w:rFonts w:ascii="Times New Roman" w:hAnsi="Times New Roman" w:eastAsia="宋体" w:cs="Times New Roman"/>
                <w:b/>
                <w:bCs/>
                <w:color w:val="000000" w:themeColor="text1"/>
                <w:highlight w:val="none"/>
                <w14:textFill>
                  <w14:solidFill>
                    <w14:schemeClr w14:val="tx1"/>
                  </w14:solidFill>
                </w14:textFill>
              </w:rPr>
              <w:t>、达标情况分析</w:t>
            </w:r>
          </w:p>
          <w:p w14:paraId="1DDBA020">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（1）可行性技术分析</w:t>
            </w:r>
          </w:p>
          <w:p w14:paraId="225A9E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参考环境保护部发布的环境保护技术文件：《村镇生活污染防治最佳可行技术指南（试行）》（HJ-BAT-9），三</w:t>
            </w:r>
            <w:r>
              <w:rPr>
                <w:rFonts w:hint="eastAsia" w:cs="Times New Roman"/>
                <w:color w:val="000000" w:themeColor="text1"/>
                <w:kern w:val="0"/>
                <w:sz w:val="24"/>
                <w:szCs w:val="20"/>
                <w:highlight w:val="none"/>
                <w:lang w:val="en-US" w:eastAsia="zh-CN" w:bidi="ar-SA"/>
                <w14:textFill>
                  <w14:solidFill>
                    <w14:schemeClr w14:val="tx1"/>
                  </w14:solidFill>
                </w14:textFill>
              </w:rPr>
              <w:t>级</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化粪池为生活污水可行治理技术，本项目生活污水经三级化粪池处理后排入园区污水处理厂处理。因此，本项目纳入园区污水处理厂处理从技术上是完全可行的。</w:t>
            </w:r>
          </w:p>
          <w:p w14:paraId="3D24DE47">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（2）水污染物控制和水环境影响减缓措施有效性评价</w:t>
            </w:r>
          </w:p>
          <w:p w14:paraId="73FBFBA1">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本项目位于广东省韶关市乐昌市乐昌产业转移工业园内，属于园区污水处理范围。项目</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生活污水经三级化粪池预处理后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进入</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园区</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深度</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，处理后的尾水排入</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武江（乐昌城-犁市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河段）</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44D12AF7">
            <w:pPr>
              <w:widowControl w:val="0"/>
              <w:wordWrap w:val="0"/>
              <w:spacing w:line="360" w:lineRule="auto"/>
              <w:ind w:firstLine="480" w:firstLineChars="200"/>
              <w:jc w:val="both"/>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园区污水处理厂出水水质执行《城镇污水处理厂污染物排放标准》（</w:t>
            </w:r>
            <w:r>
              <w:rPr>
                <w:rFonts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GB18918-2002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）中</w:t>
            </w:r>
            <w:r>
              <w:rPr>
                <w:rFonts w:hint="eastAsia" w:ascii="宋体" w:hAnsi="宋体" w:cs="宋体"/>
                <w:color w:val="000000" w:themeColor="text1"/>
                <w:kern w:val="0"/>
                <w:sz w:val="24"/>
                <w:szCs w:val="24"/>
                <w:highlight w:val="none"/>
                <w:lang w:val="en-US" w:eastAsia="zh-CN"/>
                <w14:textFill>
                  <w14:solidFill>
                    <w14:schemeClr w14:val="tx1"/>
                  </w14:solidFill>
                </w14:textFill>
              </w:rPr>
              <w:t>及其修改单一级A标准</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和广东省《水污染物排放限值》（</w:t>
            </w:r>
            <w:r>
              <w:rPr>
                <w:rFonts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DB44/26-2001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）中的第二时段一级排放标准较严者，对周围环境影响较小。</w:t>
            </w:r>
          </w:p>
          <w:p w14:paraId="25B97932">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3</w:t>
            </w: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）依托污水设施的环境可行性评价</w:t>
            </w:r>
          </w:p>
          <w:p w14:paraId="48A44774">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业园范围内已有乐昌产业转移工业园污水处理厂，根据乐昌产业转移工业园管网分布图（附图16）可知，本项目所在地块已纳入现状排污管收集范围内。污水工艺采用循环式活性污泥法（CASS）工艺。出水水质标准执行广东省地方标准《水污染物排放限值》(DB44/26-2001)第二时段一级标准及国家《城镇污水处理厂污染物排放标准》(GB18918-2002)</w:t>
            </w:r>
            <w:r>
              <w:rPr>
                <w:rFonts w:hint="eastAsia" w:cs="Times New Roman"/>
                <w:color w:val="000000" w:themeColor="text1"/>
                <w:kern w:val="2"/>
                <w:sz w:val="24"/>
                <w:szCs w:val="24"/>
                <w:highlight w:val="none"/>
                <w:lang w:val="en-US" w:eastAsia="zh-CN" w:bidi="ar-SA"/>
                <w14:textFill>
                  <w14:solidFill>
                    <w14:schemeClr w14:val="tx1"/>
                  </w14:solidFill>
                </w14:textFill>
              </w:rPr>
              <w:t>及其修改单一级A标准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中较严标准，处理达标后由污水处理厂内提升泵通过已建成6392米长的出水管道输送至武江排放。</w:t>
            </w:r>
          </w:p>
          <w:p w14:paraId="5FBA43C8">
            <w:pPr>
              <w:widowControl w:val="0"/>
              <w:wordWrap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园区污水处理厂主体工艺采用为CASS，该工艺运行灵活、耐冲击能力强等优点。对于产业转移工业园工业废水，现状各企业基本无生产废水产生，只产生生活污水。可能对</w:t>
            </w:r>
            <w:r>
              <w:rPr>
                <w:rFonts w:hint="eastAsia"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处理工艺产生影响的主要为产业转移工业园规划引进的企业的生产废水，园区主导行业电子信息、机械、金属制品、轻纺等产业可能产生的生产废水中部分指标较高，对于接入</w:t>
            </w:r>
            <w:r>
              <w:rPr>
                <w:rFonts w:hint="eastAsia" w:cs="Times New Roman"/>
                <w:color w:val="000000" w:themeColor="text1"/>
                <w:kern w:val="2"/>
                <w:sz w:val="24"/>
                <w:szCs w:val="24"/>
                <w:highlight w:val="none"/>
                <w:lang w:val="en-US" w:eastAsia="zh-CN" w:bidi="ar-SA"/>
                <w14:textFill>
                  <w14:solidFill>
                    <w14:schemeClr w14:val="tx1"/>
                  </w14:solidFill>
                </w14:textFill>
              </w:rPr>
              <w:t>污水处理厂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的生产废水，产业转移工业园要求企业根据生产废水的水质情况进行预处理。其中，如有集成电路生产企业，其生产废水经pH值调节、投药、絮凝沉淀，重点去除 F-后，预处理达到广东省《</w:t>
            </w:r>
            <w:r>
              <w:rPr>
                <w:rFonts w:hint="eastAsia" w:cs="Times New Roman"/>
                <w:color w:val="000000" w:themeColor="text1"/>
                <w:kern w:val="2"/>
                <w:sz w:val="24"/>
                <w:szCs w:val="24"/>
                <w:highlight w:val="none"/>
                <w:lang w:val="en-US" w:eastAsia="zh-CN" w:bidi="ar-SA"/>
                <w14:textFill>
                  <w14:solidFill>
                    <w14:schemeClr w14:val="tx1"/>
                  </w14:solidFill>
                </w14:textFill>
              </w:rPr>
              <w:t>水污染物排放限值</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》(DB44/26-2001)第二时段三级标准。</w:t>
            </w:r>
          </w:p>
          <w:p w14:paraId="68A18D5C">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产业园污水处理厂目前已建成正常运行，并安装了在线监控设施并与环保部门联网，园区污水处理厂占地面积15400m²，设计处理能力为10000m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/d，分两期建设，一期处理能力5000m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/d，二期处理能力5000m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/d，现状首期5000m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/d已经建成运行。</w:t>
            </w:r>
          </w:p>
          <w:p w14:paraId="0FA77180">
            <w:pPr>
              <w:keepNext w:val="0"/>
              <w:keepLines w:val="0"/>
              <w:widowControl/>
              <w:suppressLineNumbers w:val="0"/>
              <w:ind w:firstLine="480" w:firstLineChars="200"/>
              <w:jc w:val="both"/>
              <w:rPr>
                <w:rFonts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根据《乐昌产业转移工业园污水处理厂202</w:t>
            </w:r>
            <w:r>
              <w:rPr>
                <w:rFonts w:hint="eastAsia"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年排污许可证执行报告》202</w:t>
            </w:r>
            <w:r>
              <w:rPr>
                <w:rFonts w:hint="eastAsia"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年乐昌产业转移工业园污水处理厂年处理废水56.7991万吨，日处理量约为1556.14t/d，则剩余能力有3443.86t/d。</w:t>
            </w:r>
          </w:p>
          <w:p w14:paraId="6196EBB6">
            <w:pPr>
              <w:widowControl w:val="0"/>
              <w:spacing w:line="360" w:lineRule="auto"/>
              <w:ind w:firstLine="480" w:firstLineChars="200"/>
              <w:jc w:val="both"/>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本项目纳入</w:t>
            </w:r>
            <w:r>
              <w:rPr>
                <w:rFonts w:hint="eastAsia" w:cs="Times New Roman"/>
                <w:color w:val="000000" w:themeColor="text1"/>
                <w:kern w:val="2"/>
                <w:sz w:val="24"/>
                <w:szCs w:val="24"/>
                <w:highlight w:val="none"/>
                <w:lang w:val="en-US" w:eastAsia="zh-CN" w:bidi="ar-SA"/>
                <w14:textFill>
                  <w14:solidFill>
                    <w14:schemeClr w14:val="tx1"/>
                  </w14:solidFill>
                </w14:textFill>
              </w:rPr>
              <w:t>园区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污水处理厂的污水排放量为</w:t>
            </w:r>
            <w:r>
              <w:rPr>
                <w:rFonts w:hint="eastAsia" w:cs="Times New Roman"/>
                <w:color w:val="000000" w:themeColor="text1"/>
                <w:kern w:val="2"/>
                <w:sz w:val="24"/>
                <w:szCs w:val="24"/>
                <w:highlight w:val="none"/>
                <w:lang w:val="en-US" w:eastAsia="zh-CN" w:bidi="ar-SA"/>
                <w14:textFill>
                  <w14:solidFill>
                    <w14:schemeClr w14:val="tx1"/>
                  </w14:solidFill>
                </w14:textFill>
              </w:rPr>
              <w:t>1.7</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/d，仅占剩余处理能力的</w:t>
            </w:r>
            <w:r>
              <w:rPr>
                <w:rFonts w:hint="eastAsia" w:cs="Times New Roman"/>
                <w:color w:val="000000" w:themeColor="text1"/>
                <w:kern w:val="2"/>
                <w:sz w:val="24"/>
                <w:szCs w:val="24"/>
                <w:highlight w:val="none"/>
                <w:lang w:val="en-US" w:eastAsia="zh-CN" w:bidi="ar-SA"/>
                <w14:textFill>
                  <w14:solidFill>
                    <w14:schemeClr w14:val="tx1"/>
                  </w14:solidFill>
                </w14:textFill>
              </w:rPr>
              <w:t>0.05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%。污水中的污染物主要为SS、CODcr、BOD</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、NH</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-N等，污染物种类较简单，根据前面分析，园区污水处理厂剩余污水处理能力完全可以容纳处理本项目排入的污水，因此，本项目产生的污水经预处理后排入园区污水处理厂处理具有环境可行性。</w:t>
            </w:r>
          </w:p>
          <w:p w14:paraId="43AB0D15">
            <w:pPr>
              <w:widowControl w:val="0"/>
              <w:spacing w:line="360" w:lineRule="auto"/>
              <w:jc w:val="cente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drawing>
                <wp:inline distT="0" distB="0" distL="0" distR="0">
                  <wp:extent cx="4521835" cy="1967865"/>
                  <wp:effectExtent l="9525" t="9525" r="13334" b="19050"/>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19" cstate="print"/>
                          <a:srcRect/>
                          <a:stretch>
                            <a:fillRect/>
                          </a:stretch>
                        </pic:blipFill>
                        <pic:spPr>
                          <a:xfrm>
                            <a:off x="0" y="0"/>
                            <a:ext cx="4521835" cy="1968499"/>
                          </a:xfrm>
                          <a:prstGeom prst="rect">
                            <a:avLst/>
                          </a:prstGeom>
                          <a:ln w="9525" cap="flat" cmpd="sng">
                            <a:solidFill>
                              <a:srgbClr val="000000"/>
                            </a:solidFill>
                            <a:prstDash val="solid"/>
                            <a:round/>
                          </a:ln>
                        </pic:spPr>
                      </pic:pic>
                    </a:graphicData>
                  </a:graphic>
                </wp:inline>
              </w:drawing>
            </w:r>
          </w:p>
          <w:p w14:paraId="1F55BC79">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图4-</w:t>
            </w:r>
            <w:r>
              <w:rPr>
                <w:rFonts w:hint="eastAsia" w:cs="Times New Roman"/>
                <w:b/>
                <w:color w:val="000000" w:themeColor="text1"/>
                <w:kern w:val="2"/>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园区污水处理厂工艺流程图</w:t>
            </w:r>
          </w:p>
          <w:p w14:paraId="0015E30A">
            <w:pPr>
              <w:widowControl w:val="0"/>
              <w:wordWrap w:val="0"/>
              <w:spacing w:line="360" w:lineRule="auto"/>
              <w:ind w:firstLine="480" w:firstLineChars="200"/>
              <w:jc w:val="both"/>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5、监测要求</w:t>
            </w:r>
          </w:p>
          <w:p w14:paraId="6CE6021C">
            <w:pPr>
              <w:widowControl w:val="0"/>
              <w:spacing w:line="360" w:lineRule="auto"/>
              <w:ind w:firstLine="480" w:firstLineChars="200"/>
              <w:jc w:val="left"/>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根据《排污单位自行监测技术指南总则》(HJ819-2017)，制定本项目</w:t>
            </w:r>
            <w:r>
              <w:rPr>
                <w:rFonts w:hint="eastAsia" w:cs="Times New Roman"/>
                <w:color w:val="000000" w:themeColor="text1"/>
                <w:kern w:val="0"/>
                <w:sz w:val="24"/>
                <w:szCs w:val="20"/>
                <w:highlight w:val="none"/>
                <w:lang w:val="en-US" w:eastAsia="zh-CN" w:bidi="ar-SA"/>
                <w14:textFill>
                  <w14:solidFill>
                    <w14:schemeClr w14:val="tx1"/>
                  </w14:solidFill>
                </w14:textFill>
              </w:rPr>
              <w:t>生活污水</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自行监测计划</w:t>
            </w:r>
            <w:r>
              <w:rPr>
                <w:rFonts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，监测要求见下表。</w:t>
            </w:r>
          </w:p>
          <w:p w14:paraId="3109F06B">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监测</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要求</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1773"/>
              <w:gridCol w:w="1181"/>
              <w:gridCol w:w="3481"/>
            </w:tblGrid>
            <w:tr w14:paraId="3136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0" w:type="pct"/>
                  <w:vAlign w:val="center"/>
                </w:tcPr>
                <w:p w14:paraId="43E5299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监测点位</w:t>
                  </w:r>
                </w:p>
              </w:tc>
              <w:tc>
                <w:tcPr>
                  <w:tcW w:w="1129" w:type="pct"/>
                  <w:vAlign w:val="center"/>
                </w:tcPr>
                <w:p w14:paraId="07DDCB8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监测指标</w:t>
                  </w:r>
                </w:p>
              </w:tc>
              <w:tc>
                <w:tcPr>
                  <w:tcW w:w="752" w:type="pct"/>
                  <w:vAlign w:val="center"/>
                </w:tcPr>
                <w:p w14:paraId="6AE944D3">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监测频次</w:t>
                  </w:r>
                </w:p>
              </w:tc>
              <w:tc>
                <w:tcPr>
                  <w:tcW w:w="2217" w:type="pct"/>
                  <w:vAlign w:val="center"/>
                </w:tcPr>
                <w:p w14:paraId="61C73A9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监测标准</w:t>
                  </w:r>
                </w:p>
              </w:tc>
            </w:tr>
            <w:tr w14:paraId="42A1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0" w:type="pct"/>
                  <w:vAlign w:val="center"/>
                </w:tcPr>
                <w:p w14:paraId="41F3145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生活污水</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排放口</w:t>
                  </w:r>
                </w:p>
                <w:p w14:paraId="33CD4CA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DW001</w:t>
                  </w:r>
                </w:p>
              </w:tc>
              <w:tc>
                <w:tcPr>
                  <w:tcW w:w="1129" w:type="pct"/>
                  <w:vAlign w:val="center"/>
                </w:tcPr>
                <w:p w14:paraId="1AC035C1">
                  <w:pPr>
                    <w:keepNext w:val="0"/>
                    <w:keepLines w:val="0"/>
                    <w:pageBreakBefore w:val="0"/>
                    <w:widowControl w:val="0"/>
                    <w:kinsoku/>
                    <w:overflowPunct/>
                    <w:topLinePunct w:val="0"/>
                    <w:bidi w:val="0"/>
                    <w:adjustRightInd/>
                    <w:snapToGrid/>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流量、</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pH、COD</w:t>
                  </w:r>
                  <w:r>
                    <w:rPr>
                      <w:rFonts w:ascii="Times New Roman" w:hAnsi="Times New Roman" w:eastAsia="宋体" w:cs="Times New Roman"/>
                      <w:color w:val="000000" w:themeColor="text1"/>
                      <w:kern w:val="0"/>
                      <w:sz w:val="21"/>
                      <w:szCs w:val="21"/>
                      <w:highlight w:val="none"/>
                      <w:vertAlign w:val="subscript"/>
                      <w:lang w:val="en-US" w:eastAsia="zh-CN" w:bidi="ar-SA"/>
                      <w14:textFill>
                        <w14:solidFill>
                          <w14:schemeClr w14:val="tx1"/>
                        </w14:solidFill>
                      </w14:textFill>
                    </w:rPr>
                    <w:t>Cr</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BOD</w:t>
                  </w:r>
                  <w:r>
                    <w:rPr>
                      <w:rFonts w:hint="eastAsia" w:ascii="Times New Roman" w:hAnsi="Times New Roman" w:eastAsia="宋体" w:cs="Times New Roman"/>
                      <w:color w:val="000000" w:themeColor="text1"/>
                      <w:kern w:val="0"/>
                      <w:sz w:val="21"/>
                      <w:szCs w:val="21"/>
                      <w:highlight w:val="none"/>
                      <w:vertAlign w:val="subscript"/>
                      <w:lang w:val="en-US" w:eastAsia="zh-CN" w:bidi="ar-SA"/>
                      <w14:textFill>
                        <w14:solidFill>
                          <w14:schemeClr w14:val="tx1"/>
                        </w14:solidFill>
                      </w14:textFill>
                    </w:rPr>
                    <w:t>5</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、SS</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氨氮</w:t>
                  </w:r>
                  <w:r>
                    <w:rPr>
                      <w:rFonts w:hint="eastAsia" w:cs="Times New Roman"/>
                      <w:color w:val="000000" w:themeColor="text1"/>
                      <w:kern w:val="0"/>
                      <w:sz w:val="21"/>
                      <w:szCs w:val="21"/>
                      <w:highlight w:val="none"/>
                      <w:lang w:val="en-US" w:eastAsia="zh-CN" w:bidi="ar-SA"/>
                      <w14:textFill>
                        <w14:solidFill>
                          <w14:schemeClr w14:val="tx1"/>
                        </w14:solidFill>
                      </w14:textFill>
                    </w:rPr>
                    <w:t>、动植物油</w:t>
                  </w:r>
                </w:p>
              </w:tc>
              <w:tc>
                <w:tcPr>
                  <w:tcW w:w="752" w:type="pct"/>
                  <w:vAlign w:val="center"/>
                </w:tcPr>
                <w:p w14:paraId="639C54D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1次/</w:t>
                  </w:r>
                  <w:r>
                    <w:rPr>
                      <w:rFonts w:hint="eastAsia" w:cs="Times New Roman"/>
                      <w:color w:val="000000" w:themeColor="text1"/>
                      <w:position w:val="-10"/>
                      <w:sz w:val="21"/>
                      <w:szCs w:val="21"/>
                      <w:highlight w:val="none"/>
                      <w:lang w:val="en-US" w:eastAsia="zh-CN" w:bidi="ar-SA"/>
                      <w14:textFill>
                        <w14:solidFill>
                          <w14:schemeClr w14:val="tx1"/>
                        </w14:solidFill>
                      </w14:textFill>
                    </w:rPr>
                    <w:t>年</w:t>
                  </w:r>
                </w:p>
              </w:tc>
              <w:tc>
                <w:tcPr>
                  <w:tcW w:w="2217" w:type="pct"/>
                  <w:vAlign w:val="center"/>
                </w:tcPr>
                <w:p w14:paraId="2B572270">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《排污单位自行监测技术指南总则》(HJ819-2017)</w:t>
                  </w:r>
                </w:p>
              </w:tc>
            </w:tr>
          </w:tbl>
          <w:p w14:paraId="7B2C7D26">
            <w:pPr>
              <w:keepNext/>
              <w:keepLines/>
              <w:tabs>
                <w:tab w:val="left" w:pos="0"/>
              </w:tabs>
              <w:ind w:firstLine="480" w:firstLineChars="200"/>
              <w:outlineLvl w:val="2"/>
              <w:rPr>
                <w:rFonts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三、</w:t>
            </w:r>
            <w:r>
              <w:rPr>
                <w:rFonts w:ascii="Times New Roman" w:hAnsi="Times New Roman" w:eastAsia="宋体" w:cs="Times New Roman"/>
                <w:b/>
                <w:bCs/>
                <w:color w:val="000000" w:themeColor="text1"/>
                <w:highlight w:val="none"/>
                <w14:textFill>
                  <w14:solidFill>
                    <w14:schemeClr w14:val="tx1"/>
                  </w14:solidFill>
                </w14:textFill>
              </w:rPr>
              <w:t>噪声污染源</w:t>
            </w:r>
          </w:p>
          <w:p w14:paraId="1B1BFE1F">
            <w:pPr>
              <w:keepNext/>
              <w:keepLines/>
              <w:tabs>
                <w:tab w:val="left" w:pos="0"/>
              </w:tabs>
              <w:ind w:firstLine="480" w:firstLineChars="200"/>
              <w:outlineLvl w:val="3"/>
              <w:rPr>
                <w:rFonts w:ascii="Times New Roman" w:hAnsi="Times New Roman" w:eastAsia="宋体" w:cs="Times New Roman"/>
                <w:b/>
                <w:bCs/>
                <w:color w:val="000000" w:themeColor="text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1、污染源源强分析</w:t>
            </w:r>
          </w:p>
          <w:p w14:paraId="77268F52">
            <w:pPr>
              <w:pStyle w:val="26"/>
              <w:ind w:firstLine="480"/>
              <w:rPr>
                <w:rFonts w:hint="default" w:ascii="Times New Roman" w:hAnsi="Times New Roman" w:cs="Times New Roman"/>
                <w:color w:val="000000" w:themeColor="text1"/>
                <w:kern w:val="0"/>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本项目运营期噪声源主要为生产设备运行产生的噪声。</w:t>
            </w:r>
            <w:r>
              <w:rPr>
                <w:rFonts w:ascii="Times New Roman" w:hAnsi="Times New Roman" w:eastAsia="宋体" w:cs="Times New Roman"/>
                <w:bCs/>
                <w:color w:val="000000" w:themeColor="text1"/>
                <w:kern w:val="0"/>
                <w:highlight w:val="none"/>
                <w14:textFill>
                  <w14:solidFill>
                    <w14:schemeClr w14:val="tx1"/>
                  </w14:solidFill>
                </w14:textFill>
              </w:rPr>
              <w:t>生产及辅助设备运行时产生的噪声强度值为60~85dB(A)之间。噪声特征以连续性噪声为主，间歇性噪声为辅，噪声污染源强核算结果及相关参数如下表。</w:t>
            </w:r>
          </w:p>
        </w:tc>
      </w:tr>
    </w:tbl>
    <w:p w14:paraId="66BA87AA">
      <w:pP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bookmarkEnd w:id="95"/>
    <w:tbl>
      <w:tblPr>
        <w:tblStyle w:val="47"/>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303"/>
      </w:tblGrid>
      <w:tr w14:paraId="61BF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0" w:hRule="atLeast"/>
        </w:trPr>
        <w:tc>
          <w:tcPr>
            <w:tcW w:w="578" w:type="dxa"/>
          </w:tcPr>
          <w:p w14:paraId="1A02EF96">
            <w:pPr>
              <w:pStyle w:val="18"/>
              <w:numPr>
                <w:ilvl w:val="0"/>
                <w:numId w:val="0"/>
              </w:numPr>
              <w:rPr>
                <w:rFonts w:hint="default" w:ascii="Times New Roman" w:hAnsi="Times New Roman" w:cs="Times New Roman"/>
                <w:b/>
                <w:color w:val="000000" w:themeColor="text1"/>
                <w:sz w:val="21"/>
                <w:szCs w:val="21"/>
                <w:highlight w:val="none"/>
                <w14:textFill>
                  <w14:solidFill>
                    <w14:schemeClr w14:val="tx1"/>
                  </w14:solidFill>
                </w14:textFill>
              </w:rPr>
            </w:pPr>
            <w:bookmarkStart w:id="114" w:name="_Toc7465"/>
          </w:p>
        </w:tc>
        <w:tc>
          <w:tcPr>
            <w:tcW w:w="13303" w:type="dxa"/>
          </w:tcPr>
          <w:p w14:paraId="3D97410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b/>
                <w:bCs/>
                <w:color w:val="000000" w:themeColor="text1"/>
                <w:sz w:val="22"/>
                <w:szCs w:val="22"/>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14:textFill>
                  <w14:solidFill>
                    <w14:schemeClr w14:val="tx1"/>
                  </w14:solidFill>
                </w14:textFill>
              </w:rPr>
              <w:t xml:space="preserve"> </w:t>
            </w:r>
            <w:r>
              <w:rPr>
                <w:b/>
                <w:bCs/>
                <w:color w:val="000000" w:themeColor="text1"/>
                <w:sz w:val="22"/>
                <w:szCs w:val="22"/>
                <w:highlight w:val="none"/>
                <w14:textFill>
                  <w14:solidFill>
                    <w14:schemeClr w14:val="tx1"/>
                  </w14:solidFill>
                </w14:textFill>
              </w:rPr>
              <w:t>噪声污染源源强核算结果及相关参数一览表</w:t>
            </w:r>
          </w:p>
          <w:p w14:paraId="3D0DDF0A">
            <w:pPr>
              <w:pStyle w:val="16"/>
              <w:keepNext w:val="0"/>
              <w:keepLines w:val="0"/>
              <w:pageBreakBefore w:val="0"/>
              <w:widowControl w:val="0"/>
              <w:kinsoku/>
              <w:wordWrap/>
              <w:overflowPunct/>
              <w:topLinePunct w:val="0"/>
              <w:autoSpaceDE/>
              <w:autoSpaceDN/>
              <w:bidi w:val="0"/>
              <w:adjustRightInd/>
              <w:snapToGrid/>
              <w:spacing w:line="240" w:lineRule="auto"/>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工业企业噪声源强调查清单（室内声源）</w:t>
            </w:r>
          </w:p>
          <w:tbl>
            <w:tblPr>
              <w:tblStyle w:val="46"/>
              <w:tblW w:w="12975" w:type="dxa"/>
              <w:tblInd w:w="-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3"/>
              <w:gridCol w:w="690"/>
              <w:gridCol w:w="660"/>
              <w:gridCol w:w="525"/>
              <w:gridCol w:w="390"/>
              <w:gridCol w:w="600"/>
              <w:gridCol w:w="585"/>
              <w:gridCol w:w="585"/>
              <w:gridCol w:w="585"/>
              <w:gridCol w:w="555"/>
              <w:gridCol w:w="585"/>
              <w:gridCol w:w="510"/>
              <w:gridCol w:w="540"/>
              <w:gridCol w:w="645"/>
              <w:gridCol w:w="645"/>
              <w:gridCol w:w="510"/>
              <w:gridCol w:w="345"/>
              <w:gridCol w:w="600"/>
              <w:gridCol w:w="570"/>
              <w:gridCol w:w="585"/>
              <w:gridCol w:w="525"/>
              <w:gridCol w:w="570"/>
              <w:gridCol w:w="367"/>
            </w:tblGrid>
            <w:tr w14:paraId="6599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3"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D3E2AC">
                  <w:pPr>
                    <w:keepNext w:val="0"/>
                    <w:keepLines w:val="0"/>
                    <w:widowControl/>
                    <w:suppressLineNumbers w:val="0"/>
                    <w:spacing w:line="240" w:lineRule="auto"/>
                    <w:jc w:val="center"/>
                    <w:textAlignment w:val="center"/>
                    <w:rPr>
                      <w:rFonts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声源名称</w:t>
                  </w:r>
                </w:p>
              </w:tc>
              <w:tc>
                <w:tcPr>
                  <w:tcW w:w="69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789436">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设备数量</w:t>
                  </w:r>
                </w:p>
              </w:tc>
              <w:tc>
                <w:tcPr>
                  <w:tcW w:w="1575" w:type="dxa"/>
                  <w:gridSpan w:val="3"/>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5A729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空间相对位置/m</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6459E7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声源控制措施</w:t>
                  </w:r>
                </w:p>
              </w:tc>
              <w:tc>
                <w:tcPr>
                  <w:tcW w:w="1170" w:type="dxa"/>
                  <w:gridSpan w:val="2"/>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D3FD603">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声源源强</w:t>
                  </w:r>
                </w:p>
              </w:tc>
              <w:tc>
                <w:tcPr>
                  <w:tcW w:w="2235"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338A92A">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距室内边界距离/m</w:t>
                  </w:r>
                </w:p>
              </w:tc>
              <w:tc>
                <w:tcPr>
                  <w:tcW w:w="2340"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37EF2E7">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室内边界声级/dB(A)</w:t>
                  </w:r>
                </w:p>
              </w:tc>
              <w:tc>
                <w:tcPr>
                  <w:tcW w:w="345"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688B61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运行时段</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FD6E8E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建筑物插入损失/dB(A)</w:t>
                  </w:r>
                </w:p>
              </w:tc>
              <w:tc>
                <w:tcPr>
                  <w:tcW w:w="2617" w:type="dxa"/>
                  <w:gridSpan w:val="5"/>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BE84A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建筑物外噪音</w:t>
                  </w:r>
                </w:p>
              </w:tc>
            </w:tr>
            <w:tr w14:paraId="041C2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9FDB1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9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36DDC1">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1575" w:type="dxa"/>
                  <w:gridSpan w:val="3"/>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9F5A2C9">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3C809E">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1170"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0C56B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235"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1DF346">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340"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E87B30">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2EEEC3">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ABD7A5D">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2250"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D048D8">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声压级/dB(A)</w:t>
                  </w:r>
                </w:p>
              </w:tc>
              <w:tc>
                <w:tcPr>
                  <w:tcW w:w="367"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942E4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建筑物外距离/m</w:t>
                  </w:r>
                </w:p>
              </w:tc>
            </w:tr>
            <w:tr w14:paraId="0BBF3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A0405E">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9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4684BC">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D1DC63">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X</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3989CA">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Y</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3FC2B1">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Z</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B302E14">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2DAF1C">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声压级/dB(A)</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8F738C4">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距声源距离/m</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738C3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0ADC49">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916D60">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874A5A6">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89E983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9450A5">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9BD2C9">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3D8DC4B">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FAB984">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F98FAD">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32C888E">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东</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68A3CD">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南</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0ACCAF1">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西</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29FF40">
                  <w:pPr>
                    <w:keepNext w:val="0"/>
                    <w:keepLines w:val="0"/>
                    <w:widowControl/>
                    <w:suppressLineNumbers w:val="0"/>
                    <w:spacing w:line="240" w:lineRule="auto"/>
                    <w:jc w:val="center"/>
                    <w:textAlignment w:val="center"/>
                    <w:rPr>
                      <w:rFonts w:hint="default" w:ascii="Calibri" w:hAnsi="Calibri" w:cs="Calibri"/>
                      <w:b/>
                      <w:bCs/>
                      <w:i w:val="0"/>
                      <w:iCs w:val="0"/>
                      <w:color w:val="000000" w:themeColor="text1"/>
                      <w:sz w:val="21"/>
                      <w:szCs w:val="21"/>
                      <w:u w:val="none"/>
                      <w14:textFill>
                        <w14:solidFill>
                          <w14:schemeClr w14:val="tx1"/>
                        </w14:solidFill>
                      </w14:textFill>
                    </w:rPr>
                  </w:pPr>
                  <w:r>
                    <w:rPr>
                      <w:rFonts w:hint="default" w:ascii="Calibri" w:hAnsi="Calibri" w:eastAsia="宋体" w:cs="Calibri"/>
                      <w:b/>
                      <w:bCs/>
                      <w:i w:val="0"/>
                      <w:iCs w:val="0"/>
                      <w:color w:val="000000" w:themeColor="text1"/>
                      <w:kern w:val="0"/>
                      <w:sz w:val="21"/>
                      <w:szCs w:val="21"/>
                      <w:u w:val="none"/>
                      <w:lang w:val="en-US" w:eastAsia="zh-CN"/>
                      <w14:textFill>
                        <w14:solidFill>
                          <w14:schemeClr w14:val="tx1"/>
                        </w14:solidFill>
                      </w14:textFill>
                    </w:rPr>
                    <w:t>北</w:t>
                  </w:r>
                </w:p>
              </w:tc>
              <w:tc>
                <w:tcPr>
                  <w:tcW w:w="36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944BA2">
                  <w:pPr>
                    <w:spacing w:line="240" w:lineRule="auto"/>
                    <w:jc w:val="center"/>
                    <w:rPr>
                      <w:rFonts w:hint="default" w:ascii="Calibri" w:hAnsi="Calibri" w:cs="Calibri"/>
                      <w:b/>
                      <w:bCs/>
                      <w:i w:val="0"/>
                      <w:iCs w:val="0"/>
                      <w:color w:val="000000" w:themeColor="text1"/>
                      <w:sz w:val="21"/>
                      <w:szCs w:val="21"/>
                      <w:u w:val="none"/>
                      <w14:textFill>
                        <w14:solidFill>
                          <w14:schemeClr w14:val="tx1"/>
                        </w14:solidFill>
                      </w14:textFill>
                    </w:rPr>
                  </w:pPr>
                </w:p>
              </w:tc>
            </w:tr>
            <w:tr w14:paraId="0F411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36D9B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炼胶机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B0E6FE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107E90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-16.89</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23967A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1.22</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34C7F1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310EC8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距离衰减、减震措施</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ACAF0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D6A9F7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98F4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45.59</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C74C2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15.27</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E3F87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12.12</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E2E5B3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8.77</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EC412B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36.82</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C15F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46.32</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6284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48.33</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AF45A2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51.14</w:t>
                  </w:r>
                </w:p>
              </w:tc>
              <w:tc>
                <w:tcPr>
                  <w:tcW w:w="345"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EDAC9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昼间+夜间</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056CC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A0DA05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10.63</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D8899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19.77</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90623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21.64</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822B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24.20</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0A8C0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19F9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D7B662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切料机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AACAA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380CB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-9.33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1AB922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2.03</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CEBF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2B10A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44BD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724CA8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CA1E9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37.84</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51ECBC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14.80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149A9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19.79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73FC3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9.02</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708A5C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36.45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468DDD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44.61</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72A5E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42.08</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988B7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48.91</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675CEC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BFEA6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DA7FC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10.23</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8FD3E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18.04</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C0345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15.65</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C718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21.99</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B39022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05590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69271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成型机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46C9D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3C52D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-1.62</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02C7C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3.92</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20528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B53013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A224E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4E06FA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8D8212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29.71</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B78D6D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15.38</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0EA663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27.72</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DAC79A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8.21</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721AC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50.54</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79FCA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56.26</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35625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51.14</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D34FA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61.71</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3A6605E">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E07E74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93B61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24.26</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1DE008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29.71</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BC4DB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24.84</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FC033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34.71</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E9E1DE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5372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5E78D5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移印</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D52C8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4AAC9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-3.92</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4B1EFD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-2.3</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18D63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0BD683C">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6BE083">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60.00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75D525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7528D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33.39</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33BCA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9.58</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02F43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24.69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7E8B2D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14.08</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13A9E7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35.55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29CF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46.39</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ED4544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38.17</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5DD956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43.05</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428FEB">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275FD0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1E9B8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9.29</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F1BE06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19.53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C13934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11.83</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85F9B4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16.45</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E6E93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18EF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B7B5EC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烤炉</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A3388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AAE24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4.05</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B0582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2.16</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38D20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E4650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603818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575D99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ED28E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24.42</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9842C3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12.67</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DE3829">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33.19</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E0D69C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10.76</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C7906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47.25</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4BCA3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52.94</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50E85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44.58</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92C27F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54.37</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F0A815">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7A49F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F1957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20.90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025D52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26.28</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F62A1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18.32</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745548">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27.59</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EF3D70">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222F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B5B81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空压机</w:t>
                  </w:r>
                </w:p>
              </w:tc>
              <w:tc>
                <w:tcPr>
                  <w:tcW w:w="6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6D9076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6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A48C3F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25.03</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475C09A">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14</w:t>
                  </w:r>
                </w:p>
              </w:tc>
              <w:tc>
                <w:tcPr>
                  <w:tcW w:w="39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B5B7CF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6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E1C26A6">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1A260E">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85.00</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4B50805">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23D0B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0.78</w:t>
                  </w:r>
                </w:p>
              </w:tc>
              <w:tc>
                <w:tcPr>
                  <w:tcW w:w="55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62FDF0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20.91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46509B">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13.64</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AF6A1C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1.91</w:t>
                  </w:r>
                </w:p>
              </w:tc>
              <w:tc>
                <w:tcPr>
                  <w:tcW w:w="54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A18EBF7">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87.20</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992E0C">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58.59</w:t>
                  </w:r>
                </w:p>
              </w:tc>
              <w:tc>
                <w:tcPr>
                  <w:tcW w:w="64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B951EE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62.31</w:t>
                  </w:r>
                </w:p>
              </w:tc>
              <w:tc>
                <w:tcPr>
                  <w:tcW w:w="51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7B4CE16">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79.40</w:t>
                  </w:r>
                </w:p>
              </w:tc>
              <w:tc>
                <w:tcPr>
                  <w:tcW w:w="34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177508">
                  <w:pPr>
                    <w:spacing w:line="240" w:lineRule="auto"/>
                    <w:jc w:val="center"/>
                    <w:rPr>
                      <w:rFonts w:hint="default" w:ascii="Times New Roman" w:hAnsi="Times New Roman" w:cs="Times New Roman"/>
                      <w:i w:val="0"/>
                      <w:iCs w:val="0"/>
                      <w:color w:val="000000" w:themeColor="text1"/>
                      <w:sz w:val="21"/>
                      <w:szCs w:val="21"/>
                      <w:u w:val="none"/>
                      <w14:textFill>
                        <w14:solidFill>
                          <w14:schemeClr w14:val="tx1"/>
                        </w14:solidFill>
                      </w14:textFill>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F83DAF">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20</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5A01DE4">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54.01</w:t>
                  </w:r>
                </w:p>
              </w:tc>
              <w:tc>
                <w:tcPr>
                  <w:tcW w:w="58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62FC4D">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32.19</w:t>
                  </w:r>
                </w:p>
              </w:tc>
              <w:tc>
                <w:tcPr>
                  <w:tcW w:w="525"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E7265F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35.69</w:t>
                  </w:r>
                </w:p>
              </w:tc>
              <w:tc>
                <w:tcPr>
                  <w:tcW w:w="57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B9F61A1">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49.74</w:t>
                  </w:r>
                </w:p>
              </w:tc>
              <w:tc>
                <w:tcPr>
                  <w:tcW w:w="3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9132D52">
                  <w:pPr>
                    <w:keepNext w:val="0"/>
                    <w:keepLines w:val="0"/>
                    <w:widowControl/>
                    <w:suppressLineNumbers w:val="0"/>
                    <w:spacing w:line="240" w:lineRule="auto"/>
                    <w:jc w:val="center"/>
                    <w:textAlignment w:val="center"/>
                    <w:rPr>
                      <w:rFonts w:hint="default" w:ascii="Times New Roman" w:hAnsi="Times New Roman"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bl>
          <w:p w14:paraId="3F47DAE2">
            <w:pPr>
              <w:rPr>
                <w:color w:val="000000" w:themeColor="text1"/>
                <w14:textFill>
                  <w14:solidFill>
                    <w14:schemeClr w14:val="tx1"/>
                  </w14:solidFill>
                </w14:textFill>
              </w:rPr>
            </w:pPr>
          </w:p>
          <w:p w14:paraId="204D04D1">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p>
        </w:tc>
      </w:tr>
    </w:tbl>
    <w:p w14:paraId="48A07789">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7"/>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
        <w:gridCol w:w="8936"/>
      </w:tblGrid>
      <w:tr w14:paraId="46E6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88" w:type="dxa"/>
          </w:tcPr>
          <w:p w14:paraId="1CBF9FDB">
            <w:pPr>
              <w:rPr>
                <w:rFonts w:hint="default" w:ascii="Times New Roman" w:hAnsi="Times New Roman" w:cs="Times New Roman"/>
                <w:color w:val="000000" w:themeColor="text1"/>
                <w:highlight w:val="none"/>
                <w14:textFill>
                  <w14:solidFill>
                    <w14:schemeClr w14:val="tx1"/>
                  </w14:solidFill>
                </w14:textFill>
              </w:rPr>
            </w:pPr>
          </w:p>
        </w:tc>
        <w:tc>
          <w:tcPr>
            <w:tcW w:w="8785" w:type="dxa"/>
          </w:tcPr>
          <w:p w14:paraId="1AC2B9A1">
            <w:pPr>
              <w:adjustRightInd w:val="0"/>
              <w:ind w:firstLine="480" w:firstLineChars="20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2、达标分析</w:t>
            </w:r>
          </w:p>
          <w:p w14:paraId="58F11E5E">
            <w:pPr>
              <w:adjustRightIn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项目厂界外50米范围内无声环境保护目标。</w:t>
            </w:r>
            <w:r>
              <w:rPr>
                <w:rFonts w:hint="default" w:ascii="Times New Roman" w:hAnsi="Times New Roman" w:eastAsia="宋体" w:cs="Times New Roman"/>
                <w:bCs/>
                <w:color w:val="000000" w:themeColor="text1"/>
                <w:kern w:val="0"/>
                <w:highlight w:val="none"/>
                <w14:textFill>
                  <w14:solidFill>
                    <w14:schemeClr w14:val="tx1"/>
                  </w14:solidFill>
                </w14:textFill>
              </w:rPr>
              <w:t>项目运营期产生的噪声主要为生产设备运行时产生的噪声，其噪声的强度值为60~85dB（A）之间。</w:t>
            </w:r>
          </w:p>
          <w:p w14:paraId="01C51302">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固定声源的噪声向周围传播过程中，会发生反射、折射、衍射、吸收等现象。因此，随传播距离的增加而产生的衰减量并不按简单的几何规律计算。根据《</w:t>
            </w:r>
            <w:r>
              <w:rPr>
                <w:rFonts w:hint="eastAsia" w:cs="Times New Roman"/>
                <w:color w:val="000000" w:themeColor="text1"/>
                <w:highlight w:val="none"/>
                <w:lang w:eastAsia="zh-CN"/>
                <w14:textFill>
                  <w14:solidFill>
                    <w14:schemeClr w14:val="tx1"/>
                  </w14:solidFill>
                </w14:textFill>
              </w:rPr>
              <w:t>环境影响评价技术导则 声环境</w:t>
            </w:r>
            <w:r>
              <w:rPr>
                <w:rFonts w:hint="default" w:ascii="Times New Roman" w:hAnsi="Times New Roman" w:eastAsia="宋体" w:cs="Times New Roman"/>
                <w:color w:val="000000" w:themeColor="text1"/>
                <w:highlight w:val="none"/>
                <w14:textFill>
                  <w14:solidFill>
                    <w14:schemeClr w14:val="tx1"/>
                  </w14:solidFill>
                </w14:textFill>
              </w:rPr>
              <w:t>》（HJ2.4-2021）对室内声源的预测方法，声源位于室内，室内声源可采用等效室外声源声功率级法进行计算。</w:t>
            </w:r>
          </w:p>
          <w:p w14:paraId="28EBCF80">
            <w:pPr>
              <w:snapToGrid w:val="0"/>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①计算所有室内声源在围护结构处产生的i倍频带叠加声压级：</w:t>
            </w:r>
          </w:p>
          <w:p w14:paraId="4AA86B46">
            <w:pPr>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780540" cy="464820"/>
                  <wp:effectExtent l="0" t="0" r="635" b="10160"/>
                  <wp:docPr id="1032" name="图片 3"/>
                  <wp:cNvGraphicFramePr/>
                  <a:graphic xmlns:a="http://schemas.openxmlformats.org/drawingml/2006/main">
                    <a:graphicData uri="http://schemas.openxmlformats.org/drawingml/2006/picture">
                      <pic:pic xmlns:pic="http://schemas.openxmlformats.org/drawingml/2006/picture">
                        <pic:nvPicPr>
                          <pic:cNvPr id="1032" name="图片 3"/>
                          <pic:cNvPicPr/>
                        </pic:nvPicPr>
                        <pic:blipFill>
                          <a:blip r:embed="rId20" cstate="print"/>
                          <a:srcRect/>
                          <a:stretch>
                            <a:fillRect/>
                          </a:stretch>
                        </pic:blipFill>
                        <pic:spPr>
                          <a:xfrm>
                            <a:off x="0" y="0"/>
                            <a:ext cx="1780540" cy="464820"/>
                          </a:xfrm>
                          <a:prstGeom prst="rect">
                            <a:avLst/>
                          </a:prstGeom>
                          <a:ln>
                            <a:noFill/>
                          </a:ln>
                        </pic:spPr>
                      </pic:pic>
                    </a:graphicData>
                  </a:graphic>
                </wp:inline>
              </w:drawing>
            </w:r>
          </w:p>
          <w:p w14:paraId="6A4DE61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式中，L</w:t>
            </w:r>
            <w:r>
              <w:rPr>
                <w:rFonts w:hint="default" w:ascii="Times New Roman" w:hAnsi="Times New Roman" w:eastAsia="宋体" w:cs="Times New Roman"/>
                <w:color w:val="000000" w:themeColor="text1"/>
                <w:highlight w:val="none"/>
                <w:vertAlign w:val="subscript"/>
                <w14:textFill>
                  <w14:solidFill>
                    <w14:schemeClr w14:val="tx1"/>
                  </w14:solidFill>
                </w14:textFill>
              </w:rPr>
              <w:t>p1iT</w:t>
            </w:r>
            <w:r>
              <w:rPr>
                <w:rFonts w:hint="default" w:ascii="Times New Roman" w:hAnsi="Times New Roman" w:eastAsia="宋体" w:cs="Times New Roman"/>
                <w:color w:val="000000" w:themeColor="text1"/>
                <w:highlight w:val="none"/>
                <w14:textFill>
                  <w14:solidFill>
                    <w14:schemeClr w14:val="tx1"/>
                  </w14:solidFill>
                </w14:textFill>
              </w:rPr>
              <w:t>—靠近围护结构处室内N个声源i倍频带的叠加声压级，dB；</w:t>
            </w:r>
          </w:p>
          <w:p w14:paraId="2D7B664B">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L</w:t>
            </w:r>
            <w:r>
              <w:rPr>
                <w:rFonts w:hint="default" w:ascii="Times New Roman" w:hAnsi="Times New Roman" w:eastAsia="宋体" w:cs="Times New Roman"/>
                <w:color w:val="000000" w:themeColor="text1"/>
                <w:highlight w:val="none"/>
                <w:vertAlign w:val="subscript"/>
                <w14:textFill>
                  <w14:solidFill>
                    <w14:schemeClr w14:val="tx1"/>
                  </w14:solidFill>
                </w14:textFill>
              </w:rPr>
              <w:t>p1ij</w:t>
            </w:r>
            <w:r>
              <w:rPr>
                <w:rFonts w:hint="default" w:ascii="Times New Roman" w:hAnsi="Times New Roman" w:eastAsia="宋体" w:cs="Times New Roman"/>
                <w:color w:val="000000" w:themeColor="text1"/>
                <w:highlight w:val="none"/>
                <w14:textFill>
                  <w14:solidFill>
                    <w14:schemeClr w14:val="tx1"/>
                  </w14:solidFill>
                </w14:textFill>
              </w:rPr>
              <w:t>—室内j声源i倍频带的声压级，dB；</w:t>
            </w:r>
          </w:p>
          <w:p w14:paraId="17236860">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N—室内声源总数。</w:t>
            </w:r>
          </w:p>
          <w:p w14:paraId="55CCE9EA">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②无指向性点声源几何发散衰减的基本公式：</w:t>
            </w:r>
          </w:p>
          <w:p w14:paraId="731E4846">
            <w:pPr>
              <w:adjustRightInd w:val="0"/>
              <w:jc w:val="center"/>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841500" cy="290195"/>
                  <wp:effectExtent l="0" t="0" r="4445" b="1270"/>
                  <wp:docPr id="1033" name="图片 4"/>
                  <wp:cNvGraphicFramePr/>
                  <a:graphic xmlns:a="http://schemas.openxmlformats.org/drawingml/2006/main">
                    <a:graphicData uri="http://schemas.openxmlformats.org/drawingml/2006/picture">
                      <pic:pic xmlns:pic="http://schemas.openxmlformats.org/drawingml/2006/picture">
                        <pic:nvPicPr>
                          <pic:cNvPr id="1033" name="图片 4"/>
                          <pic:cNvPicPr/>
                        </pic:nvPicPr>
                        <pic:blipFill>
                          <a:blip r:embed="rId21" cstate="print"/>
                          <a:srcRect/>
                          <a:stretch>
                            <a:fillRect/>
                          </a:stretch>
                        </pic:blipFill>
                        <pic:spPr>
                          <a:xfrm>
                            <a:off x="0" y="0"/>
                            <a:ext cx="1841500" cy="290195"/>
                          </a:xfrm>
                          <a:prstGeom prst="rect">
                            <a:avLst/>
                          </a:prstGeom>
                          <a:ln>
                            <a:noFill/>
                          </a:ln>
                        </pic:spPr>
                      </pic:pic>
                    </a:graphicData>
                  </a:graphic>
                </wp:inline>
              </w:drawing>
            </w:r>
          </w:p>
          <w:p w14:paraId="2C832FBB">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w:t>
            </w:r>
            <w:r>
              <w:rPr>
                <w:rFonts w:hint="default" w:ascii="Times New Roman" w:hAnsi="Times New Roman" w:eastAsia="宋体" w:cs="Times New Roman"/>
                <w:bCs/>
                <w:color w:val="000000" w:themeColor="text1"/>
                <w:highlight w:val="none"/>
                <w14:textFill>
                  <w14:solidFill>
                    <w14:schemeClr w14:val="tx1"/>
                  </w14:solidFill>
                </w14:textFill>
              </w:rPr>
              <w:t>(r)—预测点处声压级，dB（A）；</w:t>
            </w:r>
          </w:p>
          <w:p w14:paraId="741A202F">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w:t>
            </w:r>
            <w:r>
              <w:rPr>
                <w:rFonts w:hint="default" w:ascii="Times New Roman" w:hAnsi="Times New Roman" w:eastAsia="宋体" w:cs="Times New Roman"/>
                <w:bCs/>
                <w:color w:val="000000" w:themeColor="text1"/>
                <w:highlight w:val="none"/>
                <w14:textFill>
                  <w14:solidFill>
                    <w14:schemeClr w14:val="tx1"/>
                  </w14:solidFill>
                </w14:textFill>
              </w:rPr>
              <w:t xml:space="preserve">(r0)—参考位置r0处的声压级，dB（A）； </w:t>
            </w:r>
          </w:p>
          <w:p w14:paraId="3696DFF7">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r—预测点距声源的距离，m；</w:t>
            </w:r>
          </w:p>
          <w:p w14:paraId="5E7D755E">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r</w:t>
            </w:r>
            <w:r>
              <w:rPr>
                <w:rFonts w:hint="default" w:ascii="Times New Roman" w:hAnsi="Times New Roman" w:eastAsia="宋体" w:cs="Times New Roman"/>
                <w:bCs/>
                <w:color w:val="000000" w:themeColor="text1"/>
                <w:highlight w:val="none"/>
                <w:vertAlign w:val="subscript"/>
                <w14:textFill>
                  <w14:solidFill>
                    <w14:schemeClr w14:val="tx1"/>
                  </w14:solidFill>
                </w14:textFill>
              </w:rPr>
              <w:t>0</w:t>
            </w:r>
            <w:r>
              <w:rPr>
                <w:rFonts w:hint="default" w:ascii="Times New Roman" w:hAnsi="Times New Roman" w:eastAsia="宋体" w:cs="Times New Roman"/>
                <w:bCs/>
                <w:color w:val="000000" w:themeColor="text1"/>
                <w:highlight w:val="none"/>
                <w14:textFill>
                  <w14:solidFill>
                    <w14:schemeClr w14:val="tx1"/>
                  </w14:solidFill>
                </w14:textFill>
              </w:rPr>
              <w:t>—参考位置距声源的距离，m。</w:t>
            </w:r>
          </w:p>
          <w:p w14:paraId="0B3EC83F">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③室内声场为近似扩散声场，室外的倍频带声压级计算：</w:t>
            </w:r>
          </w:p>
          <w:p w14:paraId="1A577573">
            <w:pPr>
              <w:adjustRightInd w:val="0"/>
              <w:jc w:val="center"/>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470660" cy="280670"/>
                  <wp:effectExtent l="0" t="0" r="8255" b="0"/>
                  <wp:docPr id="1034" name="图片 5"/>
                  <wp:cNvGraphicFramePr/>
                  <a:graphic xmlns:a="http://schemas.openxmlformats.org/drawingml/2006/main">
                    <a:graphicData uri="http://schemas.openxmlformats.org/drawingml/2006/picture">
                      <pic:pic xmlns:pic="http://schemas.openxmlformats.org/drawingml/2006/picture">
                        <pic:nvPicPr>
                          <pic:cNvPr id="1034" name="图片 5"/>
                          <pic:cNvPicPr/>
                        </pic:nvPicPr>
                        <pic:blipFill>
                          <a:blip r:embed="rId22" cstate="print"/>
                          <a:srcRect/>
                          <a:stretch>
                            <a:fillRect/>
                          </a:stretch>
                        </pic:blipFill>
                        <pic:spPr>
                          <a:xfrm>
                            <a:off x="0" y="0"/>
                            <a:ext cx="1470660" cy="280670"/>
                          </a:xfrm>
                          <a:prstGeom prst="rect">
                            <a:avLst/>
                          </a:prstGeom>
                          <a:ln>
                            <a:noFill/>
                          </a:ln>
                        </pic:spPr>
                      </pic:pic>
                    </a:graphicData>
                  </a:graphic>
                </wp:inline>
              </w:drawing>
            </w:r>
          </w:p>
          <w:p w14:paraId="4550A8A5">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p1</w:t>
            </w:r>
            <w:r>
              <w:rPr>
                <w:rFonts w:hint="default" w:ascii="Times New Roman" w:hAnsi="Times New Roman" w:eastAsia="宋体" w:cs="Times New Roman"/>
                <w:bCs/>
                <w:color w:val="000000" w:themeColor="text1"/>
                <w:highlight w:val="none"/>
                <w14:textFill>
                  <w14:solidFill>
                    <w14:schemeClr w14:val="tx1"/>
                  </w14:solidFill>
                </w14:textFill>
              </w:rPr>
              <w:t>—室内某倍频带的声压级或A声级，dB（A）；</w:t>
            </w:r>
          </w:p>
          <w:p w14:paraId="15B138B8">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p2</w:t>
            </w:r>
            <w:r>
              <w:rPr>
                <w:rFonts w:hint="default" w:ascii="Times New Roman" w:hAnsi="Times New Roman" w:eastAsia="宋体" w:cs="Times New Roman"/>
                <w:bCs/>
                <w:color w:val="000000" w:themeColor="text1"/>
                <w:highlight w:val="none"/>
                <w14:textFill>
                  <w14:solidFill>
                    <w14:schemeClr w14:val="tx1"/>
                  </w14:solidFill>
                </w14:textFill>
              </w:rPr>
              <w:t>—室外某倍频带的声压级或A声级，dB（A）；</w:t>
            </w:r>
          </w:p>
          <w:p w14:paraId="3BA46895">
            <w:pPr>
              <w:adjustRightInd w:val="0"/>
              <w:ind w:firstLine="1200" w:firstLineChars="5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TL—隔墙（或窗户）倍频带或A声级的隔声量，dB。</w:t>
            </w:r>
          </w:p>
          <w:p w14:paraId="46AE2308">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④预测点的预测等效声级（Leq）计算公式：</w:t>
            </w:r>
          </w:p>
          <w:p w14:paraId="334D9363">
            <w:pPr>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0" distR="0">
                  <wp:extent cx="1937385" cy="335915"/>
                  <wp:effectExtent l="0" t="0" r="5080" b="9525"/>
                  <wp:docPr id="1035" name="图片 6"/>
                  <wp:cNvGraphicFramePr/>
                  <a:graphic xmlns:a="http://schemas.openxmlformats.org/drawingml/2006/main">
                    <a:graphicData uri="http://schemas.openxmlformats.org/drawingml/2006/picture">
                      <pic:pic xmlns:pic="http://schemas.openxmlformats.org/drawingml/2006/picture">
                        <pic:nvPicPr>
                          <pic:cNvPr id="1035" name="图片 6"/>
                          <pic:cNvPicPr/>
                        </pic:nvPicPr>
                        <pic:blipFill>
                          <a:blip r:embed="rId23" cstate="print"/>
                          <a:srcRect/>
                          <a:stretch>
                            <a:fillRect/>
                          </a:stretch>
                        </pic:blipFill>
                        <pic:spPr>
                          <a:xfrm>
                            <a:off x="0" y="0"/>
                            <a:ext cx="1938019" cy="335915"/>
                          </a:xfrm>
                          <a:prstGeom prst="rect">
                            <a:avLst/>
                          </a:prstGeom>
                          <a:ln>
                            <a:noFill/>
                          </a:ln>
                        </pic:spPr>
                      </pic:pic>
                    </a:graphicData>
                  </a:graphic>
                </wp:inline>
              </w:drawing>
            </w:r>
          </w:p>
          <w:p w14:paraId="31E9179C">
            <w:pPr>
              <w:adjustRightInd w:val="0"/>
              <w:ind w:firstLine="480" w:firstLineChars="200"/>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式中：L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eqg</w:t>
            </w:r>
            <w:r>
              <w:rPr>
                <w:rFonts w:hint="default" w:ascii="Times New Roman" w:hAnsi="Times New Roman" w:eastAsia="宋体" w:cs="Times New Roman"/>
                <w:bCs/>
                <w:color w:val="000000" w:themeColor="text1"/>
                <w:highlight w:val="none"/>
                <w14:textFill>
                  <w14:solidFill>
                    <w14:schemeClr w14:val="tx1"/>
                  </w14:solidFill>
                </w14:textFill>
              </w:rPr>
              <w:t xml:space="preserve">—建设项目声源在预测点的等效声级贡献值，dB（A）； </w:t>
            </w:r>
          </w:p>
          <w:p w14:paraId="0E2A02A3">
            <w:pPr>
              <w:ind w:firstLine="1200" w:firstLineChars="5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L</w:t>
            </w:r>
            <w:r>
              <w:rPr>
                <w:rFonts w:hint="default" w:ascii="Times New Roman" w:hAnsi="Times New Roman" w:eastAsia="宋体" w:cs="Times New Roman"/>
                <w:bCs/>
                <w:color w:val="000000" w:themeColor="text1"/>
                <w:highlight w:val="none"/>
                <w:vertAlign w:val="subscript"/>
                <w14:textFill>
                  <w14:solidFill>
                    <w14:schemeClr w14:val="tx1"/>
                  </w14:solidFill>
                </w14:textFill>
              </w:rPr>
              <w:t>eqb</w:t>
            </w:r>
            <w:r>
              <w:rPr>
                <w:rFonts w:hint="default" w:ascii="Times New Roman" w:hAnsi="Times New Roman" w:eastAsia="宋体" w:cs="Times New Roman"/>
                <w:bCs/>
                <w:color w:val="000000" w:themeColor="text1"/>
                <w:highlight w:val="none"/>
                <w14:textFill>
                  <w14:solidFill>
                    <w14:schemeClr w14:val="tx1"/>
                  </w14:solidFill>
                </w14:textFill>
              </w:rPr>
              <w:t>—预测点的背景值，dB（A）。</w:t>
            </w:r>
          </w:p>
          <w:p w14:paraId="4820C6AB">
            <w:pPr>
              <w:widowControl w:val="0"/>
              <w:autoSpaceDE w:val="0"/>
              <w:autoSpaceDN w:val="0"/>
              <w:adjustRightInd w:val="0"/>
              <w:spacing w:line="360" w:lineRule="auto"/>
              <w:ind w:firstLine="480" w:firstLineChars="200"/>
              <w:jc w:val="both"/>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环境噪声控制》（作者：刘惠玲主编，2002年第一版），墙体降噪效果在23-30dB（A）之间，基础减振降噪效果在10-25dB（A）之间，本项目墙体主要为钢质材料，隔音效果较差降噪效果保守取15dB（A）、基础减振降噪效果取10dB（A），考虑到人员进出本项目过程中开关门、窗户等对隔声的负面影响，实际隔声量按20dB（A）计算。</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根据本项目噪声源，利用预测模式计算四周噪声值，最终与现状背景噪声按声能量</w:t>
            </w:r>
            <w:r>
              <w:rPr>
                <w:rFonts w:hint="eastAsia" w:cs="Times New Roman"/>
                <w:color w:val="000000" w:themeColor="text1"/>
                <w:kern w:val="0"/>
                <w:sz w:val="24"/>
                <w:szCs w:val="24"/>
                <w:highlight w:val="none"/>
                <w:lang w:val="en-US" w:eastAsia="zh-CN" w:bidi="ar-SA"/>
                <w14:textFill>
                  <w14:solidFill>
                    <w14:schemeClr w14:val="tx1"/>
                  </w14:solidFill>
                </w14:textFill>
              </w:rPr>
              <w:t>叠</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加得出预测结果如下表。</w:t>
            </w:r>
          </w:p>
          <w:p w14:paraId="28C04A5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项目</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的噪声贡献值预测结果</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04"/>
              <w:gridCol w:w="1294"/>
              <w:gridCol w:w="1491"/>
              <w:gridCol w:w="1357"/>
              <w:gridCol w:w="1961"/>
            </w:tblGrid>
            <w:tr w14:paraId="0AE1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vMerge w:val="restart"/>
                  <w:tcBorders>
                    <w:top w:val="single" w:color="auto" w:sz="4" w:space="0"/>
                    <w:left w:val="single" w:color="auto" w:sz="4" w:space="0"/>
                    <w:right w:val="single" w:color="auto" w:sz="4" w:space="0"/>
                  </w:tcBorders>
                  <w:vAlign w:val="center"/>
                </w:tcPr>
                <w:p w14:paraId="2C562DF2">
                  <w:pPr>
                    <w:spacing w:line="0" w:lineRule="atLeast"/>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项目厂界</w:t>
                  </w:r>
                </w:p>
              </w:tc>
              <w:tc>
                <w:tcPr>
                  <w:tcW w:w="1599" w:type="pct"/>
                  <w:gridSpan w:val="2"/>
                  <w:tcBorders>
                    <w:top w:val="single" w:color="auto" w:sz="4" w:space="0"/>
                    <w:left w:val="single" w:color="auto" w:sz="4" w:space="0"/>
                    <w:bottom w:val="single" w:color="auto" w:sz="4" w:space="0"/>
                    <w:right w:val="single" w:color="auto" w:sz="4" w:space="0"/>
                  </w:tcBorders>
                  <w:vAlign w:val="center"/>
                </w:tcPr>
                <w:p w14:paraId="1800D9AE">
                  <w:pPr>
                    <w:keepNext w:val="0"/>
                    <w:keepLines w:val="0"/>
                    <w:widowControl/>
                    <w:suppressLineNumbers w:val="0"/>
                    <w:jc w:val="center"/>
                    <w:textAlignment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噪声标准/dB(A)</w:t>
                  </w:r>
                </w:p>
              </w:tc>
              <w:tc>
                <w:tcPr>
                  <w:tcW w:w="1905" w:type="pct"/>
                  <w:gridSpan w:val="2"/>
                  <w:tcBorders>
                    <w:top w:val="single" w:color="auto" w:sz="4" w:space="0"/>
                    <w:left w:val="single" w:color="auto" w:sz="4" w:space="0"/>
                    <w:bottom w:val="single" w:color="auto" w:sz="4" w:space="0"/>
                    <w:right w:val="single" w:color="auto" w:sz="4" w:space="0"/>
                  </w:tcBorders>
                  <w:vAlign w:val="center"/>
                </w:tcPr>
                <w:p w14:paraId="1F86C21F">
                  <w:pPr>
                    <w:keepNext w:val="0"/>
                    <w:keepLines w:val="0"/>
                    <w:widowControl/>
                    <w:suppressLineNumbers w:val="0"/>
                    <w:jc w:val="center"/>
                    <w:textAlignment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噪声贡献值/dB(A)</w:t>
                  </w:r>
                </w:p>
              </w:tc>
            </w:tr>
            <w:tr w14:paraId="2106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vMerge w:val="continue"/>
                  <w:tcBorders>
                    <w:left w:val="single" w:color="auto" w:sz="4" w:space="0"/>
                    <w:bottom w:val="single" w:color="auto" w:sz="4" w:space="0"/>
                    <w:right w:val="single" w:color="auto" w:sz="4" w:space="0"/>
                  </w:tcBorders>
                  <w:vAlign w:val="center"/>
                </w:tcPr>
                <w:p w14:paraId="2D139AAF">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743" w:type="pct"/>
                  <w:tcBorders>
                    <w:top w:val="single" w:color="auto" w:sz="4" w:space="0"/>
                    <w:left w:val="single" w:color="auto" w:sz="4" w:space="0"/>
                    <w:bottom w:val="single" w:color="auto" w:sz="4" w:space="0"/>
                    <w:right w:val="single" w:color="auto" w:sz="4" w:space="0"/>
                  </w:tcBorders>
                  <w:vAlign w:val="center"/>
                </w:tcPr>
                <w:p w14:paraId="570F93F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昼间</w:t>
                  </w:r>
                </w:p>
              </w:tc>
              <w:tc>
                <w:tcPr>
                  <w:tcW w:w="856" w:type="pct"/>
                  <w:tcBorders>
                    <w:top w:val="single" w:color="auto" w:sz="4" w:space="0"/>
                    <w:left w:val="single" w:color="auto" w:sz="4" w:space="0"/>
                    <w:bottom w:val="single" w:color="auto" w:sz="4" w:space="0"/>
                    <w:right w:val="single" w:color="auto" w:sz="4" w:space="0"/>
                  </w:tcBorders>
                  <w:vAlign w:val="center"/>
                </w:tcPr>
                <w:p w14:paraId="01B53AF2">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夜间</w:t>
                  </w:r>
                </w:p>
              </w:tc>
              <w:tc>
                <w:tcPr>
                  <w:tcW w:w="779" w:type="pct"/>
                  <w:tcBorders>
                    <w:top w:val="single" w:color="auto" w:sz="4" w:space="0"/>
                    <w:left w:val="single" w:color="auto" w:sz="4" w:space="0"/>
                    <w:bottom w:val="single" w:color="auto" w:sz="4" w:space="0"/>
                    <w:right w:val="single" w:color="auto" w:sz="4" w:space="0"/>
                  </w:tcBorders>
                  <w:vAlign w:val="center"/>
                </w:tcPr>
                <w:p w14:paraId="43A0087F">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昼间</w:t>
                  </w:r>
                </w:p>
              </w:tc>
              <w:tc>
                <w:tcPr>
                  <w:tcW w:w="1126" w:type="pct"/>
                  <w:tcBorders>
                    <w:top w:val="single" w:color="auto" w:sz="4" w:space="0"/>
                    <w:left w:val="single" w:color="auto" w:sz="4" w:space="0"/>
                    <w:bottom w:val="single" w:color="auto" w:sz="4" w:space="0"/>
                    <w:right w:val="single" w:color="auto" w:sz="4" w:space="0"/>
                  </w:tcBorders>
                  <w:vAlign w:val="center"/>
                </w:tcPr>
                <w:p w14:paraId="2ED82605">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14:textFill>
                        <w14:solidFill>
                          <w14:schemeClr w14:val="tx1"/>
                        </w14:solidFill>
                      </w14:textFill>
                    </w:rPr>
                    <w:t>夜间</w:t>
                  </w:r>
                </w:p>
              </w:tc>
            </w:tr>
            <w:tr w14:paraId="4BEA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4EA7D231">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东侧厂界外1m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75E3060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359CFF4E">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39A45869">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38.15</w:t>
                  </w:r>
                </w:p>
              </w:tc>
              <w:tc>
                <w:tcPr>
                  <w:tcW w:w="1126" w:type="pct"/>
                  <w:tcBorders>
                    <w:top w:val="single" w:color="auto" w:sz="4" w:space="0"/>
                    <w:left w:val="single" w:color="auto" w:sz="4" w:space="0"/>
                    <w:bottom w:val="single" w:color="auto" w:sz="4" w:space="0"/>
                    <w:right w:val="single" w:color="auto" w:sz="4" w:space="0"/>
                  </w:tcBorders>
                  <w:vAlign w:val="center"/>
                </w:tcPr>
                <w:p w14:paraId="22E51FF8">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38.15</w:t>
                  </w:r>
                </w:p>
              </w:tc>
            </w:tr>
            <w:tr w14:paraId="6B82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42F83DDF">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西侧厂界外1m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1545E34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706B8354">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228C6514">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32.45</w:t>
                  </w:r>
                </w:p>
              </w:tc>
              <w:tc>
                <w:tcPr>
                  <w:tcW w:w="1126" w:type="pct"/>
                  <w:tcBorders>
                    <w:top w:val="single" w:color="auto" w:sz="4" w:space="0"/>
                    <w:left w:val="single" w:color="auto" w:sz="4" w:space="0"/>
                    <w:bottom w:val="single" w:color="auto" w:sz="4" w:space="0"/>
                    <w:right w:val="single" w:color="auto" w:sz="4" w:space="0"/>
                  </w:tcBorders>
                  <w:vAlign w:val="center"/>
                </w:tcPr>
                <w:p w14:paraId="253C3EFA">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32.45</w:t>
                  </w:r>
                </w:p>
              </w:tc>
            </w:tr>
            <w:tr w14:paraId="3F05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6DB52593">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南侧厂界外1m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2D495C7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21B59572">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3CF7BA08">
                  <w:pPr>
                    <w:keepNext w:val="0"/>
                    <w:keepLines w:val="0"/>
                    <w:widowControl/>
                    <w:suppressLineNumbers w:val="0"/>
                    <w:jc w:val="center"/>
                    <w:textAlignment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27.82</w:t>
                  </w:r>
                </w:p>
              </w:tc>
              <w:tc>
                <w:tcPr>
                  <w:tcW w:w="1126" w:type="pct"/>
                  <w:tcBorders>
                    <w:top w:val="single" w:color="auto" w:sz="4" w:space="0"/>
                    <w:left w:val="single" w:color="auto" w:sz="4" w:space="0"/>
                    <w:bottom w:val="single" w:color="auto" w:sz="4" w:space="0"/>
                    <w:right w:val="single" w:color="auto" w:sz="4" w:space="0"/>
                  </w:tcBorders>
                  <w:vAlign w:val="center"/>
                </w:tcPr>
                <w:p w14:paraId="369923FC">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27.82</w:t>
                  </w:r>
                </w:p>
              </w:tc>
            </w:tr>
            <w:tr w14:paraId="33C4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5" w:type="pct"/>
                  <w:tcBorders>
                    <w:top w:val="single" w:color="auto" w:sz="4" w:space="0"/>
                    <w:left w:val="single" w:color="auto" w:sz="4" w:space="0"/>
                    <w:bottom w:val="single" w:color="auto" w:sz="4" w:space="0"/>
                    <w:right w:val="single" w:color="auto" w:sz="4" w:space="0"/>
                  </w:tcBorders>
                  <w:vAlign w:val="center"/>
                </w:tcPr>
                <w:p w14:paraId="2FE1CEC5">
                  <w:pPr>
                    <w:spacing w:line="0" w:lineRule="atLeas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北侧厂界外1m</w:t>
                  </w:r>
                </w:p>
              </w:tc>
              <w:tc>
                <w:tcPr>
                  <w:tcW w:w="743" w:type="pct"/>
                  <w:tcBorders>
                    <w:top w:val="single" w:color="auto" w:sz="4" w:space="0"/>
                    <w:left w:val="single" w:color="auto" w:sz="4" w:space="0"/>
                    <w:bottom w:val="single" w:color="auto" w:sz="4" w:space="0"/>
                    <w:right w:val="single" w:color="auto" w:sz="4" w:space="0"/>
                  </w:tcBorders>
                  <w:vAlign w:val="center"/>
                </w:tcPr>
                <w:p w14:paraId="6630A8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65</w:t>
                  </w:r>
                </w:p>
              </w:tc>
              <w:tc>
                <w:tcPr>
                  <w:tcW w:w="856" w:type="pct"/>
                  <w:tcBorders>
                    <w:top w:val="single" w:color="auto" w:sz="4" w:space="0"/>
                    <w:left w:val="single" w:color="auto" w:sz="4" w:space="0"/>
                    <w:bottom w:val="single" w:color="auto" w:sz="4" w:space="0"/>
                    <w:right w:val="single" w:color="auto" w:sz="4" w:space="0"/>
                  </w:tcBorders>
                  <w:vAlign w:val="center"/>
                </w:tcPr>
                <w:p w14:paraId="5F7483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t>55</w:t>
                  </w:r>
                </w:p>
              </w:tc>
              <w:tc>
                <w:tcPr>
                  <w:tcW w:w="779" w:type="pct"/>
                  <w:tcBorders>
                    <w:top w:val="single" w:color="auto" w:sz="4" w:space="0"/>
                    <w:left w:val="single" w:color="auto" w:sz="4" w:space="0"/>
                    <w:bottom w:val="single" w:color="auto" w:sz="4" w:space="0"/>
                    <w:right w:val="single" w:color="auto" w:sz="4" w:space="0"/>
                  </w:tcBorders>
                  <w:vAlign w:val="center"/>
                </w:tcPr>
                <w:p w14:paraId="4BDD48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14:textFill>
                        <w14:solidFill>
                          <w14:schemeClr w14:val="tx1"/>
                        </w14:solidFill>
                      </w14:textFill>
                    </w:rPr>
                    <w:t>35.19</w:t>
                  </w:r>
                </w:p>
              </w:tc>
              <w:tc>
                <w:tcPr>
                  <w:tcW w:w="1126" w:type="pct"/>
                  <w:tcBorders>
                    <w:top w:val="single" w:color="auto" w:sz="4" w:space="0"/>
                    <w:left w:val="single" w:color="auto" w:sz="4" w:space="0"/>
                    <w:bottom w:val="single" w:color="auto" w:sz="4" w:space="0"/>
                    <w:right w:val="single" w:color="auto" w:sz="4" w:space="0"/>
                  </w:tcBorders>
                  <w:vAlign w:val="center"/>
                </w:tcPr>
                <w:p w14:paraId="7A53FA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2"/>
                      <w:szCs w:val="22"/>
                      <w:u w:val="none"/>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14:textFill>
                        <w14:solidFill>
                          <w14:schemeClr w14:val="tx1"/>
                        </w14:solidFill>
                      </w14:textFill>
                    </w:rPr>
                    <w:t>35.19</w:t>
                  </w:r>
                </w:p>
              </w:tc>
            </w:tr>
          </w:tbl>
          <w:p w14:paraId="327DB23D">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通过预测分析，生产噪声通过距离的衰减和厂房的声屏障效应后，</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项目厂界外1米处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可达到</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《工业企业</w:t>
            </w:r>
            <w:r>
              <w:rPr>
                <w:rFonts w:hint="eastAsia" w:eastAsia="宋体" w:cs="Times New Roman"/>
                <w:color w:val="000000" w:themeColor="text1"/>
                <w:spacing w:val="-2"/>
                <w:kern w:val="2"/>
                <w:sz w:val="24"/>
                <w:szCs w:val="24"/>
                <w:highlight w:val="none"/>
                <w:lang w:val="en-US" w:eastAsia="zh-CN" w:bidi="ar-SA"/>
                <w14:textFill>
                  <w14:solidFill>
                    <w14:schemeClr w14:val="tx1"/>
                  </w14:solidFill>
                </w14:textFill>
              </w:rPr>
              <w:t>厂</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界环境噪声排放标准》（GB12348-2008）中的3类标准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项目产生的噪声不会对周边环境造成太大影响。</w:t>
            </w:r>
          </w:p>
          <w:p w14:paraId="3B73627C">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3、污染防治措施</w:t>
            </w:r>
          </w:p>
          <w:p w14:paraId="031B2467">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为确保厂界噪声满足《工业企业厂界环境噪声排放标准》（GB12348-2008）中的相应标准，项目拟采取以下治理措施：</w:t>
            </w:r>
          </w:p>
          <w:p w14:paraId="486A527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①合理布局：尽量将高噪声设备布置在厂房中间，尽可能地选择远离厂界的位置。</w:t>
            </w:r>
          </w:p>
          <w:p w14:paraId="167C7C9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②落实设备基础减振以及厂房隔声：</w:t>
            </w:r>
          </w:p>
          <w:p w14:paraId="241F86D1">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A、在设备选型方面，在满足工艺生产的前提下，选用精度高、装配质量好、噪声低的设备；对设备基础进行减振；</w:t>
            </w:r>
          </w:p>
          <w:p w14:paraId="5F7C67B6">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B、重视厂房的使用状况，不设门窗或设隔声玻璃门窗。</w:t>
            </w:r>
          </w:p>
          <w:p w14:paraId="1B66D9C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③加强内部管理：建立设备定期维护、保养的管理制度，以防止设备故障形成的非生产噪声，同时确保环保措施发挥最有效的功能；加强职工环保意识教育，提倡文明生产，防止人为噪声。</w:t>
            </w:r>
          </w:p>
          <w:p w14:paraId="6E48BB0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④合理安排生产时间：尽可能地安排在昼间进行生产，若夜间必须生产应控制夜间生产时间，特别夜间应停止高噪声设备，减少机械的噪声影响。</w:t>
            </w:r>
          </w:p>
          <w:p w14:paraId="4ACDCFEF">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本项目周边50米范围内不存在声环境保护目标，经采取上述的降噪措施后，预计项目厂界噪声排放</w:t>
            </w:r>
            <w:r>
              <w:rPr>
                <w:rFonts w:hint="eastAsia" w:cs="Times New Roman"/>
                <w:color w:val="000000" w:themeColor="text1"/>
                <w:kern w:val="0"/>
                <w:sz w:val="24"/>
                <w:szCs w:val="24"/>
                <w:highlight w:val="none"/>
                <w:lang w:val="en-US" w:eastAsia="zh-CN" w:bidi="ar-SA"/>
                <w14:textFill>
                  <w14:solidFill>
                    <w14:schemeClr w14:val="tx1"/>
                  </w14:solidFill>
                </w14:textFill>
              </w:rPr>
              <w:t>在</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厂界外1米处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可达到</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《工业企业</w:t>
            </w:r>
            <w:r>
              <w:rPr>
                <w:rFonts w:hint="eastAsia" w:eastAsia="宋体" w:cs="Times New Roman"/>
                <w:color w:val="000000" w:themeColor="text1"/>
                <w:spacing w:val="-2"/>
                <w:kern w:val="2"/>
                <w:sz w:val="24"/>
                <w:szCs w:val="24"/>
                <w:highlight w:val="none"/>
                <w:lang w:val="en-US" w:eastAsia="zh-CN" w:bidi="ar-SA"/>
                <w14:textFill>
                  <w14:solidFill>
                    <w14:schemeClr w14:val="tx1"/>
                  </w14:solidFill>
                </w14:textFill>
              </w:rPr>
              <w:t>厂</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界环境噪声排放标准》（GB12348-2008）中的3类标准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噪声对声环境影响不大。</w:t>
            </w:r>
          </w:p>
          <w:p w14:paraId="7CB464CE">
            <w:pPr>
              <w:keepNext/>
              <w:keepLines/>
              <w:tabs>
                <w:tab w:val="left" w:pos="0"/>
              </w:tabs>
              <w:ind w:firstLine="480" w:firstLineChars="200"/>
              <w:outlineLvl w:val="3"/>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4、监测要求</w:t>
            </w:r>
          </w:p>
          <w:p w14:paraId="56527AB5">
            <w:pPr>
              <w:ind w:firstLine="480" w:firstLineChars="20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根据《排污单位自行监测技术指南 橡胶和塑料制品》（HJ1207-2021），监测要求见下表。</w:t>
            </w:r>
          </w:p>
          <w:p w14:paraId="43A04780">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厂</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界噪声监测要求</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864"/>
              <w:gridCol w:w="1831"/>
              <w:gridCol w:w="1526"/>
              <w:gridCol w:w="1664"/>
              <w:gridCol w:w="2822"/>
            </w:tblGrid>
            <w:tr w14:paraId="5903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496" w:type="pct"/>
                  <w:vAlign w:val="center"/>
                </w:tcPr>
                <w:p w14:paraId="51B99B26">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1051" w:type="pct"/>
                  <w:vAlign w:val="center"/>
                </w:tcPr>
                <w:p w14:paraId="3465BA9B">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监测点位</w:t>
                  </w:r>
                </w:p>
              </w:tc>
              <w:tc>
                <w:tcPr>
                  <w:tcW w:w="876" w:type="pct"/>
                  <w:vAlign w:val="center"/>
                </w:tcPr>
                <w:p w14:paraId="65FE91EF">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监测指标</w:t>
                  </w:r>
                </w:p>
              </w:tc>
              <w:tc>
                <w:tcPr>
                  <w:tcW w:w="955" w:type="pct"/>
                  <w:vAlign w:val="center"/>
                </w:tcPr>
                <w:p w14:paraId="6F68611D">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监测频次</w:t>
                  </w:r>
                </w:p>
              </w:tc>
              <w:tc>
                <w:tcPr>
                  <w:tcW w:w="1619" w:type="pct"/>
                  <w:vAlign w:val="center"/>
                </w:tcPr>
                <w:p w14:paraId="5081BD52">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依据</w:t>
                  </w:r>
                </w:p>
              </w:tc>
            </w:tr>
            <w:tr w14:paraId="5A81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496" w:type="pct"/>
                  <w:vAlign w:val="center"/>
                </w:tcPr>
                <w:p w14:paraId="31F92842">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051" w:type="pct"/>
                  <w:vAlign w:val="center"/>
                </w:tcPr>
                <w:p w14:paraId="32B3373E">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东、南、</w:t>
                  </w:r>
                  <w:r>
                    <w:rPr>
                      <w:rFonts w:hint="eastAsia" w:cs="Times New Roman"/>
                      <w:color w:val="000000" w:themeColor="text1"/>
                      <w:sz w:val="21"/>
                      <w:szCs w:val="2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highlight w:val="none"/>
                      <w14:textFill>
                        <w14:solidFill>
                          <w14:schemeClr w14:val="tx1"/>
                        </w14:solidFill>
                      </w14:textFill>
                    </w:rPr>
                    <w:t>北面厂界外1米处</w:t>
                  </w:r>
                </w:p>
              </w:tc>
              <w:tc>
                <w:tcPr>
                  <w:tcW w:w="876" w:type="pct"/>
                  <w:vAlign w:val="center"/>
                </w:tcPr>
                <w:p w14:paraId="22B23A6B">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昼间、夜间</w:t>
                  </w:r>
                  <w:r>
                    <w:rPr>
                      <w:rFonts w:hint="default" w:ascii="Times New Roman" w:hAnsi="Times New Roman" w:eastAsia="宋体" w:cs="Times New Roman"/>
                      <w:color w:val="000000" w:themeColor="text1"/>
                      <w:sz w:val="21"/>
                      <w:szCs w:val="21"/>
                      <w:highlight w:val="none"/>
                      <w14:textFill>
                        <w14:solidFill>
                          <w14:schemeClr w14:val="tx1"/>
                        </w14:solidFill>
                      </w14:textFill>
                    </w:rPr>
                    <w:t>等效连续A声级</w:t>
                  </w:r>
                </w:p>
              </w:tc>
              <w:tc>
                <w:tcPr>
                  <w:tcW w:w="955" w:type="pct"/>
                  <w:vAlign w:val="center"/>
                </w:tcPr>
                <w:p w14:paraId="1EDF7D5A">
                  <w:pPr>
                    <w:pStyle w:val="63"/>
                    <w:keepNext w:val="0"/>
                    <w:keepLines w:val="0"/>
                    <w:pageBreakBefore w:val="0"/>
                    <w:suppressLineNumbers w:val="0"/>
                    <w:kinsoku/>
                    <w:wordWrap w:val="0"/>
                    <w:overflowPunct/>
                    <w:topLinePunct/>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1次/季度</w:t>
                  </w:r>
                </w:p>
              </w:tc>
              <w:tc>
                <w:tcPr>
                  <w:tcW w:w="1619" w:type="pct"/>
                  <w:vAlign w:val="center"/>
                </w:tcPr>
                <w:p w14:paraId="63F428A4">
                  <w:pPr>
                    <w:pStyle w:val="63"/>
                    <w:keepNext w:val="0"/>
                    <w:keepLines w:val="0"/>
                    <w:pageBreakBefore w:val="0"/>
                    <w:suppressLineNumbers w:val="0"/>
                    <w:kinsoku/>
                    <w:wordWrap w:val="0"/>
                    <w:overflowPunct/>
                    <w:topLinePunct/>
                    <w:autoSpaceDE/>
                    <w:autoSpaceDN/>
                    <w:bidi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《排污单位自行监测技术指南 </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橡胶和塑料制品</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》（HJ1</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207-</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r>
          </w:tbl>
          <w:p w14:paraId="18B05ADC">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四、固体废物污染源</w:t>
            </w:r>
          </w:p>
          <w:p w14:paraId="7E6B6E5D">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1、固体废物源强</w:t>
            </w:r>
          </w:p>
          <w:p w14:paraId="12C87B34">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本项目营运期产生的固体废物主要为生活垃圾</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一般工业固废（</w:t>
            </w:r>
            <w:r>
              <w:rPr>
                <w:rFonts w:hint="eastAsia" w:cs="Times New Roman"/>
                <w:color w:val="000000" w:themeColor="text1"/>
                <w:highlight w:val="none"/>
                <w:lang w:eastAsia="zh-CN"/>
                <w14:textFill>
                  <w14:solidFill>
                    <w14:schemeClr w14:val="tx1"/>
                  </w14:solidFill>
                </w14:textFill>
              </w:rPr>
              <w:t>废包装</w:t>
            </w:r>
            <w:r>
              <w:rPr>
                <w:rFonts w:hint="eastAsia" w:cs="Times New Roman"/>
                <w:color w:val="000000" w:themeColor="text1"/>
                <w:highlight w:val="none"/>
                <w:lang w:val="en-US" w:eastAsia="zh-CN"/>
                <w14:textFill>
                  <w14:solidFill>
                    <w14:schemeClr w14:val="tx1"/>
                  </w14:solidFill>
                </w14:textFill>
              </w:rPr>
              <w:t>物</w:t>
            </w:r>
            <w:r>
              <w:rPr>
                <w:rFonts w:hint="default" w:ascii="Times New Roman" w:hAnsi="Times New Roman" w:eastAsia="宋体" w:cs="Times New Roman"/>
                <w:color w:val="000000" w:themeColor="text1"/>
                <w:highlight w:val="none"/>
                <w14:textFill>
                  <w14:solidFill>
                    <w14:schemeClr w14:val="tx1"/>
                  </w14:solidFill>
                </w14:textFill>
              </w:rPr>
              <w:t>）、危险废物（</w:t>
            </w:r>
            <w:r>
              <w:rPr>
                <w:rFonts w:hint="eastAsia" w:cs="Times New Roman"/>
                <w:color w:val="000000" w:themeColor="text1"/>
                <w:highlight w:val="none"/>
                <w:lang w:val="en-US" w:eastAsia="zh-CN"/>
                <w14:textFill>
                  <w14:solidFill>
                    <w14:schemeClr w14:val="tx1"/>
                  </w14:solidFill>
                </w14:textFill>
              </w:rPr>
              <w:t>废活性炭、废原料桶、钢板、胶头清洗废水、废机油桶、废机油、废含油抹布手套</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w:t>
            </w:r>
          </w:p>
          <w:p w14:paraId="743C498B">
            <w:pPr>
              <w:ind w:firstLine="480"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（1）生活垃圾</w:t>
            </w:r>
          </w:p>
          <w:p w14:paraId="156FA503">
            <w:pPr>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本项目劳动定员</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eastAsia="宋体" w:cs="Times New Roman"/>
                <w:color w:val="000000" w:themeColor="text1"/>
                <w:highlight w:val="none"/>
                <w14:textFill>
                  <w14:solidFill>
                    <w14:schemeClr w14:val="tx1"/>
                  </w14:solidFill>
                </w14:textFill>
              </w:rPr>
              <w:t>人，年工作</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eastAsia="宋体" w:cs="Times New Roman"/>
                <w:color w:val="000000" w:themeColor="text1"/>
                <w:highlight w:val="none"/>
                <w14:textFill>
                  <w14:solidFill>
                    <w14:schemeClr w14:val="tx1"/>
                  </w14:solidFill>
                </w14:textFill>
              </w:rPr>
              <w:t>天，按每人每天生活垃圾产生量为0.5kg，生活垃圾产生量</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40</w:t>
            </w:r>
            <w:r>
              <w:rPr>
                <w:rFonts w:hint="default" w:ascii="Times New Roman" w:hAnsi="Times New Roman" w:eastAsia="宋体" w:cs="Times New Roman"/>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264</w:t>
            </w:r>
            <w:r>
              <w:rPr>
                <w:rFonts w:hint="default" w:ascii="Times New Roman" w:hAnsi="Times New Roman" w:eastAsia="宋体" w:cs="Times New Roman"/>
                <w:color w:val="000000" w:themeColor="text1"/>
                <w:highlight w:val="none"/>
                <w:lang w:val="en-US" w:eastAsia="zh-CN"/>
                <w14:textFill>
                  <w14:solidFill>
                    <w14:schemeClr w14:val="tx1"/>
                  </w14:solidFill>
                </w14:textFill>
              </w:rPr>
              <w:t>d×0.5kg/（人·d）</w:t>
            </w:r>
            <w:r>
              <w:rPr>
                <w:rFonts w:hint="eastAsia" w:cs="Times New Roman"/>
                <w:color w:val="000000" w:themeColor="text1"/>
                <w:highlight w:val="none"/>
                <w:lang w:val="en-US" w:eastAsia="zh-CN"/>
                <w14:textFill>
                  <w14:solidFill>
                    <w14:schemeClr w14:val="tx1"/>
                  </w14:solidFill>
                </w14:textFill>
              </w:rPr>
              <w:t>÷1000</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5.28</w:t>
            </w:r>
            <w:r>
              <w:rPr>
                <w:rFonts w:hint="default" w:ascii="Times New Roman" w:hAnsi="Times New Roman" w:eastAsia="宋体" w:cs="Times New Roman"/>
                <w:color w:val="000000" w:themeColor="text1"/>
                <w:highlight w:val="none"/>
                <w14:textFill>
                  <w14:solidFill>
                    <w14:schemeClr w14:val="tx1"/>
                  </w14:solidFill>
                </w14:textFill>
              </w:rPr>
              <w:t>t/a。</w:t>
            </w:r>
          </w:p>
          <w:p w14:paraId="012B488A">
            <w:pPr>
              <w:ind w:firstLine="480"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）一般工业固体废物</w:t>
            </w:r>
          </w:p>
          <w:p w14:paraId="07633B51">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highlight w:val="none"/>
                <w:lang w:val="en-US" w:eastAsia="zh-CN" w:bidi="ar-SA"/>
                <w14:textFill>
                  <w14:solidFill>
                    <w14:schemeClr w14:val="tx1"/>
                  </w14:solidFill>
                </w14:textFill>
              </w:rPr>
              <w:t>①</w:t>
            </w:r>
            <w:r>
              <w:rPr>
                <w:rFonts w:hint="eastAsia" w:cs="Times New Roman"/>
                <w:b/>
                <w:bCs/>
                <w:color w:val="000000" w:themeColor="text1"/>
                <w:kern w:val="2"/>
                <w:sz w:val="24"/>
                <w:szCs w:val="21"/>
                <w:highlight w:val="none"/>
                <w:lang w:val="en-US" w:eastAsia="zh-CN" w:bidi="ar-SA"/>
                <w14:textFill>
                  <w14:solidFill>
                    <w14:schemeClr w14:val="tx1"/>
                  </w14:solidFill>
                </w14:textFill>
              </w:rPr>
              <w:t>废包装物</w:t>
            </w:r>
          </w:p>
          <w:p w14:paraId="7EA38226">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主要为项目原辅材料的包装材料，主要为</w:t>
            </w:r>
            <w:r>
              <w:rPr>
                <w:rFonts w:hint="eastAsia" w:cs="Times New Roman"/>
                <w:color w:val="000000" w:themeColor="text1"/>
                <w:kern w:val="2"/>
                <w:sz w:val="24"/>
                <w:szCs w:val="21"/>
                <w:highlight w:val="none"/>
                <w:lang w:val="en-US" w:eastAsia="zh-CN" w:bidi="ar-SA"/>
                <w14:textFill>
                  <w14:solidFill>
                    <w14:schemeClr w14:val="tx1"/>
                  </w14:solidFill>
                </w14:textFill>
              </w:rPr>
              <w:t>纸箱</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，产生量约为1t/a，属于一般工业固废，</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根据《固体废物分类与代码》（公告 2024年 第4号）判定，属于“SW17 可再生类废物-非特定行业-废</w:t>
            </w:r>
            <w:r>
              <w:rPr>
                <w:rFonts w:hint="eastAsia" w:cs="Times New Roman"/>
                <w:color w:val="000000" w:themeColor="text1"/>
                <w:kern w:val="2"/>
                <w:sz w:val="24"/>
                <w:szCs w:val="24"/>
                <w:highlight w:val="none"/>
                <w:lang w:val="en-US" w:eastAsia="zh-CN" w:bidi="ar-SA"/>
                <w14:textFill>
                  <w14:solidFill>
                    <w14:schemeClr w14:val="tx1"/>
                  </w14:solidFill>
                </w14:textFill>
              </w:rPr>
              <w:t>纸</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”，代码为900-00</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-S17，统一收集后</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外售至资源回收利用单位。</w:t>
            </w:r>
          </w:p>
          <w:p w14:paraId="7A9E033A">
            <w:pPr>
              <w:keepNext/>
              <w:keepLines/>
              <w:widowControl w:val="0"/>
              <w:numPr>
                <w:ilvl w:val="0"/>
                <w:numId w:val="0"/>
              </w:numPr>
              <w:spacing w:line="360" w:lineRule="auto"/>
              <w:ind w:firstLine="480" w:firstLineChars="200"/>
              <w:jc w:val="both"/>
              <w:outlineLvl w:val="5"/>
              <w:rPr>
                <w:rFonts w:hint="eastAsia" w:cs="Times New Roman"/>
                <w:color w:val="000000" w:themeColor="text1"/>
                <w:kern w:val="2"/>
                <w:sz w:val="24"/>
                <w:szCs w:val="21"/>
                <w:highlight w:val="none"/>
                <w:lang w:val="en-US" w:eastAsia="zh-CN" w:bidi="ar-SA"/>
                <w14:textFill>
                  <w14:solidFill>
                    <w14:schemeClr w14:val="tx1"/>
                  </w14:solidFill>
                </w14:textFill>
              </w:rPr>
            </w:pPr>
            <w:r>
              <w:rPr>
                <w:rFonts w:hint="eastAsia" w:cs="Times New Roman"/>
                <w:b/>
                <w:bCs/>
                <w:color w:val="000000" w:themeColor="text1"/>
                <w:kern w:val="2"/>
                <w:sz w:val="24"/>
                <w:szCs w:val="21"/>
                <w:highlight w:val="none"/>
                <w:lang w:val="en-US" w:eastAsia="zh-CN" w:bidi="ar-SA"/>
                <w14:textFill>
                  <w14:solidFill>
                    <w14:schemeClr w14:val="tx1"/>
                  </w14:solidFill>
                </w14:textFill>
              </w:rPr>
              <w:t>②废边角料及不合格品</w:t>
            </w:r>
          </w:p>
          <w:p w14:paraId="125B58B0">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Cs/>
                <w:color w:val="000000" w:themeColor="text1"/>
                <w:kern w:val="24"/>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1"/>
                <w:highlight w:val="none"/>
                <w:lang w:val="en-US" w:eastAsia="zh-CN" w:bidi="ar-SA"/>
                <w14:textFill>
                  <w14:solidFill>
                    <w14:schemeClr w14:val="tx1"/>
                  </w14:solidFill>
                </w14:textFill>
              </w:rPr>
              <w:t>项目废边角料及不合格品的产生量以硅胶使用量的10%计，即产生量为10t，根据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《固体废物分类与代码》（公告 2024年 第4号）判定，属于“SW17</w:t>
            </w:r>
            <w:r>
              <w:rPr>
                <w:rFonts w:hint="eastAsia" w:cs="Times New Roman"/>
                <w:color w:val="000000" w:themeColor="text1"/>
                <w:kern w:val="2"/>
                <w:sz w:val="24"/>
                <w:szCs w:val="24"/>
                <w:highlight w:val="none"/>
                <w:lang w:val="en-US" w:eastAsia="zh-CN" w:bidi="ar-SA"/>
                <w14:textFill>
                  <w14:solidFill>
                    <w14:schemeClr w14:val="tx1"/>
                  </w14:solidFill>
                </w14:textFill>
              </w:rPr>
              <w:t>可再生类废物-非特定行业-废橡胶，代码为900-006-S17，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统一收集后</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外售至资源回收利用单位</w:t>
            </w:r>
            <w:r>
              <w:rPr>
                <w:rFonts w:hint="eastAsia" w:cs="Times New Roman"/>
                <w:color w:val="000000" w:themeColor="text1"/>
                <w:kern w:val="2"/>
                <w:sz w:val="24"/>
                <w:szCs w:val="21"/>
                <w:highlight w:val="none"/>
                <w:lang w:val="en-US" w:eastAsia="zh-CN" w:bidi="ar-SA"/>
                <w14:textFill>
                  <w14:solidFill>
                    <w14:schemeClr w14:val="tx1"/>
                  </w14:solidFill>
                </w14:textFill>
              </w:rPr>
              <w:t>。</w:t>
            </w:r>
          </w:p>
          <w:p w14:paraId="7FEA35A2">
            <w:pPr>
              <w:keepNext/>
              <w:keepLines/>
              <w:numPr>
                <w:ilvl w:val="4"/>
                <w:numId w:val="0"/>
              </w:numPr>
              <w:tabs>
                <w:tab w:val="left" w:pos="0"/>
              </w:tabs>
              <w:ind w:firstLine="480" w:firstLineChars="200"/>
              <w:outlineLvl w:val="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）危险废物</w:t>
            </w:r>
          </w:p>
          <w:p w14:paraId="48347B6F">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危险废物类别根据《国家危险废物名录》（20</w:t>
            </w:r>
            <w:r>
              <w:rPr>
                <w:rFonts w:hint="eastAsia"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年版）进行辨识，分类收集后委托危险废物资质单位处理。</w:t>
            </w:r>
          </w:p>
          <w:p w14:paraId="4754526E">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b/>
                <w:bCs/>
                <w:color w:val="000000" w:themeColor="text1"/>
                <w:highlight w:val="none"/>
                <w14:textFill>
                  <w14:solidFill>
                    <w14:schemeClr w14:val="tx1"/>
                  </w14:solidFill>
                </w14:textFill>
              </w:rPr>
              <w:t>废</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活性炭</w:t>
            </w:r>
          </w:p>
          <w:p w14:paraId="685AC3A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项目废气治理设施在运行过程中，为保证活性炭的稳定吸附效果，活性炭吸附器中的活性炭在使用一定时间达到饱和后，吸附效率会逐步降低，为保证其净化效果必须定期进行更换。</w:t>
            </w:r>
          </w:p>
          <w:p w14:paraId="3CE3822C">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项目二级活性炭吸附装置去除有机废气的量</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1345"/>
              <w:gridCol w:w="2132"/>
              <w:gridCol w:w="1634"/>
              <w:gridCol w:w="2402"/>
              <w:gridCol w:w="1194"/>
            </w:tblGrid>
            <w:tr w14:paraId="3B18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40" w:hRule="atLeast"/>
                <w:jc w:val="center"/>
              </w:trPr>
              <w:tc>
                <w:tcPr>
                  <w:tcW w:w="772" w:type="pct"/>
                  <w:vAlign w:val="center"/>
                </w:tcPr>
                <w:p w14:paraId="10F026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产生工序</w:t>
                  </w:r>
                </w:p>
              </w:tc>
              <w:tc>
                <w:tcPr>
                  <w:tcW w:w="1224" w:type="pct"/>
                  <w:vAlign w:val="center"/>
                </w:tcPr>
                <w:p w14:paraId="48942F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有机废气收集量（t/a）</w:t>
                  </w:r>
                </w:p>
              </w:tc>
              <w:tc>
                <w:tcPr>
                  <w:tcW w:w="938" w:type="pct"/>
                  <w:vAlign w:val="center"/>
                </w:tcPr>
                <w:p w14:paraId="2AFDDB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二级活性炭处理效率</w:t>
                  </w:r>
                </w:p>
              </w:tc>
              <w:tc>
                <w:tcPr>
                  <w:tcW w:w="1379" w:type="pct"/>
                  <w:vAlign w:val="center"/>
                </w:tcPr>
                <w:p w14:paraId="051BB5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活性炭处理后的排放量（t/a</w:t>
                  </w:r>
                  <w:r>
                    <w:rPr>
                      <w:rFonts w:hint="eastAsia"/>
                      <w:b/>
                      <w:bCs/>
                      <w:color w:val="000000" w:themeColor="text1"/>
                      <w:sz w:val="21"/>
                      <w:szCs w:val="21"/>
                      <w:highlight w:val="none"/>
                      <w:lang w:val="en-US" w:eastAsia="zh-CN"/>
                      <w14:textFill>
                        <w14:solidFill>
                          <w14:schemeClr w14:val="tx1"/>
                        </w14:solidFill>
                      </w14:textFill>
                    </w:rPr>
                    <w:t>）</w:t>
                  </w:r>
                </w:p>
              </w:tc>
              <w:tc>
                <w:tcPr>
                  <w:tcW w:w="685" w:type="pct"/>
                  <w:vAlign w:val="center"/>
                </w:tcPr>
                <w:p w14:paraId="37DCB4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1"/>
                      <w:highlight w:val="none"/>
                      <w:lang w:val="en-US" w:eastAsia="zh-CN"/>
                      <w14:textFill>
                        <w14:solidFill>
                          <w14:schemeClr w14:val="tx1"/>
                        </w14:solidFill>
                      </w14:textFill>
                    </w:rPr>
                  </w:pPr>
                  <w:r>
                    <w:rPr>
                      <w:rFonts w:hint="default"/>
                      <w:b/>
                      <w:bCs/>
                      <w:color w:val="000000" w:themeColor="text1"/>
                      <w:sz w:val="21"/>
                      <w:szCs w:val="21"/>
                      <w:highlight w:val="none"/>
                      <w:lang w:val="en-US" w:eastAsia="zh-CN"/>
                      <w14:textFill>
                        <w14:solidFill>
                          <w14:schemeClr w14:val="tx1"/>
                        </w14:solidFill>
                      </w14:textFill>
                    </w:rPr>
                    <w:t>处理量（t/a）</w:t>
                  </w:r>
                </w:p>
              </w:tc>
            </w:tr>
            <w:tr w14:paraId="6C60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40" w:hRule="atLeast"/>
                <w:jc w:val="center"/>
              </w:trPr>
              <w:tc>
                <w:tcPr>
                  <w:tcW w:w="772" w:type="pct"/>
                  <w:vAlign w:val="center"/>
                </w:tcPr>
                <w:p w14:paraId="2F822D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cs="Times New Roman"/>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14:textFill>
                        <w14:solidFill>
                          <w14:schemeClr w14:val="tx1"/>
                        </w14:solidFill>
                      </w14:textFill>
                    </w:rPr>
                    <w:t>生产过程</w:t>
                  </w:r>
                </w:p>
              </w:tc>
              <w:tc>
                <w:tcPr>
                  <w:tcW w:w="1224" w:type="pct"/>
                  <w:vAlign w:val="center"/>
                </w:tcPr>
                <w:p w14:paraId="279A98A1">
                  <w:pPr>
                    <w:keepNext w:val="0"/>
                    <w:keepLines w:val="0"/>
                    <w:widowControl/>
                    <w:suppressLineNumbers w:val="0"/>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302</w:t>
                  </w:r>
                </w:p>
              </w:tc>
              <w:tc>
                <w:tcPr>
                  <w:tcW w:w="938" w:type="pct"/>
                  <w:vAlign w:val="center"/>
                </w:tcPr>
                <w:p w14:paraId="15C05D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w:t>
                  </w:r>
                </w:p>
              </w:tc>
              <w:tc>
                <w:tcPr>
                  <w:tcW w:w="1379" w:type="pct"/>
                  <w:vAlign w:val="center"/>
                </w:tcPr>
                <w:p w14:paraId="0EC57A04">
                  <w:pPr>
                    <w:keepNext w:val="0"/>
                    <w:keepLines w:val="0"/>
                    <w:widowControl/>
                    <w:suppressLineNumbers w:val="0"/>
                    <w:jc w:val="center"/>
                    <w:textAlignment w:val="center"/>
                    <w:rPr>
                      <w:rFonts w:hint="default"/>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060</w:t>
                  </w:r>
                </w:p>
              </w:tc>
              <w:tc>
                <w:tcPr>
                  <w:tcW w:w="685" w:type="pct"/>
                  <w:shd w:val="clear" w:color="auto" w:fill="auto"/>
                  <w:vAlign w:val="center"/>
                </w:tcPr>
                <w:p w14:paraId="7BD2D4B5">
                  <w:pPr>
                    <w:keepNext w:val="0"/>
                    <w:keepLines w:val="0"/>
                    <w:widowControl/>
                    <w:suppressLineNumbers w:val="0"/>
                    <w:jc w:val="center"/>
                    <w:textAlignment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0.242</w:t>
                  </w:r>
                </w:p>
              </w:tc>
            </w:tr>
          </w:tbl>
          <w:p w14:paraId="792298D1">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根据《广东省工业源挥发性有机物减排量核算方法》（</w:t>
            </w:r>
            <w:r>
              <w:rPr>
                <w:rFonts w:hint="eastAsia" w:cs="Times New Roman"/>
                <w:color w:val="000000" w:themeColor="text1"/>
                <w:kern w:val="2"/>
                <w:sz w:val="24"/>
                <w:szCs w:val="24"/>
                <w:highlight w:val="none"/>
                <w:lang w:val="en-US" w:eastAsia="zh-CN" w:bidi="ar-SA"/>
                <w14:textFill>
                  <w14:solidFill>
                    <w14:schemeClr w14:val="tx1"/>
                  </w14:solidFill>
                </w14:textFill>
              </w:rPr>
              <w:t>2023修订版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）的要求，建议直接将“活性炭年更换量×活性炭吸附比例”（活性炭年更换量优先以危废转移量为依据，吸附比例建议取值15%）作为废气处理设施VOCs削减量。本项目活性炭对有机废气的吸附比率取值</w:t>
            </w:r>
            <w:r>
              <w:rPr>
                <w:rFonts w:hint="eastAsia" w:cs="Times New Roman"/>
                <w:color w:val="000000" w:themeColor="text1"/>
                <w:kern w:val="2"/>
                <w:sz w:val="24"/>
                <w:szCs w:val="24"/>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%，项目吸附的有机废气量为</w:t>
            </w:r>
            <w:r>
              <w:rPr>
                <w:rFonts w:hint="eastAsia" w:cs="Times New Roman"/>
                <w:color w:val="000000" w:themeColor="text1"/>
                <w:kern w:val="2"/>
                <w:sz w:val="24"/>
                <w:szCs w:val="24"/>
                <w:highlight w:val="none"/>
                <w:lang w:val="en-US" w:eastAsia="zh-CN" w:bidi="ar-SA"/>
                <w14:textFill>
                  <w14:solidFill>
                    <w14:schemeClr w14:val="tx1"/>
                  </w14:solidFill>
                </w14:textFill>
              </w:rPr>
              <w:t>0.242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r>
              <w:rPr>
                <w:rFonts w:hint="eastAsia" w:cs="Times New Roman"/>
                <w:color w:val="000000" w:themeColor="text1"/>
                <w:kern w:val="2"/>
                <w:sz w:val="24"/>
                <w:szCs w:val="24"/>
                <w:highlight w:val="none"/>
                <w:lang w:val="en-US" w:eastAsia="zh-CN" w:bidi="ar-SA"/>
                <w14:textFill>
                  <w14:solidFill>
                    <w14:schemeClr w14:val="tx1"/>
                  </w14:solidFill>
                </w14:textFill>
              </w:rPr>
              <w:t>，则理论上需要活性炭1.613t/a</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1CAF3BE6">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项目活性炭吸附装置内活性炭托板尺寸：1.</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m×1.</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m×1m，每层面积尺寸：</w:t>
            </w:r>
            <w:r>
              <w:rPr>
                <w:rFonts w:hint="eastAsia" w:cs="Times New Roman"/>
                <w:color w:val="000000" w:themeColor="text1"/>
                <w:kern w:val="2"/>
                <w:sz w:val="24"/>
                <w:szCs w:val="24"/>
                <w:highlight w:val="none"/>
                <w:lang w:val="en-US" w:eastAsia="zh-CN" w:bidi="ar-SA"/>
                <w14:textFill>
                  <w14:solidFill>
                    <w14:schemeClr w14:val="tx1"/>
                  </w14:solidFill>
                </w14:textFill>
              </w:rPr>
              <w:t>1.8m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，活性炭填充高度为0.3m，填充密度0.45g/cm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，单套装置内设</w:t>
            </w:r>
            <w:r>
              <w:rPr>
                <w:rFonts w:hint="eastAsia"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层活性炭，则单套活性炭吸附装置的装填量为</w:t>
            </w:r>
            <w:r>
              <w:rPr>
                <w:rFonts w:hint="eastAsia" w:cs="Times New Roman"/>
                <w:color w:val="000000" w:themeColor="text1"/>
                <w:kern w:val="2"/>
                <w:sz w:val="24"/>
                <w:szCs w:val="24"/>
                <w:highlight w:val="none"/>
                <w:lang w:val="en-US" w:eastAsia="zh-CN" w:bidi="ar-SA"/>
                <w14:textFill>
                  <w14:solidFill>
                    <w14:schemeClr w14:val="tx1"/>
                  </w14:solidFill>
                </w14:textFill>
              </w:rPr>
              <w:t>0.972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t，拟每</w:t>
            </w:r>
            <w:r>
              <w:rPr>
                <w:rFonts w:hint="eastAsia" w:cs="Times New Roman"/>
                <w:color w:val="000000" w:themeColor="text1"/>
                <w:kern w:val="2"/>
                <w:sz w:val="24"/>
                <w:szCs w:val="24"/>
                <w:highlight w:val="none"/>
                <w:lang w:val="en-US" w:eastAsia="zh-CN" w:bidi="ar-SA"/>
                <w14:textFill>
                  <w14:solidFill>
                    <w14:schemeClr w14:val="tx1"/>
                  </w14:solidFill>
                </w14:textFill>
              </w:rPr>
              <w:t>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更换</w:t>
            </w:r>
            <w:r>
              <w:rPr>
                <w:rFonts w:hint="eastAsia"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次，每年更换活性炭质量（含被吸附的有机废气量）为约</w:t>
            </w:r>
            <w:r>
              <w:rPr>
                <w:rFonts w:hint="eastAsia" w:cs="Times New Roman"/>
                <w:color w:val="000000" w:themeColor="text1"/>
                <w:kern w:val="2"/>
                <w:sz w:val="24"/>
                <w:szCs w:val="24"/>
                <w:highlight w:val="none"/>
                <w:lang w:val="en-US" w:eastAsia="zh-CN" w:bidi="ar-SA"/>
                <w14:textFill>
                  <w14:solidFill>
                    <w14:schemeClr w14:val="tx1"/>
                  </w14:solidFill>
                </w14:textFill>
              </w:rPr>
              <w:t>0.972×4</w:t>
            </w:r>
            <w:r>
              <w:rPr>
                <w:rFonts w:hint="default"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0.242</w:t>
            </w:r>
            <w:r>
              <w:rPr>
                <w:rFonts w:hint="default"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4.130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t。项目实际用炭量大于理论需求量，故该措施可行。</w:t>
            </w:r>
            <w:r>
              <w:rPr>
                <w:rFonts w:hint="eastAsia" w:cs="Times New Roman"/>
                <w:color w:val="000000" w:themeColor="text1"/>
                <w:highlight w:val="none"/>
                <w:lang w:eastAsia="zh-CN"/>
                <w14:textFill>
                  <w14:solidFill>
                    <w14:schemeClr w14:val="tx1"/>
                  </w14:solidFill>
                </w14:textFill>
              </w:rPr>
              <w:t>根据《国家危险废物名录》（2025年版）</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szCs w:val="24"/>
                <w:highlight w:val="none"/>
                <w14:textFill>
                  <w14:solidFill>
                    <w14:schemeClr w14:val="tx1"/>
                  </w14:solidFill>
                </w14:textFill>
              </w:rPr>
              <w:t>废</w:t>
            </w:r>
            <w:r>
              <w:rPr>
                <w:rFonts w:hint="default" w:ascii="Times New Roman" w:hAnsi="Times New Roman" w:eastAsia="宋体" w:cs="Times New Roman"/>
                <w:color w:val="000000" w:themeColor="text1"/>
                <w:szCs w:val="24"/>
                <w:highlight w:val="none"/>
                <w:lang w:val="en-US" w:eastAsia="zh-CN"/>
                <w14:textFill>
                  <w14:solidFill>
                    <w14:schemeClr w14:val="tx1"/>
                  </w14:solidFill>
                </w14:textFill>
              </w:rPr>
              <w:t>活性炭</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default" w:ascii="Times New Roman" w:hAnsi="Times New Roman" w:eastAsia="宋体" w:cs="Times New Roman"/>
                <w:color w:val="000000" w:themeColor="text1"/>
                <w:highlight w:val="none"/>
                <w14:textFill>
                  <w14:solidFill>
                    <w14:schemeClr w14:val="tx1"/>
                  </w14:solidFill>
                </w14:textFill>
              </w:rPr>
              <w:t>HW</w:t>
            </w:r>
            <w:r>
              <w:rPr>
                <w:rFonts w:hint="default" w:ascii="Times New Roman" w:hAnsi="Times New Roman" w:eastAsia="宋体" w:cs="Times New Roman"/>
                <w:color w:val="000000" w:themeColor="text1"/>
                <w:highlight w:val="none"/>
                <w:lang w:val="en-US" w:eastAsia="zh-CN"/>
                <w14:textFill>
                  <w14:solidFill>
                    <w14:schemeClr w14:val="tx1"/>
                  </w14:solidFill>
                </w14:textFill>
              </w:rPr>
              <w:t>49其他废物”分类</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其</w:t>
            </w:r>
            <w:r>
              <w:rPr>
                <w:rFonts w:hint="default" w:ascii="Times New Roman" w:hAnsi="Times New Roman" w:eastAsia="宋体" w:cs="Times New Roman"/>
                <w:color w:val="000000" w:themeColor="text1"/>
                <w:highlight w:val="none"/>
                <w14:textFill>
                  <w14:solidFill>
                    <w14:schemeClr w14:val="tx1"/>
                  </w14:solidFill>
                </w14:textFill>
              </w:rPr>
              <w:t>代码</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为900-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039</w:t>
            </w:r>
            <w:r>
              <w:rPr>
                <w:rFonts w:hint="default" w:ascii="Times New Roman" w:hAnsi="Times New Roman" w:eastAsia="宋体" w:cs="Times New Roman"/>
                <w:color w:val="000000" w:themeColor="text1"/>
                <w:highlight w:val="none"/>
                <w:lang w:val="en-US" w:eastAsia="zh-CN"/>
                <w14:textFill>
                  <w14:solidFill>
                    <w14:schemeClr w14:val="tx1"/>
                  </w14:solidFill>
                </w14:textFill>
              </w:rPr>
              <w:t>-49，属于</w:t>
            </w:r>
            <w:r>
              <w:rPr>
                <w:rFonts w:hint="default" w:ascii="Times New Roman" w:hAnsi="Times New Roman" w:eastAsia="宋体" w:cs="Times New Roman"/>
                <w:color w:val="000000" w:themeColor="text1"/>
                <w:highlight w:val="none"/>
                <w:lang w:eastAsia="zh-CN"/>
                <w14:textFill>
                  <w14:solidFill>
                    <w14:schemeClr w14:val="tx1"/>
                  </w14:solidFill>
                </w14:textFill>
              </w:rPr>
              <w:t>“烟气、</w:t>
            </w:r>
            <w:r>
              <w:rPr>
                <w:rFonts w:hint="default" w:ascii="Times New Roman" w:hAnsi="Times New Roman" w:eastAsia="宋体" w:cs="Times New Roman"/>
                <w:color w:val="000000" w:themeColor="text1"/>
                <w:highlight w:val="none"/>
                <w:lang w:val="en-US" w:eastAsia="zh-CN"/>
                <w14:textFill>
                  <w14:solidFill>
                    <w14:schemeClr w14:val="tx1"/>
                  </w14:solidFill>
                </w14:textFill>
              </w:rPr>
              <w:t>VOCs</w:t>
            </w:r>
            <w:r>
              <w:rPr>
                <w:rFonts w:hint="default" w:ascii="Times New Roman" w:hAnsi="Times New Roman" w:eastAsia="宋体" w:cs="Times New Roman"/>
                <w:color w:val="000000" w:themeColor="text1"/>
                <w:highlight w:val="none"/>
                <w:lang w:eastAsia="zh-CN"/>
                <w14:textFill>
                  <w14:solidFill>
                    <w14:schemeClr w14:val="tx1"/>
                  </w14:solidFill>
                </w14:textFill>
              </w:rPr>
              <w:t>治理过程（不包括餐饮行业油烟治理过程）产生的废活性炭，化学原料和化学制品脱色（不包括有机合成食品添加剂脱色）、除杂、净化过程产生的废活性炭（不包括</w:t>
            </w:r>
            <w:r>
              <w:rPr>
                <w:rFonts w:hint="default" w:ascii="Times New Roman" w:hAnsi="Times New Roman" w:eastAsia="宋体" w:cs="Times New Roman"/>
                <w:color w:val="000000" w:themeColor="text1"/>
                <w:highlight w:val="none"/>
                <w:lang w:val="en-US" w:eastAsia="zh-CN"/>
                <w14:textFill>
                  <w14:solidFill>
                    <w14:schemeClr w14:val="tx1"/>
                  </w14:solidFill>
                </w14:textFill>
              </w:rPr>
              <w:t>900-405-06</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772-005-18</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261-053-29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265-002-29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384-003-29</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387-001-29</w:t>
            </w:r>
            <w:r>
              <w:rPr>
                <w:rFonts w:hint="default" w:ascii="Times New Roman" w:hAnsi="Times New Roman" w:eastAsia="宋体" w:cs="Times New Roman"/>
                <w:color w:val="000000" w:themeColor="text1"/>
                <w:highlight w:val="none"/>
                <w:lang w:eastAsia="zh-CN"/>
                <w14:textFill>
                  <w14:solidFill>
                    <w14:schemeClr w14:val="tx1"/>
                  </w14:solidFill>
                </w14:textFill>
              </w:rPr>
              <w:t>类废物）</w:t>
            </w:r>
            <w:r>
              <w:rPr>
                <w:rFonts w:hint="default" w:ascii="Times New Roman" w:hAnsi="Times New Roman" w:eastAsia="宋体" w:cs="Times New Roman"/>
                <w:color w:val="000000" w:themeColor="text1"/>
                <w:highlight w:val="none"/>
                <w14:textFill>
                  <w14:solidFill>
                    <w14:schemeClr w14:val="tx1"/>
                  </w14:solidFill>
                </w14:textFill>
              </w:rPr>
              <w:t>”，经统一收集后交由有危险废物处理资质的单位处理。</w:t>
            </w:r>
          </w:p>
          <w:p w14:paraId="2210C506">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废原料桶</w:t>
            </w:r>
          </w:p>
          <w:p w14:paraId="1485594C">
            <w:pPr>
              <w:keepNext/>
              <w:keepLines/>
              <w:pageBreakBefore w:val="0"/>
              <w:widowControl/>
              <w:numPr>
                <w:ilvl w:val="5"/>
                <w:numId w:val="0"/>
              </w:numPr>
              <w:kinsoku/>
              <w:wordWrap w:val="0"/>
              <w:overflowPunct/>
              <w:topLinePunct w:val="0"/>
              <w:autoSpaceDE/>
              <w:autoSpaceDN/>
              <w:bidi w:val="0"/>
              <w:adjustRightInd/>
              <w:snapToGrid/>
              <w:spacing w:line="360" w:lineRule="auto"/>
              <w:ind w:firstLine="480" w:firstLineChars="200"/>
              <w:jc w:val="both"/>
              <w:textAlignment w:val="auto"/>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本项目生产过程使用的液态原辅材料均为桶式包装，按其理化性质区分，桶内沾染物主要为</w:t>
            </w:r>
            <w:r>
              <w:rPr>
                <w:rFonts w:hint="eastAsia" w:cs="Times New Roman"/>
                <w:color w:val="000000" w:themeColor="text1"/>
                <w:kern w:val="2"/>
                <w:sz w:val="24"/>
                <w:szCs w:val="21"/>
                <w:highlight w:val="none"/>
                <w:lang w:val="en-US" w:eastAsia="zh-CN" w:bidi="ar-SA"/>
                <w14:textFill>
                  <w14:solidFill>
                    <w14:schemeClr w14:val="tx1"/>
                  </w14:solidFill>
                </w14:textFill>
              </w:rPr>
              <w:t>有机溶剂</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，原料桶规格有：</w:t>
            </w:r>
            <w:r>
              <w:rPr>
                <w:rFonts w:hint="eastAsia" w:cs="Times New Roman"/>
                <w:color w:val="000000" w:themeColor="text1"/>
                <w:kern w:val="2"/>
                <w:sz w:val="24"/>
                <w:szCs w:val="21"/>
                <w:highlight w:val="none"/>
                <w:lang w:val="en-US" w:eastAsia="zh-CN" w:bidi="ar-SA"/>
                <w14:textFill>
                  <w14:solidFill>
                    <w14:schemeClr w14:val="tx1"/>
                  </w14:solidFill>
                </w14:textFill>
              </w:rPr>
              <w:t>油墨</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kg/桶，空桶按</w:t>
            </w:r>
            <w:r>
              <w:rPr>
                <w:rFonts w:hint="eastAsia" w:cs="Times New Roman"/>
                <w:color w:val="000000" w:themeColor="text1"/>
                <w:kern w:val="2"/>
                <w:sz w:val="24"/>
                <w:szCs w:val="21"/>
                <w:highlight w:val="none"/>
                <w:lang w:val="en-US" w:eastAsia="zh-CN" w:bidi="ar-SA"/>
                <w14:textFill>
                  <w14:solidFill>
                    <w14:schemeClr w14:val="tx1"/>
                  </w14:solidFill>
                </w14:textFill>
              </w:rPr>
              <w:t>0.2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kg/个计；</w:t>
            </w:r>
            <w:r>
              <w:rPr>
                <w:rFonts w:hint="eastAsia" w:cs="Times New Roman"/>
                <w:color w:val="000000" w:themeColor="text1"/>
                <w:kern w:val="2"/>
                <w:sz w:val="24"/>
                <w:szCs w:val="21"/>
                <w:highlight w:val="none"/>
                <w:lang w:val="en-US" w:eastAsia="zh-CN" w:bidi="ar-SA"/>
                <w14:textFill>
                  <w14:solidFill>
                    <w14:schemeClr w14:val="tx1"/>
                  </w14:solidFill>
                </w14:textFill>
              </w:rPr>
              <w:t>半水基清洗剂</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kg/桶</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空桶按</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0.</w:t>
            </w:r>
            <w:r>
              <w:rPr>
                <w:rFonts w:hint="eastAsia" w:cs="Times New Roman"/>
                <w:color w:val="000000" w:themeColor="text1"/>
                <w:kern w:val="2"/>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kg/个计。则本项目产生废原料桶约为：</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0.2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0.</w:t>
            </w:r>
            <w:r>
              <w:rPr>
                <w:rFonts w:hint="eastAsia" w:cs="Times New Roman"/>
                <w:color w:val="000000" w:themeColor="text1"/>
                <w:kern w:val="2"/>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kg</w:t>
            </w:r>
            <w:r>
              <w:rPr>
                <w:rFonts w:hint="eastAsia" w:cs="Times New Roman"/>
                <w:color w:val="000000" w:themeColor="text1"/>
                <w:kern w:val="2"/>
                <w:sz w:val="24"/>
                <w:szCs w:val="21"/>
                <w:highlight w:val="none"/>
                <w:lang w:val="en-US" w:eastAsia="zh-CN" w:bidi="ar-SA"/>
                <w14:textFill>
                  <w14:solidFill>
                    <w14:schemeClr w14:val="tx1"/>
                  </w14:solidFill>
                </w14:textFill>
              </w:rPr>
              <w:t>≈0.003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t/a。</w:t>
            </w:r>
          </w:p>
          <w:p w14:paraId="56CA2BE9">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eastAsia" w:cs="Times New Roman"/>
                <w:color w:val="000000" w:themeColor="text1"/>
                <w:kern w:val="2"/>
                <w:sz w:val="24"/>
                <w:szCs w:val="21"/>
                <w:highlight w:val="none"/>
                <w:lang w:val="en-US" w:eastAsia="zh-CN" w:bidi="ar-SA"/>
                <w14:textFill>
                  <w14:solidFill>
                    <w14:schemeClr w14:val="tx1"/>
                  </w14:solidFill>
                </w14:textFill>
              </w:rPr>
              <w:t>根据《国家危险废物名录》（2025年版）</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废原料桶按</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“HW49其他废物”分类，其代码为900-041-49，属于“含有或沾染毒性、感染性危险废物的废弃包装物、容器、过滤吸附介质”，经统一收集后交由有危险废物处理资质的单位处理。</w:t>
            </w:r>
          </w:p>
          <w:p w14:paraId="2F2933D5">
            <w:pPr>
              <w:keepNext/>
              <w:keepLines/>
              <w:widowControl w:val="0"/>
              <w:numPr>
                <w:ilvl w:val="5"/>
                <w:numId w:val="0"/>
              </w:numPr>
              <w:spacing w:line="360" w:lineRule="auto"/>
              <w:ind w:firstLine="480" w:firstLineChars="200"/>
              <w:jc w:val="both"/>
              <w:outlineLvl w:val="5"/>
              <w:rPr>
                <w:rFonts w:hint="eastAsia" w:cs="Times New Roman"/>
                <w:b/>
                <w:bCs/>
                <w:color w:val="000000" w:themeColor="text1"/>
                <w:kern w:val="2"/>
                <w:sz w:val="24"/>
                <w:szCs w:val="24"/>
                <w:highlight w:val="none"/>
                <w:lang w:val="en-US" w:eastAsia="zh-CN" w:bidi="ar-SA"/>
                <w14:textFill>
                  <w14:solidFill>
                    <w14:schemeClr w14:val="tx1"/>
                  </w14:solidFill>
                </w14:textFill>
              </w:rPr>
            </w:pPr>
            <w:bookmarkStart w:id="115" w:name="_Ref10519"/>
            <w:r>
              <w:rPr>
                <w:rFonts w:hint="eastAsia" w:cs="Times New Roman"/>
                <w:b/>
                <w:bCs/>
                <w:color w:val="000000" w:themeColor="text1"/>
                <w:szCs w:val="24"/>
                <w:highlight w:val="none"/>
                <w:lang w:val="en-US" w:eastAsia="zh-CN"/>
                <w14:textFill>
                  <w14:solidFill>
                    <w14:schemeClr w14:val="tx1"/>
                  </w14:solidFill>
                </w14:textFill>
              </w:rPr>
              <w:t>③</w:t>
            </w:r>
            <w:r>
              <w:rPr>
                <w:rFonts w:hint="eastAsia" w:cs="Times New Roman"/>
                <w:b/>
                <w:bCs/>
                <w:color w:val="000000" w:themeColor="text1"/>
                <w:kern w:val="2"/>
                <w:sz w:val="24"/>
                <w:szCs w:val="24"/>
                <w:highlight w:val="none"/>
                <w:lang w:val="en-US" w:eastAsia="zh-CN" w:bidi="ar-SA"/>
                <w14:textFill>
                  <w14:solidFill>
                    <w14:schemeClr w14:val="tx1"/>
                  </w14:solidFill>
                </w14:textFill>
              </w:rPr>
              <w:t>钢板、胶头清洗废水</w:t>
            </w:r>
          </w:p>
          <w:p w14:paraId="089403EF">
            <w:pPr>
              <w:pStyle w:val="2"/>
              <w:keepNext w:val="0"/>
              <w:keepLines w:val="0"/>
              <w:suppressLineNumbers w:val="0"/>
              <w:spacing w:before="0" w:beforeAutospacing="0" w:after="0" w:afterAutospacing="0" w:line="360" w:lineRule="auto"/>
              <w:ind w:left="0" w:right="0" w:firstLine="480" w:firstLineChars="200"/>
              <w:rPr>
                <w:rFonts w:hint="eastAsia"/>
                <w:bCs/>
                <w:color w:val="000000" w:themeColor="text1"/>
                <w:spacing w:val="-10"/>
                <w:sz w:val="24"/>
                <w:highlight w:val="none"/>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根据前文计算，钢板</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、胶头清洗废水年产生量为0.594t/a，</w:t>
            </w:r>
            <w:r>
              <w:rPr>
                <w:rFonts w:hint="default" w:ascii="Times New Roman" w:hAnsi="Times New Roman" w:cs="Times New Roman"/>
                <w:bCs/>
                <w:color w:val="000000" w:themeColor="text1"/>
                <w:spacing w:val="-10"/>
                <w:sz w:val="24"/>
                <w:highlight w:val="none"/>
                <w:lang w:val="en-US" w:eastAsia="zh-CN"/>
                <w14:textFill>
                  <w14:solidFill>
                    <w14:schemeClr w14:val="tx1"/>
                  </w14:solidFill>
                </w14:textFill>
              </w:rPr>
              <w:t>清洗废水中成分复杂，</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根据《国家危险废物名录》（2025年版）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钢板、胶头清洗</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废水的废物类别为 HW12 染料、涂料废物，废物代码为 </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900-299-12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Cs/>
                <w:color w:val="000000" w:themeColor="text1"/>
                <w:spacing w:val="-10"/>
                <w:sz w:val="24"/>
                <w:highlight w:val="none"/>
                <w:lang w:val="en-US" w:eastAsia="zh-CN"/>
                <w14:textFill>
                  <w14:solidFill>
                    <w14:schemeClr w14:val="tx1"/>
                  </w14:solidFill>
                </w14:textFill>
              </w:rPr>
              <w:t>按危</w:t>
            </w:r>
            <w:r>
              <w:rPr>
                <w:rFonts w:hint="eastAsia"/>
                <w:bCs/>
                <w:color w:val="000000" w:themeColor="text1"/>
                <w:spacing w:val="-10"/>
                <w:sz w:val="24"/>
                <w:highlight w:val="none"/>
                <w:lang w:val="en-US" w:eastAsia="zh-CN"/>
                <w14:textFill>
                  <w14:solidFill>
                    <w14:schemeClr w14:val="tx1"/>
                  </w14:solidFill>
                </w14:textFill>
              </w:rPr>
              <w:t>险废物交由有危险废物处理资质单位处理</w:t>
            </w:r>
            <w:r>
              <w:rPr>
                <w:rFonts w:hint="eastAsia"/>
                <w:bCs/>
                <w:color w:val="000000" w:themeColor="text1"/>
                <w:spacing w:val="-10"/>
                <w:sz w:val="24"/>
                <w:highlight w:val="none"/>
                <w14:textFill>
                  <w14:solidFill>
                    <w14:schemeClr w14:val="tx1"/>
                  </w14:solidFill>
                </w14:textFill>
              </w:rPr>
              <w:t>。</w:t>
            </w:r>
          </w:p>
          <w:p w14:paraId="2CAE2EE7">
            <w:pPr>
              <w:keepNext w:val="0"/>
              <w:keepLines w:val="0"/>
              <w:suppressLineNumbers w:val="0"/>
              <w:spacing w:before="0" w:beforeAutospacing="0" w:after="0" w:afterAutospacing="0" w:line="360" w:lineRule="auto"/>
              <w:ind w:left="0" w:right="0" w:firstLine="44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b/>
                <w:bCs w:val="0"/>
                <w:color w:val="000000" w:themeColor="text1"/>
                <w:spacing w:val="-10"/>
                <w:sz w:val="24"/>
                <w:highlight w:val="none"/>
                <w:lang w:val="en-US" w:eastAsia="zh-CN"/>
                <w14:textFill>
                  <w14:solidFill>
                    <w14:schemeClr w14:val="tx1"/>
                  </w14:solidFill>
                </w14:textFill>
              </w:rPr>
              <w:t>④</w:t>
            </w:r>
            <w:r>
              <w:rPr>
                <w:rFonts w:hint="default" w:ascii="Times New Roman" w:hAnsi="Times New Roman" w:cs="Times New Roman"/>
                <w:b/>
                <w:bCs/>
                <w:color w:val="000000" w:themeColor="text1"/>
                <w:sz w:val="24"/>
                <w:szCs w:val="24"/>
                <w:highlight w:val="none"/>
                <w14:textFill>
                  <w14:solidFill>
                    <w14:schemeClr w14:val="tx1"/>
                  </w14:solidFill>
                </w14:textFill>
              </w:rPr>
              <w:t>废机油桶</w:t>
            </w:r>
          </w:p>
          <w:p w14:paraId="2BC65C7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保养设备设施会用到机油，用量很少，润滑油规格有：200L/桶（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本项目使用4</w:t>
            </w:r>
            <w:r>
              <w:rPr>
                <w:rFonts w:hint="default" w:ascii="Times New Roman" w:hAnsi="Times New Roman" w:cs="Times New Roman"/>
                <w:color w:val="000000" w:themeColor="text1"/>
                <w:sz w:val="24"/>
                <w:szCs w:val="24"/>
                <w:highlight w:val="none"/>
                <w14:textFill>
                  <w14:solidFill>
                    <w14:schemeClr w14:val="tx1"/>
                  </w14:solidFill>
                </w14:textFill>
              </w:rPr>
              <w:t>桶），润滑油空桶按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kg/桶计算。则本项目产生废机油空桶约0.0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2t</w:t>
            </w:r>
            <w:r>
              <w:rPr>
                <w:rFonts w:hint="default" w:ascii="Times New Roman" w:hAnsi="Times New Roman" w:cs="Times New Roman"/>
                <w:color w:val="000000" w:themeColor="text1"/>
                <w:sz w:val="24"/>
                <w:szCs w:val="24"/>
                <w:highlight w:val="none"/>
                <w14:textFill>
                  <w14:solidFill>
                    <w14:schemeClr w14:val="tx1"/>
                  </w14:solidFill>
                </w14:textFill>
              </w:rPr>
              <w:t>/a。根据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，废机油空桶属于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中编号为HW08废矿物油与含矿物油废物，废物代码900-249-08</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其他生产、销售、使用过程中产生的废矿物油及沾染矿物油的废弃包装物”危险废物，经统一收集后交由有危险废物处理资质的单位处理。</w:t>
            </w:r>
          </w:p>
          <w:p w14:paraId="1F85CA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⑤</w:t>
            </w:r>
            <w:r>
              <w:rPr>
                <w:rFonts w:hint="default" w:ascii="Times New Roman" w:hAnsi="Times New Roman" w:cs="Times New Roman"/>
                <w:b/>
                <w:bCs/>
                <w:color w:val="000000" w:themeColor="text1"/>
                <w:sz w:val="24"/>
                <w:szCs w:val="24"/>
                <w:highlight w:val="none"/>
                <w14:textFill>
                  <w14:solidFill>
                    <w14:schemeClr w14:val="tx1"/>
                  </w14:solidFill>
                </w14:textFill>
              </w:rPr>
              <w:t>废机油</w:t>
            </w:r>
          </w:p>
          <w:p w14:paraId="530540E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本项目在进行设备保养的过程中会产生废机油，废机油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年产量约为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0.</w:t>
            </w:r>
            <w:r>
              <w:rPr>
                <w:rFonts w:hint="eastAsia" w:asci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0t/a</w:t>
            </w: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，废机油属于“HW08废矿物油与含矿物油废物”类别中代码为900-249-08“其他生产、销售、使用过程中产生的废矿物油及沾染矿物油的废弃包装物”危险废物，经统一收集后交由有危险废物处理资质的单位处理。</w:t>
            </w:r>
          </w:p>
          <w:p w14:paraId="547CE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⑥</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废含油抹布</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手套</w:t>
            </w:r>
          </w:p>
          <w:p w14:paraId="1C243905">
            <w:pPr>
              <w:pStyle w:val="2"/>
              <w:keepNext w:val="0"/>
              <w:keepLines w:val="0"/>
              <w:suppressLineNumbers w:val="0"/>
              <w:spacing w:before="0" w:beforeAutospacing="0" w:after="0" w:afterAutospacing="0" w:line="360" w:lineRule="auto"/>
              <w:ind w:left="0" w:right="0" w:firstLine="480" w:firstLineChars="200"/>
              <w:rPr>
                <w:rFonts w:hint="default"/>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生产过程中会产生一定量的含矿物油废抹布及手套，根据建设单位提供的资料，其产生量约0.05t/a，根据《国家危险废物名录》（2025年版），其废物类别属于：HW49其他废物，废物代码：900-041-49，拟收集于危废暂存间定期交由有危险废物处置资质的单位进行处置。</w:t>
            </w:r>
          </w:p>
          <w:bookmarkEnd w:id="115"/>
          <w:p w14:paraId="4C2035D8">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固体</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废物污染源源强核算结果及相关参数一览表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7"/>
              <w:gridCol w:w="834"/>
              <w:gridCol w:w="1697"/>
              <w:gridCol w:w="1216"/>
              <w:gridCol w:w="549"/>
              <w:gridCol w:w="561"/>
              <w:gridCol w:w="845"/>
              <w:gridCol w:w="1273"/>
              <w:gridCol w:w="1023"/>
            </w:tblGrid>
            <w:tr w14:paraId="13F5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09EC49A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工序/生产线</w:t>
                  </w:r>
                </w:p>
              </w:tc>
              <w:tc>
                <w:tcPr>
                  <w:tcW w:w="479" w:type="pct"/>
                  <w:vMerge w:val="restart"/>
                  <w:vAlign w:val="center"/>
                </w:tcPr>
                <w:p w14:paraId="3766C0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装置</w:t>
                  </w:r>
                </w:p>
              </w:tc>
              <w:tc>
                <w:tcPr>
                  <w:tcW w:w="974" w:type="pct"/>
                  <w:vMerge w:val="restart"/>
                  <w:vAlign w:val="center"/>
                </w:tcPr>
                <w:p w14:paraId="0E52C6F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固体废物名称</w:t>
                  </w:r>
                </w:p>
              </w:tc>
              <w:tc>
                <w:tcPr>
                  <w:tcW w:w="698" w:type="pct"/>
                  <w:vMerge w:val="restart"/>
                  <w:vAlign w:val="center"/>
                </w:tcPr>
                <w:p w14:paraId="0AD171A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代码</w:t>
                  </w:r>
                </w:p>
              </w:tc>
              <w:tc>
                <w:tcPr>
                  <w:tcW w:w="315" w:type="pct"/>
                  <w:vMerge w:val="restart"/>
                  <w:vAlign w:val="center"/>
                </w:tcPr>
                <w:p w14:paraId="10A4E3C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固废属性</w:t>
                  </w:r>
                </w:p>
              </w:tc>
              <w:tc>
                <w:tcPr>
                  <w:tcW w:w="807" w:type="pct"/>
                  <w:gridSpan w:val="2"/>
                  <w:vAlign w:val="center"/>
                </w:tcPr>
                <w:p w14:paraId="1ABB72F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产生情况</w:t>
                  </w:r>
                </w:p>
              </w:tc>
              <w:tc>
                <w:tcPr>
                  <w:tcW w:w="1318" w:type="pct"/>
                  <w:gridSpan w:val="2"/>
                  <w:vAlign w:val="center"/>
                </w:tcPr>
                <w:p w14:paraId="72BAC17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处置措施</w:t>
                  </w:r>
                </w:p>
              </w:tc>
            </w:tr>
            <w:tr w14:paraId="2CF8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3719FB7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465C3C7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Merge w:val="continue"/>
                  <w:vAlign w:val="center"/>
                </w:tcPr>
                <w:p w14:paraId="31D5383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98" w:type="pct"/>
                  <w:vMerge w:val="continue"/>
                  <w:vAlign w:val="center"/>
                </w:tcPr>
                <w:p w14:paraId="694BC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15" w:type="pct"/>
                  <w:vMerge w:val="continue"/>
                  <w:vAlign w:val="center"/>
                </w:tcPr>
                <w:p w14:paraId="564F85A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Align w:val="center"/>
                </w:tcPr>
                <w:p w14:paraId="317D313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核算方法</w:t>
                  </w:r>
                </w:p>
              </w:tc>
              <w:tc>
                <w:tcPr>
                  <w:tcW w:w="485" w:type="pct"/>
                  <w:vAlign w:val="center"/>
                </w:tcPr>
                <w:p w14:paraId="7695A7E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w:t>
                  </w:r>
                </w:p>
                <w:p w14:paraId="633013F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t/a</w:t>
                  </w:r>
                </w:p>
              </w:tc>
              <w:tc>
                <w:tcPr>
                  <w:tcW w:w="731" w:type="pct"/>
                  <w:vAlign w:val="center"/>
                </w:tcPr>
                <w:p w14:paraId="163E2D0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工艺</w:t>
                  </w:r>
                </w:p>
              </w:tc>
              <w:tc>
                <w:tcPr>
                  <w:tcW w:w="587" w:type="pct"/>
                  <w:vAlign w:val="center"/>
                </w:tcPr>
                <w:p w14:paraId="42A812B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处置量t/a</w:t>
                  </w:r>
                </w:p>
              </w:tc>
            </w:tr>
            <w:tr w14:paraId="7520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Align w:val="center"/>
                </w:tcPr>
                <w:p w14:paraId="6CD01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办公生活</w:t>
                  </w:r>
                </w:p>
              </w:tc>
              <w:tc>
                <w:tcPr>
                  <w:tcW w:w="479" w:type="pct"/>
                  <w:vAlign w:val="center"/>
                </w:tcPr>
                <w:p w14:paraId="2AE0532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垃圾桶</w:t>
                  </w:r>
                </w:p>
              </w:tc>
              <w:tc>
                <w:tcPr>
                  <w:tcW w:w="974" w:type="pct"/>
                  <w:vAlign w:val="center"/>
                </w:tcPr>
                <w:p w14:paraId="2DFF722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生活垃圾</w:t>
                  </w:r>
                </w:p>
              </w:tc>
              <w:tc>
                <w:tcPr>
                  <w:tcW w:w="698" w:type="pct"/>
                  <w:vAlign w:val="center"/>
                </w:tcPr>
                <w:p w14:paraId="38AECA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315" w:type="pct"/>
                  <w:vAlign w:val="center"/>
                </w:tcPr>
                <w:p w14:paraId="7020254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322" w:type="pct"/>
                  <w:vMerge w:val="restart"/>
                  <w:vAlign w:val="center"/>
                </w:tcPr>
                <w:p w14:paraId="4DB0242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产污系数法</w:t>
                  </w:r>
                </w:p>
              </w:tc>
              <w:tc>
                <w:tcPr>
                  <w:tcW w:w="485" w:type="pct"/>
                  <w:vAlign w:val="center"/>
                </w:tcPr>
                <w:p w14:paraId="16928EFC">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731" w:type="pct"/>
                  <w:vAlign w:val="center"/>
                </w:tcPr>
                <w:p w14:paraId="7C8E81E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交由环卫部门清运</w:t>
                  </w:r>
                </w:p>
              </w:tc>
              <w:tc>
                <w:tcPr>
                  <w:tcW w:w="587" w:type="pct"/>
                  <w:vAlign w:val="center"/>
                </w:tcPr>
                <w:p w14:paraId="4C826C8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r>
            <w:tr w14:paraId="6AB1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105B6F6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生产过程</w:t>
                  </w:r>
                </w:p>
              </w:tc>
              <w:tc>
                <w:tcPr>
                  <w:tcW w:w="479" w:type="pct"/>
                  <w:vAlign w:val="center"/>
                </w:tcPr>
                <w:p w14:paraId="48165AC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p>
              </w:tc>
              <w:tc>
                <w:tcPr>
                  <w:tcW w:w="974" w:type="pct"/>
                  <w:vAlign w:val="center"/>
                </w:tcPr>
                <w:p w14:paraId="44AC657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废包装物</w:t>
                  </w:r>
                </w:p>
              </w:tc>
              <w:tc>
                <w:tcPr>
                  <w:tcW w:w="698" w:type="pct"/>
                  <w:vAlign w:val="center"/>
                </w:tcPr>
                <w:p w14:paraId="384822C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900-00</w:t>
                  </w:r>
                  <w:r>
                    <w:rPr>
                      <w:rFonts w:hint="eastAsia" w:cs="Times New Roman"/>
                      <w:color w:val="000000" w:themeColor="text1"/>
                      <w:position w:val="-1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S1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7</w:t>
                  </w:r>
                </w:p>
              </w:tc>
              <w:tc>
                <w:tcPr>
                  <w:tcW w:w="315" w:type="pct"/>
                  <w:vMerge w:val="restart"/>
                  <w:vAlign w:val="center"/>
                </w:tcPr>
                <w:p w14:paraId="414CD27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一般</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工业</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固体废物</w:t>
                  </w:r>
                </w:p>
              </w:tc>
              <w:tc>
                <w:tcPr>
                  <w:tcW w:w="322" w:type="pct"/>
                  <w:vMerge w:val="continue"/>
                  <w:vAlign w:val="center"/>
                </w:tcPr>
                <w:p w14:paraId="6C6CB58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6F76DD46">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731" w:type="pct"/>
                  <w:vMerge w:val="restart"/>
                  <w:vAlign w:val="center"/>
                </w:tcPr>
                <w:p w14:paraId="0BA313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统一收集后外售至资源回收利用单位</w:t>
                  </w:r>
                </w:p>
              </w:tc>
              <w:tc>
                <w:tcPr>
                  <w:tcW w:w="587" w:type="pct"/>
                  <w:vAlign w:val="center"/>
                </w:tcPr>
                <w:p w14:paraId="736A4B24">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46C2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57F22E1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Align w:val="center"/>
                </w:tcPr>
                <w:p w14:paraId="7D9D5DC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w:t>
                  </w:r>
                </w:p>
              </w:tc>
              <w:tc>
                <w:tcPr>
                  <w:tcW w:w="974" w:type="pct"/>
                  <w:vAlign w:val="center"/>
                </w:tcPr>
                <w:p w14:paraId="65D1314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废边角料及不合格品</w:t>
                  </w:r>
                </w:p>
              </w:tc>
              <w:tc>
                <w:tcPr>
                  <w:tcW w:w="698" w:type="pct"/>
                  <w:vAlign w:val="center"/>
                </w:tcPr>
                <w:p w14:paraId="0B7C0DD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900-006-S17</w:t>
                  </w:r>
                </w:p>
              </w:tc>
              <w:tc>
                <w:tcPr>
                  <w:tcW w:w="315" w:type="pct"/>
                  <w:vMerge w:val="continue"/>
                  <w:vAlign w:val="center"/>
                </w:tcPr>
                <w:p w14:paraId="2DA6B4D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40EBECF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7DD16F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731" w:type="pct"/>
                  <w:vMerge w:val="continue"/>
                  <w:vAlign w:val="center"/>
                </w:tcPr>
                <w:p w14:paraId="37AF6AD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7DB2ED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r>
            <w:tr w14:paraId="3667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restart"/>
                  <w:vAlign w:val="center"/>
                </w:tcPr>
                <w:p w14:paraId="5EC1BD5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生产过程</w:t>
                  </w:r>
                </w:p>
              </w:tc>
              <w:tc>
                <w:tcPr>
                  <w:tcW w:w="479" w:type="pct"/>
                  <w:vMerge w:val="restart"/>
                  <w:vAlign w:val="center"/>
                </w:tcPr>
                <w:p w14:paraId="74D704C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各生产工序</w:t>
                  </w:r>
                </w:p>
              </w:tc>
              <w:tc>
                <w:tcPr>
                  <w:tcW w:w="974" w:type="pct"/>
                  <w:vAlign w:val="center"/>
                </w:tcPr>
                <w:p w14:paraId="3387E9B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w:t>
                  </w:r>
                </w:p>
              </w:tc>
              <w:tc>
                <w:tcPr>
                  <w:tcW w:w="698" w:type="pct"/>
                  <w:vAlign w:val="center"/>
                </w:tcPr>
                <w:p w14:paraId="3D78069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w:t>
                  </w:r>
                  <w:r>
                    <w:rPr>
                      <w:rFonts w:hint="eastAsia" w:cs="Times New Roman"/>
                      <w:color w:val="000000" w:themeColor="text1"/>
                      <w:position w:val="-10"/>
                      <w:sz w:val="21"/>
                      <w:szCs w:val="21"/>
                      <w:highlight w:val="none"/>
                      <w:lang w:val="en-US" w:eastAsia="zh-CN" w:bidi="ar-SA"/>
                      <w14:textFill>
                        <w14:solidFill>
                          <w14:schemeClr w14:val="tx1"/>
                        </w14:solidFill>
                      </w14:textFill>
                    </w:rPr>
                    <w:t>41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315" w:type="pct"/>
                  <w:vMerge w:val="restart"/>
                  <w:vAlign w:val="center"/>
                </w:tcPr>
                <w:p w14:paraId="70CC3AB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危险废物</w:t>
                  </w:r>
                </w:p>
              </w:tc>
              <w:tc>
                <w:tcPr>
                  <w:tcW w:w="322" w:type="pct"/>
                  <w:vMerge w:val="continue"/>
                  <w:vAlign w:val="center"/>
                </w:tcPr>
                <w:p w14:paraId="1659A5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485" w:type="pct"/>
                  <w:vAlign w:val="center"/>
                </w:tcPr>
                <w:p w14:paraId="5E1413B8">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731" w:type="pct"/>
                  <w:vMerge w:val="restart"/>
                  <w:vAlign w:val="center"/>
                </w:tcPr>
                <w:p w14:paraId="24622AF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交由有危险废物处理资质的单位处理</w:t>
                  </w:r>
                </w:p>
              </w:tc>
              <w:tc>
                <w:tcPr>
                  <w:tcW w:w="587" w:type="pct"/>
                  <w:vAlign w:val="center"/>
                </w:tcPr>
                <w:p w14:paraId="11006019">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r>
            <w:tr w14:paraId="2FA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050E6AC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44100F2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4CCDFD86">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钢板、胶头清洗废水</w:t>
                  </w:r>
                </w:p>
              </w:tc>
              <w:tc>
                <w:tcPr>
                  <w:tcW w:w="698" w:type="pct"/>
                  <w:vAlign w:val="center"/>
                </w:tcPr>
                <w:p w14:paraId="43F3E39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900-299-12</w:t>
                  </w:r>
                </w:p>
              </w:tc>
              <w:tc>
                <w:tcPr>
                  <w:tcW w:w="315" w:type="pct"/>
                  <w:vMerge w:val="continue"/>
                  <w:vAlign w:val="center"/>
                </w:tcPr>
                <w:p w14:paraId="5FDFF8D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29922D6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2AAA9268">
                  <w:pPr>
                    <w:keepNext w:val="0"/>
                    <w:keepLines w:val="0"/>
                    <w:widowControl/>
                    <w:suppressLineNumbers w:val="0"/>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731" w:type="pct"/>
                  <w:vMerge w:val="continue"/>
                  <w:vAlign w:val="center"/>
                </w:tcPr>
                <w:p w14:paraId="385A91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06FDD01A">
                  <w:pPr>
                    <w:keepNext w:val="0"/>
                    <w:keepLines w:val="0"/>
                    <w:widowControl/>
                    <w:suppressLineNumbers w:val="0"/>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r>
            <w:tr w14:paraId="55F9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1013503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25D1D63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01936E08">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废活性炭</w:t>
                  </w:r>
                </w:p>
              </w:tc>
              <w:tc>
                <w:tcPr>
                  <w:tcW w:w="698" w:type="pct"/>
                  <w:vAlign w:val="center"/>
                </w:tcPr>
                <w:p w14:paraId="769F61F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039</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-49</w:t>
                  </w:r>
                </w:p>
              </w:tc>
              <w:tc>
                <w:tcPr>
                  <w:tcW w:w="315" w:type="pct"/>
                  <w:vMerge w:val="continue"/>
                  <w:vAlign w:val="center"/>
                </w:tcPr>
                <w:p w14:paraId="75ABD98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5AF5F86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73EBAF6A">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731" w:type="pct"/>
                  <w:vMerge w:val="continue"/>
                  <w:vAlign w:val="center"/>
                </w:tcPr>
                <w:p w14:paraId="5E4E8CE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6350F91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308A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3944EE2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089358F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27741D79">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698" w:type="pct"/>
                  <w:vAlign w:val="center"/>
                </w:tcPr>
                <w:p w14:paraId="57128DF4">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315" w:type="pct"/>
                  <w:vMerge w:val="continue"/>
                  <w:vAlign w:val="center"/>
                </w:tcPr>
                <w:p w14:paraId="5E0BDDE6">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28C4B79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04261711">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731" w:type="pct"/>
                  <w:vMerge w:val="continue"/>
                  <w:vAlign w:val="center"/>
                </w:tcPr>
                <w:p w14:paraId="6ED1AEE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1631DF31">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r>
            <w:tr w14:paraId="1EA9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0CD52A42">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65129D1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vAlign w:val="center"/>
                </w:tcPr>
                <w:p w14:paraId="21D53BAA">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698" w:type="pct"/>
                  <w:vAlign w:val="center"/>
                </w:tcPr>
                <w:p w14:paraId="04F8B12C">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315" w:type="pct"/>
                  <w:vMerge w:val="continue"/>
                  <w:vAlign w:val="center"/>
                </w:tcPr>
                <w:p w14:paraId="0AD2600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4154D96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vAlign w:val="center"/>
                </w:tcPr>
                <w:p w14:paraId="2C008EBE">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731" w:type="pct"/>
                  <w:vMerge w:val="continue"/>
                  <w:vAlign w:val="center"/>
                </w:tcPr>
                <w:p w14:paraId="6C02D30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587" w:type="pct"/>
                  <w:vAlign w:val="center"/>
                </w:tcPr>
                <w:p w14:paraId="5A874B66">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r>
            <w:tr w14:paraId="376C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06" w:type="pct"/>
                  <w:vMerge w:val="continue"/>
                  <w:vAlign w:val="center"/>
                </w:tcPr>
                <w:p w14:paraId="735248A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79" w:type="pct"/>
                  <w:vMerge w:val="continue"/>
                  <w:vAlign w:val="center"/>
                </w:tcPr>
                <w:p w14:paraId="69C5A30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974" w:type="pct"/>
                  <w:shd w:val="clear" w:color="auto" w:fill="auto"/>
                  <w:vAlign w:val="center"/>
                </w:tcPr>
                <w:p w14:paraId="1CA7465E">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698" w:type="pct"/>
                  <w:shd w:val="clear" w:color="auto" w:fill="auto"/>
                  <w:vAlign w:val="center"/>
                </w:tcPr>
                <w:p w14:paraId="7B132691">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315" w:type="pct"/>
                  <w:vMerge w:val="continue"/>
                  <w:vAlign w:val="center"/>
                </w:tcPr>
                <w:p w14:paraId="4E4750B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22" w:type="pct"/>
                  <w:vMerge w:val="continue"/>
                  <w:vAlign w:val="center"/>
                </w:tcPr>
                <w:p w14:paraId="548A3D6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85" w:type="pct"/>
                  <w:shd w:val="clear" w:color="auto" w:fill="auto"/>
                  <w:vAlign w:val="center"/>
                </w:tcPr>
                <w:p w14:paraId="5BC67FD2">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731" w:type="pct"/>
                  <w:vMerge w:val="continue"/>
                  <w:shd w:val="clear" w:color="auto" w:fill="auto"/>
                  <w:vAlign w:val="center"/>
                </w:tcPr>
                <w:p w14:paraId="5427B15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p>
              </w:tc>
              <w:tc>
                <w:tcPr>
                  <w:tcW w:w="587" w:type="pct"/>
                  <w:shd w:val="clear" w:color="auto" w:fill="auto"/>
                  <w:vAlign w:val="center"/>
                </w:tcPr>
                <w:p w14:paraId="30FAD11A">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r>
          </w:tbl>
          <w:p w14:paraId="31B8A5D7">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2、固体废物贮存和处置情况</w:t>
            </w:r>
          </w:p>
          <w:p w14:paraId="2B0BA12E">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bookmarkStart w:id="116" w:name="_Ref10526"/>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根据《国家危险废物名录》（202</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版），危险废物从产生、收集、贮运、转运、处置等各个环节都可能因管理不善而进入环境，因此在各个环节中，抛落、渗漏、丢弃等问题都可能存在，为了使各种危险废物能合法合理处置，本次评价拟按照《危险废物贮存污染控制标准》（GB 18597-2023）等国家相关法律，提出相应的治理措施，进一步规范收集、贮运、处置等操作过程。</w:t>
            </w:r>
          </w:p>
          <w:p w14:paraId="1ABF45C6">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危险废物汇总表</w:t>
            </w:r>
          </w:p>
          <w:tbl>
            <w:tblPr>
              <w:tblStyle w:val="4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07"/>
              <w:gridCol w:w="839"/>
              <w:gridCol w:w="1252"/>
              <w:gridCol w:w="784"/>
              <w:gridCol w:w="764"/>
              <w:gridCol w:w="439"/>
              <w:gridCol w:w="759"/>
              <w:gridCol w:w="848"/>
              <w:gridCol w:w="543"/>
              <w:gridCol w:w="714"/>
              <w:gridCol w:w="751"/>
            </w:tblGrid>
            <w:tr w14:paraId="68C0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9F91DAF">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危险废物名称</w:t>
                  </w:r>
                </w:p>
              </w:tc>
              <w:tc>
                <w:tcPr>
                  <w:tcW w:w="482" w:type="pct"/>
                  <w:vAlign w:val="center"/>
                </w:tcPr>
                <w:p w14:paraId="3D7C5560">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危险废物类别</w:t>
                  </w:r>
                </w:p>
              </w:tc>
              <w:tc>
                <w:tcPr>
                  <w:tcW w:w="719" w:type="pct"/>
                  <w:vAlign w:val="center"/>
                </w:tcPr>
                <w:p w14:paraId="0F255170">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危险废物代码</w:t>
                  </w:r>
                </w:p>
              </w:tc>
              <w:tc>
                <w:tcPr>
                  <w:tcW w:w="450" w:type="pct"/>
                  <w:vAlign w:val="center"/>
                </w:tcPr>
                <w:p w14:paraId="269406D8">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产生量t/a</w:t>
                  </w:r>
                </w:p>
              </w:tc>
              <w:tc>
                <w:tcPr>
                  <w:tcW w:w="439" w:type="pct"/>
                  <w:vAlign w:val="center"/>
                </w:tcPr>
                <w:p w14:paraId="798285A9">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产生工序及装置</w:t>
                  </w:r>
                </w:p>
              </w:tc>
              <w:tc>
                <w:tcPr>
                  <w:tcW w:w="252" w:type="pct"/>
                  <w:vAlign w:val="center"/>
                </w:tcPr>
                <w:p w14:paraId="544D52F5">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形态</w:t>
                  </w:r>
                </w:p>
              </w:tc>
              <w:tc>
                <w:tcPr>
                  <w:tcW w:w="436" w:type="pct"/>
                  <w:vAlign w:val="center"/>
                </w:tcPr>
                <w:p w14:paraId="20C9757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主要成</w:t>
                  </w:r>
                  <w:r>
                    <w:rPr>
                      <w:rFonts w:hint="eastAsia" w:cs="Times New Roman"/>
                      <w:b/>
                      <w:bCs/>
                      <w:color w:val="000000" w:themeColor="text1"/>
                      <w:position w:val="-10"/>
                      <w:sz w:val="21"/>
                      <w:szCs w:val="21"/>
                      <w:highlight w:val="none"/>
                      <w:lang w:val="en-US" w:eastAsia="zh-CN" w:bidi="ar-SA"/>
                      <w14:textFill>
                        <w14:solidFill>
                          <w14:schemeClr w14:val="tx1"/>
                        </w14:solidFill>
                      </w14:textFill>
                    </w:rPr>
                    <w:t>分</w:t>
                  </w:r>
                </w:p>
              </w:tc>
              <w:tc>
                <w:tcPr>
                  <w:tcW w:w="487" w:type="pct"/>
                  <w:vAlign w:val="center"/>
                </w:tcPr>
                <w:p w14:paraId="679FDA2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有害成</w:t>
                  </w:r>
                  <w:r>
                    <w:rPr>
                      <w:rFonts w:hint="eastAsia" w:cs="Times New Roman"/>
                      <w:b/>
                      <w:bCs/>
                      <w:color w:val="000000" w:themeColor="text1"/>
                      <w:position w:val="-10"/>
                      <w:sz w:val="21"/>
                      <w:szCs w:val="21"/>
                      <w:highlight w:val="none"/>
                      <w:lang w:val="en-US" w:eastAsia="zh-CN" w:bidi="ar-SA"/>
                      <w14:textFill>
                        <w14:solidFill>
                          <w14:schemeClr w14:val="tx1"/>
                        </w14:solidFill>
                      </w14:textFill>
                    </w:rPr>
                    <w:t>分</w:t>
                  </w:r>
                  <w:bookmarkStart w:id="176" w:name="_GoBack"/>
                  <w:bookmarkEnd w:id="176"/>
                </w:p>
              </w:tc>
              <w:tc>
                <w:tcPr>
                  <w:tcW w:w="312" w:type="pct"/>
                  <w:vAlign w:val="center"/>
                </w:tcPr>
                <w:p w14:paraId="18CD1C4D">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产废周期</w:t>
                  </w:r>
                </w:p>
              </w:tc>
              <w:tc>
                <w:tcPr>
                  <w:tcW w:w="410" w:type="pct"/>
                  <w:vAlign w:val="center"/>
                </w:tcPr>
                <w:p w14:paraId="22330695">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危险特性</w:t>
                  </w:r>
                </w:p>
              </w:tc>
              <w:tc>
                <w:tcPr>
                  <w:tcW w:w="431" w:type="pct"/>
                  <w:vAlign w:val="center"/>
                </w:tcPr>
                <w:p w14:paraId="3FE70B74">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污染防治措施</w:t>
                  </w:r>
                </w:p>
              </w:tc>
            </w:tr>
            <w:tr w14:paraId="1015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F00B815">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废原料桶</w:t>
                  </w:r>
                </w:p>
              </w:tc>
              <w:tc>
                <w:tcPr>
                  <w:tcW w:w="482" w:type="pct"/>
                  <w:vAlign w:val="center"/>
                </w:tcPr>
                <w:p w14:paraId="5DAB635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719" w:type="pct"/>
                  <w:vAlign w:val="center"/>
                </w:tcPr>
                <w:p w14:paraId="54CA631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900-0</w:t>
                  </w:r>
                  <w:r>
                    <w:rPr>
                      <w:rFonts w:hint="eastAsia" w:cs="Times New Roman"/>
                      <w:color w:val="000000" w:themeColor="text1"/>
                      <w:position w:val="-10"/>
                      <w:sz w:val="21"/>
                      <w:szCs w:val="21"/>
                      <w:highlight w:val="none"/>
                      <w:lang w:val="en-US" w:eastAsia="zh-CN" w:bidi="ar-SA"/>
                      <w14:textFill>
                        <w14:solidFill>
                          <w14:schemeClr w14:val="tx1"/>
                        </w14:solidFill>
                      </w14:textFill>
                    </w:rPr>
                    <w:t>41</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450" w:type="pct"/>
                  <w:vAlign w:val="center"/>
                </w:tcPr>
                <w:p w14:paraId="4552FA2D">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439" w:type="pct"/>
                  <w:vMerge w:val="restart"/>
                  <w:vAlign w:val="center"/>
                </w:tcPr>
                <w:p w14:paraId="15E5C0B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移印等生产工序</w:t>
                  </w:r>
                </w:p>
              </w:tc>
              <w:tc>
                <w:tcPr>
                  <w:tcW w:w="252" w:type="pct"/>
                  <w:vAlign w:val="center"/>
                </w:tcPr>
                <w:p w14:paraId="0919384B">
                  <w:pPr>
                    <w:keepNext w:val="0"/>
                    <w:keepLines w:val="0"/>
                    <w:pageBreakBefore w:val="0"/>
                    <w:widowControl w:val="0"/>
                    <w:kinsoku/>
                    <w:overflowPunct/>
                    <w:topLinePunct w:val="0"/>
                    <w:bidi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381ECBAB">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有机</w:t>
                  </w:r>
                  <w:r>
                    <w:rPr>
                      <w:rFonts w:hint="eastAsia" w:cs="Times New Roman"/>
                      <w:color w:val="000000" w:themeColor="text1"/>
                      <w:position w:val="-10"/>
                      <w:sz w:val="21"/>
                      <w:szCs w:val="21"/>
                      <w:highlight w:val="none"/>
                      <w:lang w:val="en-US" w:eastAsia="zh-CN" w:bidi="ar-SA"/>
                      <w14:textFill>
                        <w14:solidFill>
                          <w14:schemeClr w14:val="tx1"/>
                        </w14:solidFill>
                      </w14:textFill>
                    </w:rPr>
                    <w:t>溶剂</w:t>
                  </w:r>
                </w:p>
              </w:tc>
              <w:tc>
                <w:tcPr>
                  <w:tcW w:w="487" w:type="pct"/>
                  <w:vAlign w:val="center"/>
                </w:tcPr>
                <w:p w14:paraId="310450F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6C1D192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年</w:t>
                  </w:r>
                </w:p>
              </w:tc>
              <w:tc>
                <w:tcPr>
                  <w:tcW w:w="410" w:type="pct"/>
                  <w:vAlign w:val="center"/>
                </w:tcPr>
                <w:p w14:paraId="10717FED">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p>
              </w:tc>
              <w:tc>
                <w:tcPr>
                  <w:tcW w:w="431" w:type="pct"/>
                  <w:vMerge w:val="restart"/>
                  <w:vAlign w:val="center"/>
                </w:tcPr>
                <w:p w14:paraId="46CFAA29">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暂存在危险废物暂存间，定期由危废资质单位处理。</w:t>
                  </w:r>
                </w:p>
              </w:tc>
            </w:tr>
            <w:tr w14:paraId="65ED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EA27CFE">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钢板、胶头清洗废水</w:t>
                  </w:r>
                </w:p>
              </w:tc>
              <w:tc>
                <w:tcPr>
                  <w:tcW w:w="482" w:type="pct"/>
                  <w:shd w:val="clear" w:color="auto" w:fill="auto"/>
                  <w:vAlign w:val="center"/>
                </w:tcPr>
                <w:p w14:paraId="666A20C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HW12</w:t>
                  </w:r>
                </w:p>
              </w:tc>
              <w:tc>
                <w:tcPr>
                  <w:tcW w:w="719" w:type="pct"/>
                  <w:shd w:val="clear" w:color="auto" w:fill="auto"/>
                  <w:vAlign w:val="center"/>
                </w:tcPr>
                <w:p w14:paraId="1F60F1FF">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900-299-12</w:t>
                  </w:r>
                </w:p>
              </w:tc>
              <w:tc>
                <w:tcPr>
                  <w:tcW w:w="450" w:type="pct"/>
                  <w:vAlign w:val="center"/>
                </w:tcPr>
                <w:p w14:paraId="53753BC9">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439" w:type="pct"/>
                  <w:vMerge w:val="continue"/>
                  <w:vAlign w:val="center"/>
                </w:tcPr>
                <w:p w14:paraId="0E472B9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2255620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液</w:t>
                  </w: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态</w:t>
                  </w:r>
                </w:p>
              </w:tc>
              <w:tc>
                <w:tcPr>
                  <w:tcW w:w="436" w:type="pct"/>
                  <w:vAlign w:val="center"/>
                </w:tcPr>
                <w:p w14:paraId="33BCC54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废油墨</w:t>
                  </w:r>
                </w:p>
              </w:tc>
              <w:tc>
                <w:tcPr>
                  <w:tcW w:w="487" w:type="pct"/>
                  <w:vAlign w:val="center"/>
                </w:tcPr>
                <w:p w14:paraId="559B1BC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颗粒物</w:t>
                  </w: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021E37B7">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每天</w:t>
                  </w:r>
                </w:p>
              </w:tc>
              <w:tc>
                <w:tcPr>
                  <w:tcW w:w="410" w:type="pct"/>
                  <w:vAlign w:val="center"/>
                </w:tcPr>
                <w:p w14:paraId="4567D18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r>
                    <w:rPr>
                      <w:rFonts w:hint="eastAsia" w:cs="Times New Roman"/>
                      <w:color w:val="000000" w:themeColor="text1"/>
                      <w:position w:val="-10"/>
                      <w:sz w:val="21"/>
                      <w:szCs w:val="21"/>
                      <w:highlight w:val="none"/>
                      <w:lang w:val="en-US" w:eastAsia="zh-CN" w:bidi="ar-SA"/>
                      <w14:textFill>
                        <w14:solidFill>
                          <w14:schemeClr w14:val="tx1"/>
                        </w14:solidFill>
                      </w14:textFill>
                    </w:rPr>
                    <w:t>C</w:t>
                  </w:r>
                </w:p>
              </w:tc>
              <w:tc>
                <w:tcPr>
                  <w:tcW w:w="431" w:type="pct"/>
                  <w:vMerge w:val="continue"/>
                  <w:vAlign w:val="center"/>
                </w:tcPr>
                <w:p w14:paraId="769EF0CB">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4EC9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AB9AE7A">
                  <w:pPr>
                    <w:keepNext w:val="0"/>
                    <w:keepLines w:val="0"/>
                    <w:widowControl/>
                    <w:suppressLineNumbers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废活性炭</w:t>
                  </w:r>
                </w:p>
              </w:tc>
              <w:tc>
                <w:tcPr>
                  <w:tcW w:w="482" w:type="pct"/>
                  <w:vAlign w:val="center"/>
                </w:tcPr>
                <w:p w14:paraId="7557239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HW49</w:t>
                  </w:r>
                </w:p>
              </w:tc>
              <w:tc>
                <w:tcPr>
                  <w:tcW w:w="719" w:type="pct"/>
                  <w:vAlign w:val="center"/>
                </w:tcPr>
                <w:p w14:paraId="5F5F2987">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900-</w:t>
                  </w: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039</w:t>
                  </w: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-49</w:t>
                  </w:r>
                </w:p>
              </w:tc>
              <w:tc>
                <w:tcPr>
                  <w:tcW w:w="450" w:type="pct"/>
                  <w:vAlign w:val="center"/>
                </w:tcPr>
                <w:p w14:paraId="3AB5E25E">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439" w:type="pct"/>
                  <w:vMerge w:val="continue"/>
                  <w:vAlign w:val="center"/>
                </w:tcPr>
                <w:p w14:paraId="6167C4D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643BB617">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固态</w:t>
                  </w:r>
                </w:p>
              </w:tc>
              <w:tc>
                <w:tcPr>
                  <w:tcW w:w="436" w:type="pct"/>
                  <w:vAlign w:val="center"/>
                </w:tcPr>
                <w:p w14:paraId="29898C6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487" w:type="pct"/>
                  <w:vAlign w:val="center"/>
                </w:tcPr>
                <w:p w14:paraId="6F36EA08">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VOCs</w:t>
                  </w:r>
                </w:p>
              </w:tc>
              <w:tc>
                <w:tcPr>
                  <w:tcW w:w="312" w:type="pct"/>
                  <w:vAlign w:val="center"/>
                </w:tcPr>
                <w:p w14:paraId="73E017A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每季度</w:t>
                  </w:r>
                </w:p>
              </w:tc>
              <w:tc>
                <w:tcPr>
                  <w:tcW w:w="410" w:type="pct"/>
                  <w:vAlign w:val="center"/>
                </w:tcPr>
                <w:p w14:paraId="4CADA4DC">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T,I</w:t>
                  </w:r>
                </w:p>
              </w:tc>
              <w:tc>
                <w:tcPr>
                  <w:tcW w:w="431" w:type="pct"/>
                  <w:vMerge w:val="continue"/>
                  <w:vAlign w:val="center"/>
                </w:tcPr>
                <w:p w14:paraId="300D7EEE">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79CF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2A1FA1BF">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482" w:type="pct"/>
                  <w:vAlign w:val="center"/>
                </w:tcPr>
                <w:p w14:paraId="3D4354E3">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719" w:type="pct"/>
                  <w:vAlign w:val="center"/>
                </w:tcPr>
                <w:p w14:paraId="21FA96E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50" w:type="pct"/>
                  <w:vAlign w:val="center"/>
                </w:tcPr>
                <w:p w14:paraId="07DB4A5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439" w:type="pct"/>
                  <w:vMerge w:val="continue"/>
                  <w:vAlign w:val="center"/>
                </w:tcPr>
                <w:p w14:paraId="1561DC0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37CE7532">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0308B68A">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52D70094">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0990A73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36D15FDE">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w:t>
                  </w:r>
                </w:p>
              </w:tc>
              <w:tc>
                <w:tcPr>
                  <w:tcW w:w="431" w:type="pct"/>
                  <w:vMerge w:val="continue"/>
                  <w:vAlign w:val="center"/>
                </w:tcPr>
                <w:p w14:paraId="530D7A7C">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5621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489C783B">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482" w:type="pct"/>
                  <w:vAlign w:val="center"/>
                </w:tcPr>
                <w:p w14:paraId="4D05392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719" w:type="pct"/>
                  <w:vAlign w:val="center"/>
                </w:tcPr>
                <w:p w14:paraId="76ABF840">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50" w:type="pct"/>
                  <w:vAlign w:val="center"/>
                </w:tcPr>
                <w:p w14:paraId="50556AC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439" w:type="pct"/>
                  <w:vMerge w:val="continue"/>
                  <w:vAlign w:val="center"/>
                </w:tcPr>
                <w:p w14:paraId="4F787975">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31B63F7B">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436" w:type="pct"/>
                  <w:vAlign w:val="center"/>
                </w:tcPr>
                <w:p w14:paraId="4073890C">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39CD809F">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6A3E715C">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4A0D2901">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431" w:type="pct"/>
                  <w:vMerge w:val="continue"/>
                  <w:vAlign w:val="center"/>
                </w:tcPr>
                <w:p w14:paraId="6C9DB528">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r w14:paraId="7335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8" w:type="pct"/>
                  <w:vAlign w:val="center"/>
                </w:tcPr>
                <w:p w14:paraId="6DD2BAEA">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482" w:type="pct"/>
                  <w:vAlign w:val="center"/>
                </w:tcPr>
                <w:p w14:paraId="3CF9B876">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HW49</w:t>
                  </w:r>
                </w:p>
              </w:tc>
              <w:tc>
                <w:tcPr>
                  <w:tcW w:w="719" w:type="pct"/>
                  <w:vAlign w:val="center"/>
                </w:tcPr>
                <w:p w14:paraId="74168D32">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50" w:type="pct"/>
                  <w:vAlign w:val="center"/>
                </w:tcPr>
                <w:p w14:paraId="2A60FFF7">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439" w:type="pct"/>
                  <w:vMerge w:val="continue"/>
                  <w:vAlign w:val="center"/>
                </w:tcPr>
                <w:p w14:paraId="7A3FF99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p>
              </w:tc>
              <w:tc>
                <w:tcPr>
                  <w:tcW w:w="252" w:type="pct"/>
                  <w:vAlign w:val="center"/>
                </w:tcPr>
                <w:p w14:paraId="6B409974">
                  <w:pPr>
                    <w:widowControl/>
                    <w:spacing w:line="240" w:lineRule="auto"/>
                    <w:jc w:val="center"/>
                    <w:rPr>
                      <w:rFonts w:hint="eastAsia"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36" w:type="pct"/>
                  <w:vAlign w:val="center"/>
                </w:tcPr>
                <w:p w14:paraId="27436C27">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487" w:type="pct"/>
                  <w:vAlign w:val="center"/>
                </w:tcPr>
                <w:p w14:paraId="14E5CABB">
                  <w:pPr>
                    <w:pStyle w:val="58"/>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12" w:type="pct"/>
                  <w:vAlign w:val="center"/>
                </w:tcPr>
                <w:p w14:paraId="535465A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410" w:type="pct"/>
                  <w:vAlign w:val="center"/>
                </w:tcPr>
                <w:p w14:paraId="5EDC79F5">
                  <w:pPr>
                    <w:widowControl/>
                    <w:spacing w:line="240" w:lineRule="auto"/>
                    <w:jc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31" w:type="pct"/>
                  <w:vMerge w:val="continue"/>
                  <w:vAlign w:val="center"/>
                </w:tcPr>
                <w:p w14:paraId="10E9FCD7">
                  <w:pPr>
                    <w:keepNext w:val="0"/>
                    <w:keepLines w:val="0"/>
                    <w:pageBreakBefore w:val="0"/>
                    <w:widowControl w:val="0"/>
                    <w:kinsoku/>
                    <w:wordWrap w:val="0"/>
                    <w:overflowPunct/>
                    <w:topLinePunct w:val="0"/>
                    <w:autoSpaceDE w:val="0"/>
                    <w:autoSpaceDN w:val="0"/>
                    <w:bidi w:val="0"/>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p>
              </w:tc>
            </w:tr>
          </w:tbl>
          <w:p w14:paraId="3D3C6B7A">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（1）产生和收集</w:t>
            </w:r>
          </w:p>
          <w:p w14:paraId="5D419FC5">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危险废物单次产生量很少，部分危险废物有感染性和毒性，其性质相对比较稳定，如果露天堆放，沾染、吸附的有机废气可能会因为日晒雨淋而逐步释放出来，进入大气、地表水体、土壤等环境要素，造成污染影响。</w:t>
            </w:r>
          </w:p>
          <w:p w14:paraId="768D75B3">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这些危险废物如果收集不当，随意丢弃，其中的有害成分容易因为跑冒滴漏或者混入其他生活垃圾而进入外部环境，造成污染影响。对此，各类危险废物在产生源头需要立即采用密闭性好、耐腐蚀、相容的塑料容器分类封装，避免遗漏和撒漏；然后移入厂区内部独立专用的贮存设施存放。本项目从产生源头到贮存设施的收集过程基本上都在本项目内部进行，不涉及外部运输和厂区外部环境，因此产生和收集阶段不会对外部环境造成影响。</w:t>
            </w:r>
          </w:p>
          <w:p w14:paraId="522D9196">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（2）贮存库</w:t>
            </w:r>
          </w:p>
          <w:p w14:paraId="0EAA8628">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项目设置一个固定的危险废物贮存库，危险废物贮存过程满足《危险废物贮存污染控制标准》（GB18597-2023）的要求，建设单位应根据废物特性设置符合《危险废物贮存污染控制标准》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要求的危险废物暂存场所，且在暂存场所上空设有防雨淋设施，地面采取防渗措施，危险废物收集后分别临时贮存于</w:t>
            </w:r>
            <w:r>
              <w:rPr>
                <w:rFonts w:hint="eastAsia" w:cs="Times New Roman"/>
                <w:color w:val="000000" w:themeColor="text1"/>
                <w:kern w:val="2"/>
                <w:sz w:val="24"/>
                <w:szCs w:val="24"/>
                <w:highlight w:val="none"/>
                <w:lang w:val="en-US" w:eastAsia="zh-CN" w:bidi="ar-SA"/>
                <w14:textFill>
                  <w14:solidFill>
                    <w14:schemeClr w14:val="tx1"/>
                  </w14:solidFill>
                </w14:textFill>
              </w:rPr>
              <w:t>危险废物暂存间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生产需要合理设置贮存量，尽量减少厂内的物料贮存量：严禁将危险废物混入生活垃圾；堆放危险废物的地方要有明显的标志。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危险废物贮存过程产生的液态废物和固态废物应分类收集，按其环境管理要求妥善处理。贮存库内不同贮存分区之间应采取隔离措施。隔离措施可根据危险废物特性采用过道、隔板或隔墙等方式。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cm/s），或至少2mm 厚高密度聚乙烯膜等人工防渗材料（渗透系数不大于10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cm/s），或其他防渗性能等效的材料。</w:t>
            </w:r>
          </w:p>
          <w:p w14:paraId="188C78EB">
            <w:pPr>
              <w:widowControl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项目危险废物贮存场所基本情况见下表。</w:t>
            </w:r>
          </w:p>
          <w:p w14:paraId="1E1E5CBD">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危险废物贮存场所（设施）基本情况表</w:t>
            </w:r>
          </w:p>
          <w:tbl>
            <w:tblPr>
              <w:tblStyle w:val="4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368"/>
              <w:gridCol w:w="825"/>
              <w:gridCol w:w="1266"/>
              <w:gridCol w:w="735"/>
              <w:gridCol w:w="672"/>
              <w:gridCol w:w="1095"/>
              <w:gridCol w:w="698"/>
              <w:gridCol w:w="807"/>
            </w:tblGrid>
            <w:tr w14:paraId="2CC1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vAlign w:val="center"/>
                </w:tcPr>
                <w:p w14:paraId="25A4AFF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贮存场所（设施）名称</w:t>
                  </w:r>
                </w:p>
              </w:tc>
              <w:tc>
                <w:tcPr>
                  <w:tcW w:w="1987" w:type="pct"/>
                  <w:gridSpan w:val="3"/>
                  <w:vAlign w:val="center"/>
                </w:tcPr>
                <w:p w14:paraId="56D9A74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危险废物</w:t>
                  </w:r>
                </w:p>
              </w:tc>
              <w:tc>
                <w:tcPr>
                  <w:tcW w:w="422" w:type="pct"/>
                  <w:vMerge w:val="restart"/>
                  <w:vAlign w:val="center"/>
                </w:tcPr>
                <w:p w14:paraId="45B4659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位置</w:t>
                  </w:r>
                </w:p>
              </w:tc>
              <w:tc>
                <w:tcPr>
                  <w:tcW w:w="386" w:type="pct"/>
                  <w:vMerge w:val="restart"/>
                  <w:vAlign w:val="center"/>
                </w:tcPr>
                <w:p w14:paraId="4355292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占地面积</w:t>
                  </w:r>
                </w:p>
              </w:tc>
              <w:tc>
                <w:tcPr>
                  <w:tcW w:w="629" w:type="pct"/>
                  <w:vMerge w:val="restart"/>
                  <w:vAlign w:val="center"/>
                </w:tcPr>
                <w:p w14:paraId="3620711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贮存方式</w:t>
                  </w:r>
                </w:p>
              </w:tc>
              <w:tc>
                <w:tcPr>
                  <w:tcW w:w="401" w:type="pct"/>
                  <w:vMerge w:val="restart"/>
                  <w:vAlign w:val="center"/>
                </w:tcPr>
                <w:p w14:paraId="045439C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贮存能力</w:t>
                  </w:r>
                </w:p>
              </w:tc>
              <w:tc>
                <w:tcPr>
                  <w:tcW w:w="463" w:type="pct"/>
                  <w:vMerge w:val="restart"/>
                  <w:vAlign w:val="center"/>
                </w:tcPr>
                <w:p w14:paraId="45AA892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贮存周期</w:t>
                  </w:r>
                </w:p>
              </w:tc>
            </w:tr>
            <w:tr w14:paraId="6BAB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6646ACC8">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786" w:type="pct"/>
                  <w:vAlign w:val="center"/>
                </w:tcPr>
                <w:p w14:paraId="251F959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名称</w:t>
                  </w:r>
                </w:p>
              </w:tc>
              <w:tc>
                <w:tcPr>
                  <w:tcW w:w="474" w:type="pct"/>
                  <w:vAlign w:val="center"/>
                </w:tcPr>
                <w:p w14:paraId="15D1B53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类别</w:t>
                  </w:r>
                </w:p>
              </w:tc>
              <w:tc>
                <w:tcPr>
                  <w:tcW w:w="727" w:type="pct"/>
                  <w:vAlign w:val="center"/>
                </w:tcPr>
                <w:p w14:paraId="34385EC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position w:val="-10"/>
                      <w:sz w:val="21"/>
                      <w:szCs w:val="21"/>
                      <w:highlight w:val="none"/>
                      <w:lang w:val="en-US" w:eastAsia="zh-CN" w:bidi="ar-SA"/>
                      <w14:textFill>
                        <w14:solidFill>
                          <w14:schemeClr w14:val="tx1"/>
                        </w14:solidFill>
                      </w14:textFill>
                    </w:rPr>
                    <w:t>代码</w:t>
                  </w:r>
                </w:p>
              </w:tc>
              <w:tc>
                <w:tcPr>
                  <w:tcW w:w="422" w:type="pct"/>
                  <w:vMerge w:val="continue"/>
                  <w:vAlign w:val="center"/>
                </w:tcPr>
                <w:p w14:paraId="6DD98AA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F388E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2AE6097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456E7F8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5E95C6E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C04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vAlign w:val="center"/>
                </w:tcPr>
                <w:p w14:paraId="21498C7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危险废物</w:t>
                  </w:r>
                  <w:r>
                    <w:rPr>
                      <w:rFonts w:hint="eastAsia" w:cs="Times New Roman"/>
                      <w:color w:val="000000" w:themeColor="text1"/>
                      <w:position w:val="-10"/>
                      <w:sz w:val="21"/>
                      <w:szCs w:val="21"/>
                      <w:highlight w:val="none"/>
                      <w:lang w:val="en-US" w:eastAsia="zh-CN" w:bidi="ar-SA"/>
                      <w14:textFill>
                        <w14:solidFill>
                          <w14:schemeClr w14:val="tx1"/>
                        </w14:solidFill>
                      </w14:textFill>
                    </w:rPr>
                    <w:t>暂存间</w:t>
                  </w:r>
                </w:p>
              </w:tc>
              <w:tc>
                <w:tcPr>
                  <w:tcW w:w="1368" w:type="dxa"/>
                  <w:vAlign w:val="center"/>
                </w:tcPr>
                <w:p w14:paraId="3F33AD51">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废原料桶</w:t>
                  </w:r>
                </w:p>
              </w:tc>
              <w:tc>
                <w:tcPr>
                  <w:tcW w:w="474" w:type="pct"/>
                  <w:vAlign w:val="center"/>
                </w:tcPr>
                <w:p w14:paraId="5AFF4FC4">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49</w:t>
                  </w:r>
                </w:p>
              </w:tc>
              <w:tc>
                <w:tcPr>
                  <w:tcW w:w="1266" w:type="dxa"/>
                  <w:vAlign w:val="center"/>
                </w:tcPr>
                <w:p w14:paraId="43E1133F">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22" w:type="pct"/>
                  <w:vMerge w:val="restart"/>
                  <w:vAlign w:val="center"/>
                </w:tcPr>
                <w:p w14:paraId="5633112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生产车间南侧</w:t>
                  </w:r>
                </w:p>
              </w:tc>
              <w:tc>
                <w:tcPr>
                  <w:tcW w:w="386" w:type="pct"/>
                  <w:vMerge w:val="restart"/>
                  <w:vAlign w:val="center"/>
                </w:tcPr>
                <w:p w14:paraId="12A81127">
                  <w:pPr>
                    <w:keepNext w:val="0"/>
                    <w:keepLines w:val="0"/>
                    <w:pageBreakBefore w:val="0"/>
                    <w:widowControl w:val="0"/>
                    <w:kinsoku/>
                    <w:wordWrap w:val="0"/>
                    <w:overflowPunct/>
                    <w:topLinePunct w:val="0"/>
                    <w:autoSpaceDE w:val="0"/>
                    <w:autoSpaceDN w:val="0"/>
                    <w:bidi w:val="0"/>
                    <w:adjustRightInd/>
                    <w:spacing w:line="240" w:lineRule="auto"/>
                    <w:jc w:val="both"/>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10m</w:t>
                  </w:r>
                  <w:r>
                    <w:rPr>
                      <w:rFonts w:hint="eastAsia" w:cs="Times New Roman"/>
                      <w:color w:val="000000" w:themeColor="text1"/>
                      <w:position w:val="-10"/>
                      <w:sz w:val="21"/>
                      <w:szCs w:val="21"/>
                      <w:highlight w:val="none"/>
                      <w:vertAlign w:val="superscript"/>
                      <w:lang w:val="en-US" w:eastAsia="zh-CN" w:bidi="ar-SA"/>
                      <w14:textFill>
                        <w14:solidFill>
                          <w14:schemeClr w14:val="tx1"/>
                        </w14:solidFill>
                      </w14:textFill>
                    </w:rPr>
                    <w:t>2</w:t>
                  </w:r>
                </w:p>
              </w:tc>
              <w:tc>
                <w:tcPr>
                  <w:tcW w:w="629" w:type="pct"/>
                  <w:vMerge w:val="restart"/>
                  <w:vAlign w:val="center"/>
                </w:tcPr>
                <w:p w14:paraId="24B4806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采用密闭性好、耐腐蚀的塑料容器封存</w:t>
                  </w:r>
                </w:p>
              </w:tc>
              <w:tc>
                <w:tcPr>
                  <w:tcW w:w="401" w:type="pct"/>
                  <w:vMerge w:val="restart"/>
                  <w:vAlign w:val="center"/>
                </w:tcPr>
                <w:p w14:paraId="6A4A29D1">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10t</w:t>
                  </w:r>
                </w:p>
              </w:tc>
              <w:tc>
                <w:tcPr>
                  <w:tcW w:w="463" w:type="pct"/>
                  <w:vMerge w:val="restart"/>
                  <w:vAlign w:val="center"/>
                </w:tcPr>
                <w:p w14:paraId="5D25F54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2个月</w:t>
                  </w:r>
                </w:p>
              </w:tc>
            </w:tr>
            <w:tr w14:paraId="574E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4177431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vAlign w:val="center"/>
                </w:tcPr>
                <w:p w14:paraId="4A80FA0E">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钢板、胶头清洗废水</w:t>
                  </w:r>
                </w:p>
              </w:tc>
              <w:tc>
                <w:tcPr>
                  <w:tcW w:w="474" w:type="pct"/>
                  <w:vAlign w:val="center"/>
                </w:tcPr>
                <w:p w14:paraId="3FBF0F0E">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w:t>
                  </w:r>
                  <w:r>
                    <w:rPr>
                      <w:rFonts w:hint="eastAsia" w:cs="Times New Roman"/>
                      <w:color w:val="000000" w:themeColor="text1"/>
                      <w:position w:val="-10"/>
                      <w:sz w:val="21"/>
                      <w:szCs w:val="21"/>
                      <w:highlight w:val="none"/>
                      <w:lang w:val="en-US" w:eastAsia="zh-CN" w:bidi="ar-SA"/>
                      <w14:textFill>
                        <w14:solidFill>
                          <w14:schemeClr w14:val="tx1"/>
                        </w14:solidFill>
                      </w14:textFill>
                    </w:rPr>
                    <w:t>12</w:t>
                  </w:r>
                </w:p>
              </w:tc>
              <w:tc>
                <w:tcPr>
                  <w:tcW w:w="1266" w:type="dxa"/>
                  <w:vAlign w:val="center"/>
                </w:tcPr>
                <w:p w14:paraId="322A6AC4">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900-299-12</w:t>
                  </w:r>
                </w:p>
              </w:tc>
              <w:tc>
                <w:tcPr>
                  <w:tcW w:w="422" w:type="pct"/>
                  <w:vMerge w:val="continue"/>
                  <w:vAlign w:val="center"/>
                </w:tcPr>
                <w:p w14:paraId="33594D9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8B5F4F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246330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65D35FC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4C7A3B7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0EDD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57431D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1BE64612">
                  <w:pPr>
                    <w:keepNext w:val="0"/>
                    <w:keepLines w:val="0"/>
                    <w:widowControl/>
                    <w:suppressLineNumbers w:val="0"/>
                    <w:jc w:val="center"/>
                    <w:textAlignment w:val="center"/>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废活性炭</w:t>
                  </w:r>
                </w:p>
              </w:tc>
              <w:tc>
                <w:tcPr>
                  <w:tcW w:w="474" w:type="pct"/>
                  <w:shd w:val="clear" w:color="auto" w:fill="auto"/>
                  <w:vAlign w:val="center"/>
                </w:tcPr>
                <w:p w14:paraId="5CE4447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HW49</w:t>
                  </w:r>
                </w:p>
              </w:tc>
              <w:tc>
                <w:tcPr>
                  <w:tcW w:w="1266" w:type="dxa"/>
                  <w:shd w:val="clear" w:color="auto" w:fill="auto"/>
                  <w:vAlign w:val="center"/>
                </w:tcPr>
                <w:p w14:paraId="4577AA2D">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900-039-49</w:t>
                  </w:r>
                </w:p>
              </w:tc>
              <w:tc>
                <w:tcPr>
                  <w:tcW w:w="422" w:type="pct"/>
                  <w:vMerge w:val="continue"/>
                  <w:vAlign w:val="center"/>
                </w:tcPr>
                <w:p w14:paraId="5DC7236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268BDBB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6ADE8DF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66BD54D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415A545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3044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5EE7106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26168612">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p>
              </w:tc>
              <w:tc>
                <w:tcPr>
                  <w:tcW w:w="474" w:type="pct"/>
                  <w:shd w:val="clear" w:color="auto" w:fill="auto"/>
                  <w:vAlign w:val="center"/>
                </w:tcPr>
                <w:p w14:paraId="68DC2F32">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1266" w:type="dxa"/>
                  <w:shd w:val="clear" w:color="auto" w:fill="auto"/>
                  <w:vAlign w:val="center"/>
                </w:tcPr>
                <w:p w14:paraId="702E95C3">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22" w:type="pct"/>
                  <w:vMerge w:val="continue"/>
                  <w:vAlign w:val="center"/>
                </w:tcPr>
                <w:p w14:paraId="4B57296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0CA26BA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083CC8D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7DCBC18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325DA78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A51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14B4C44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shd w:val="clear" w:color="auto" w:fill="auto"/>
                  <w:vAlign w:val="center"/>
                </w:tcPr>
                <w:p w14:paraId="7A4973D8">
                  <w:pPr>
                    <w:keepNext w:val="0"/>
                    <w:keepLines w:val="0"/>
                    <w:widowControl/>
                    <w:suppressLineNumbers w:val="0"/>
                    <w:spacing w:line="240" w:lineRule="auto"/>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p>
              </w:tc>
              <w:tc>
                <w:tcPr>
                  <w:tcW w:w="474" w:type="pct"/>
                  <w:shd w:val="clear" w:color="auto" w:fill="auto"/>
                  <w:vAlign w:val="center"/>
                </w:tcPr>
                <w:p w14:paraId="28029C6F">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HW08</w:t>
                  </w:r>
                </w:p>
              </w:tc>
              <w:tc>
                <w:tcPr>
                  <w:tcW w:w="1266" w:type="dxa"/>
                  <w:shd w:val="clear" w:color="auto" w:fill="auto"/>
                  <w:vAlign w:val="center"/>
                </w:tcPr>
                <w:p w14:paraId="43761356">
                  <w:pPr>
                    <w:keepNext w:val="0"/>
                    <w:keepLines w:val="0"/>
                    <w:widowControl/>
                    <w:suppressLineNumbers w:val="0"/>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900-249-08</w:t>
                  </w:r>
                </w:p>
              </w:tc>
              <w:tc>
                <w:tcPr>
                  <w:tcW w:w="422" w:type="pct"/>
                  <w:vMerge w:val="continue"/>
                  <w:vAlign w:val="center"/>
                </w:tcPr>
                <w:p w14:paraId="18E8DB5B">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7F5AD16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B7CD8D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49059CE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3826C7E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r w14:paraId="6510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vAlign w:val="center"/>
                </w:tcPr>
                <w:p w14:paraId="37B0834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1368" w:type="dxa"/>
                  <w:vAlign w:val="center"/>
                </w:tcPr>
                <w:p w14:paraId="704E7C73">
                  <w:pPr>
                    <w:keepNext w:val="0"/>
                    <w:keepLines w:val="0"/>
                    <w:widowControl/>
                    <w:suppressLineNumbers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p>
              </w:tc>
              <w:tc>
                <w:tcPr>
                  <w:tcW w:w="474" w:type="pct"/>
                  <w:vAlign w:val="center"/>
                </w:tcPr>
                <w:p w14:paraId="71367FFD">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HW49</w:t>
                  </w:r>
                </w:p>
              </w:tc>
              <w:tc>
                <w:tcPr>
                  <w:tcW w:w="1266" w:type="dxa"/>
                  <w:vAlign w:val="center"/>
                </w:tcPr>
                <w:p w14:paraId="5B9C827B">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900-041-49</w:t>
                  </w:r>
                </w:p>
              </w:tc>
              <w:tc>
                <w:tcPr>
                  <w:tcW w:w="422" w:type="pct"/>
                  <w:vMerge w:val="continue"/>
                  <w:vAlign w:val="center"/>
                </w:tcPr>
                <w:p w14:paraId="2EB2FDF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386" w:type="pct"/>
                  <w:vMerge w:val="continue"/>
                  <w:vAlign w:val="center"/>
                </w:tcPr>
                <w:p w14:paraId="421E64C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629" w:type="pct"/>
                  <w:vMerge w:val="continue"/>
                  <w:vAlign w:val="center"/>
                </w:tcPr>
                <w:p w14:paraId="3A85004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01" w:type="pct"/>
                  <w:vMerge w:val="continue"/>
                  <w:vAlign w:val="center"/>
                </w:tcPr>
                <w:p w14:paraId="1D3E2732">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c>
                <w:tcPr>
                  <w:tcW w:w="463" w:type="pct"/>
                  <w:vMerge w:val="continue"/>
                  <w:vAlign w:val="center"/>
                </w:tcPr>
                <w:p w14:paraId="0EF596F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p>
              </w:tc>
            </w:tr>
          </w:tbl>
          <w:p w14:paraId="0C42D758">
            <w:pPr>
              <w:keepNext/>
              <w:keepLines/>
              <w:tabs>
                <w:tab w:val="left" w:pos="0"/>
              </w:tabs>
              <w:ind w:left="480"/>
              <w:outlineLvl w:val="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（3）转运、处置</w:t>
            </w:r>
          </w:p>
          <w:bookmarkEnd w:id="116"/>
          <w:p w14:paraId="00FEDDE8">
            <w:pPr>
              <w:widowControl w:val="0"/>
              <w:wordWrap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项目内部无利用或处置危险废物的能力和设施，需要委托具有危险废物处理资质的单位处置。根据广东省生态环境厅危险废物经营许可证颁发情况（截至202</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11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w:t>
            </w:r>
            <w:r>
              <w:rPr>
                <w:rFonts w:hint="eastAsia" w:cs="Times New Roman"/>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日），广东省有可以处置本项目危险废物的企业，处理能力充足。建设单位可直接委托其转移处理。</w:t>
            </w:r>
          </w:p>
          <w:p w14:paraId="3C720679">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广东省内可接收本项目危险废物的处理单位一览表（摘录）</w:t>
            </w:r>
          </w:p>
          <w:tbl>
            <w:tblPr>
              <w:tblStyle w:val="46"/>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8"/>
              <w:gridCol w:w="1093"/>
              <w:gridCol w:w="976"/>
              <w:gridCol w:w="706"/>
              <w:gridCol w:w="967"/>
              <w:gridCol w:w="4630"/>
            </w:tblGrid>
            <w:tr w14:paraId="799E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497682BF">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627" w:type="pct"/>
                  <w:vAlign w:val="center"/>
                </w:tcPr>
                <w:p w14:paraId="1967C20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企业名称</w:t>
                  </w:r>
                </w:p>
              </w:tc>
              <w:tc>
                <w:tcPr>
                  <w:tcW w:w="560" w:type="pct"/>
                  <w:vAlign w:val="center"/>
                </w:tcPr>
                <w:p w14:paraId="6BAC914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设施地址</w:t>
                  </w:r>
                </w:p>
              </w:tc>
              <w:tc>
                <w:tcPr>
                  <w:tcW w:w="405" w:type="pct"/>
                  <w:vAlign w:val="center"/>
                </w:tcPr>
                <w:p w14:paraId="1F60BAE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许可证编号</w:t>
                  </w:r>
                </w:p>
              </w:tc>
              <w:tc>
                <w:tcPr>
                  <w:tcW w:w="555" w:type="pct"/>
                  <w:vAlign w:val="center"/>
                </w:tcPr>
                <w:p w14:paraId="4D4B461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经营时间有效期</w:t>
                  </w:r>
                </w:p>
              </w:tc>
              <w:tc>
                <w:tcPr>
                  <w:tcW w:w="2657" w:type="pct"/>
                  <w:vAlign w:val="center"/>
                </w:tcPr>
                <w:p w14:paraId="3209DA6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核准经营范围、类别</w:t>
                  </w:r>
                </w:p>
              </w:tc>
            </w:tr>
            <w:tr w14:paraId="21F0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23E1AB0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627" w:type="pct"/>
                  <w:vAlign w:val="center"/>
                </w:tcPr>
                <w:p w14:paraId="51C61DD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广东中耀环境科技有限公司</w:t>
                  </w:r>
                </w:p>
              </w:tc>
              <w:tc>
                <w:tcPr>
                  <w:tcW w:w="560" w:type="pct"/>
                  <w:vAlign w:val="center"/>
                </w:tcPr>
                <w:p w14:paraId="718F5C4C">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韶关市曲江区白土镇兴园南路18号</w:t>
                  </w:r>
                </w:p>
              </w:tc>
              <w:tc>
                <w:tcPr>
                  <w:tcW w:w="405" w:type="pct"/>
                  <w:vAlign w:val="center"/>
                </w:tcPr>
                <w:p w14:paraId="38D49A5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440205230524</w:t>
                  </w:r>
                </w:p>
              </w:tc>
              <w:tc>
                <w:tcPr>
                  <w:tcW w:w="555" w:type="pct"/>
                  <w:vAlign w:val="center"/>
                </w:tcPr>
                <w:p w14:paraId="7EE4EBC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cs="Times New Roman"/>
                      <w:color w:val="000000" w:themeColor="text1"/>
                      <w:kern w:val="2"/>
                      <w:sz w:val="21"/>
                      <w:szCs w:val="21"/>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cs="Times New Roman"/>
                      <w:color w:val="000000" w:themeColor="text1"/>
                      <w:kern w:val="2"/>
                      <w:sz w:val="21"/>
                      <w:szCs w:val="21"/>
                      <w:highlight w:val="none"/>
                      <w:lang w:val="en-US" w:eastAsia="zh-CN" w:bidi="ar-SA"/>
                      <w14:textFill>
                        <w14:solidFill>
                          <w14:schemeClr w14:val="tx1"/>
                        </w14:solidFill>
                      </w14:textFill>
                    </w:rPr>
                    <w:t>17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7BECCA26">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【收集、贮存、处置（物化处理）】废有机溶剂与含有机溶剂废物（HW06类中900-404-06）3000吨/年、废矿物油与含矿物油废物（HW08类中251-001-08）3000吨/年、油/水、烃/水混合物或乳化液（HW09类）9000吨/年、染料、</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涂料废物（HW12类</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中264-011-12、</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900-252~253-12</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-255~256-12，限液态）5000吨/年、表面处理废物（HW17类中336-052~053-17、336-056-17，限液态）15000吨/年、无机氟化物废物（HW32类中900-026-32）5000吨/年、废酸（HW34类中251-014-34、264-013-34、261-058-34、313-001-34、336-105-34、398-005~007-34、900-300~308-34、900-349-34，限液态）5000吨/年、废碱（HW35类，限液态）5000吨/年、其他废物（HW49类中900-047-49，限液态）2000吨/年，共计52000吨/年。</w:t>
                  </w:r>
                </w:p>
              </w:tc>
            </w:tr>
            <w:tr w14:paraId="56DE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4" w:type="pct"/>
                  <w:vAlign w:val="center"/>
                </w:tcPr>
                <w:p w14:paraId="2865433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627" w:type="pct"/>
                  <w:vAlign w:val="center"/>
                </w:tcPr>
                <w:p w14:paraId="3315E7C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韶关东江环保再生资源发展有限公司</w:t>
                  </w:r>
                </w:p>
              </w:tc>
              <w:tc>
                <w:tcPr>
                  <w:tcW w:w="560" w:type="pct"/>
                  <w:vAlign w:val="center"/>
                </w:tcPr>
                <w:p w14:paraId="6A2CF82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韶关市翁源县铁龙林场</w:t>
                  </w:r>
                </w:p>
              </w:tc>
              <w:tc>
                <w:tcPr>
                  <w:tcW w:w="405" w:type="pct"/>
                  <w:vAlign w:val="center"/>
                </w:tcPr>
                <w:p w14:paraId="10EF3E6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440229</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251013</w:t>
                  </w:r>
                </w:p>
              </w:tc>
              <w:tc>
                <w:tcPr>
                  <w:tcW w:w="555" w:type="pct"/>
                  <w:vAlign w:val="center"/>
                </w:tcPr>
                <w:p w14:paraId="44C7808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cs="Times New Roman"/>
                      <w:color w:val="000000" w:themeColor="text1"/>
                      <w:kern w:val="2"/>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cs="Times New Roman"/>
                      <w:color w:val="000000" w:themeColor="text1"/>
                      <w:kern w:val="2"/>
                      <w:sz w:val="21"/>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cs="Times New Roman"/>
                      <w:color w:val="000000" w:themeColor="text1"/>
                      <w:kern w:val="2"/>
                      <w:sz w:val="21"/>
                      <w:szCs w:val="21"/>
                      <w:highlight w:val="none"/>
                      <w:lang w:val="en-US" w:eastAsia="zh-CN" w:bidi="ar-SA"/>
                      <w14:textFill>
                        <w14:solidFill>
                          <w14:schemeClr w14:val="tx1"/>
                        </w14:solidFill>
                      </w14:textFill>
                    </w:rPr>
                    <w:t>12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73B2EA62">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利用</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清洗</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废塑料包装桶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HW49类中的900-041-49</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），共</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750</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吨/年</w:t>
                  </w: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p>
              </w:tc>
            </w:tr>
            <w:tr w14:paraId="304E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0FE94C0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p>
              </w:tc>
              <w:tc>
                <w:tcPr>
                  <w:tcW w:w="627" w:type="pct"/>
                  <w:vAlign w:val="center"/>
                </w:tcPr>
                <w:p w14:paraId="15BB102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广东华欣环保科技有限公司</w:t>
                  </w:r>
                </w:p>
              </w:tc>
              <w:tc>
                <w:tcPr>
                  <w:tcW w:w="560" w:type="pct"/>
                  <w:vAlign w:val="center"/>
                </w:tcPr>
                <w:p w14:paraId="26F3F404">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韶关市曲江区广东韶钢松山股份有限公司厂区内</w:t>
                  </w:r>
                </w:p>
              </w:tc>
              <w:tc>
                <w:tcPr>
                  <w:tcW w:w="405" w:type="pct"/>
                  <w:vAlign w:val="center"/>
                </w:tcPr>
                <w:p w14:paraId="1BE690D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440205220412</w:t>
                  </w:r>
                </w:p>
              </w:tc>
              <w:tc>
                <w:tcPr>
                  <w:tcW w:w="555" w:type="pct"/>
                  <w:vAlign w:val="center"/>
                </w:tcPr>
                <w:p w14:paraId="197EA61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至2028年4月9日</w:t>
                  </w:r>
                </w:p>
              </w:tc>
              <w:tc>
                <w:tcPr>
                  <w:tcW w:w="2657" w:type="pct"/>
                  <w:vAlign w:val="center"/>
                </w:tcPr>
                <w:p w14:paraId="10A68337">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【收集、贮存、利用】废矿物油与含矿物油废物（</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t>
                  </w:r>
                  <w:r>
                    <w:rPr>
                      <w:rFonts w:hint="default" w:ascii="Times New Roman" w:hAnsi="Times New Roman" w:eastAsia="宋体" w:cs="Times New Roman"/>
                      <w:b w:val="0"/>
                      <w:bCs w:val="0"/>
                      <w:color w:val="000000" w:themeColor="text1"/>
                      <w:kern w:val="2"/>
                      <w:sz w:val="21"/>
                      <w:szCs w:val="21"/>
                      <w:highlight w:val="none"/>
                      <w:shd w:val="clear" w:color="auto" w:fill="FFFFFF"/>
                      <w:lang w:val="en-US" w:eastAsia="zh-CN" w:bidi="ar-SA"/>
                      <w14:textFill>
                        <w14:solidFill>
                          <w14:schemeClr w14:val="tx1"/>
                        </w14:solidFill>
                      </w14:textFill>
                    </w:rPr>
                    <w:t>W08类中的900-249-08，仅限沾染矿物油的废铁质包装桶 ）</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1.8万吨/年、其他废物（</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HW49类中的900-041-49，仅限废铁质包装桶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）3.2万吨/年、含铬废物（HW21类中的314-001~002-21）10万吨/年、含锌废物（HW23类中的312-001-23、336-103-23（仅限集尘、除尘装置收集的粉尘））1万吨/年，共计16万吨/年。</w:t>
                  </w:r>
                </w:p>
              </w:tc>
            </w:tr>
            <w:tr w14:paraId="0E22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44A7012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w:t>
                  </w:r>
                </w:p>
              </w:tc>
              <w:tc>
                <w:tcPr>
                  <w:tcW w:w="627" w:type="pct"/>
                  <w:vAlign w:val="center"/>
                </w:tcPr>
                <w:p w14:paraId="28F49AE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韶关海螺环保科技有限公司、广东海螺鸿丰水泥有限公司</w:t>
                  </w:r>
                </w:p>
              </w:tc>
              <w:tc>
                <w:tcPr>
                  <w:tcW w:w="560" w:type="pct"/>
                  <w:vAlign w:val="center"/>
                </w:tcPr>
                <w:p w14:paraId="57150208">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韶关市</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新丰县回龙镇新村</w:t>
                  </w:r>
                </w:p>
              </w:tc>
              <w:tc>
                <w:tcPr>
                  <w:tcW w:w="405" w:type="pct"/>
                  <w:vAlign w:val="center"/>
                </w:tcPr>
                <w:p w14:paraId="3AB86ED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440233230228</w:t>
                  </w:r>
                </w:p>
              </w:tc>
              <w:tc>
                <w:tcPr>
                  <w:tcW w:w="555" w:type="pct"/>
                  <w:vAlign w:val="center"/>
                </w:tcPr>
                <w:p w14:paraId="07FB1A2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至202</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日</w:t>
                  </w:r>
                </w:p>
              </w:tc>
              <w:tc>
                <w:tcPr>
                  <w:tcW w:w="2657" w:type="pct"/>
                  <w:vAlign w:val="center"/>
                </w:tcPr>
                <w:p w14:paraId="37C68568">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【收集、贮存、</w:t>
                  </w: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处置（水泥窑协同）</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医药废物（HW02类中的271-001~005-02、272-001-02、272-003-02、272-005-02、275-004~006-02、275-008-02、276-001~00502），废药物、药品（HW03类中的900-002-03），农药废物（HW04类中的900-003-04），木材防腐剂废物（HW05类中的266-001~003-05、900-004-05），废有机溶剂与含有机溶剂废物（HW06类中的900-405-06、900-407-06、900-409-06），废矿物油与含矿物油废物（HW08类中的251-001～004-08、251-006-08、251-010~012-08、900</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199~200-08（不包括废矿物油）、900-209~210-08、900-213-08、900-215-08、900-221-08、</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900-249-08（不包括废金属桶）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油/水、烃/水混合物或乳化液（HW09类中的900-007-09），精（蒸）馏残渣（HW11类中的251-013-11、252-005-11、252-009-11、451-001~003-11、261-007~008-11、309-001-11、772-001-11、900-013-11），染料、涂料废物（HW12类中的64-002~006-12、264-008-12、264-010~013-12、</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900-250~256-12</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-299-12），有机树脂类废物（HW13类中的265101~104-13、900-014~016-13、900-451-13），感光材料废物（HW16中的266-009~010-16、231-001~002-16、398-001-16、873-001-16、900-019-16），表面处理废物（HW17类中的336-050~052-17、336-054~055-17、336-058-17、336-061~064-17、336-066-17，限废水处理污泥），焚烧处置残渣（HW18类中的772</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003~005-18，不包括飞灰），有机磷化合物废物（HW37类中的261-061~063-37、900-033-37），含镍废物（HW46类中的261-087-46、384-005-46），含钡废物（HW47类中的 261-088-47、336-106-47），有色金属采选和冶炼废物（HW48类中的321-023~026-48），其他废物（HW49类中的</w:t>
                  </w:r>
                  <w:r>
                    <w:rPr>
                      <w:rFonts w:hint="default" w:ascii="Times New Roman" w:hAnsi="Times New Roman" w:eastAsia="宋体" w:cs="Times New Roman"/>
                      <w:b/>
                      <w:bCs/>
                      <w:color w:val="000000" w:themeColor="text1"/>
                      <w:kern w:val="2"/>
                      <w:sz w:val="21"/>
                      <w:szCs w:val="21"/>
                      <w:highlight w:val="none"/>
                      <w:shd w:val="clear" w:color="auto" w:fill="FFFFFF"/>
                      <w:lang w:val="en-US" w:eastAsia="zh-CN" w:bidi="ar-SA"/>
                      <w14:textFill>
                        <w14:solidFill>
                          <w14:schemeClr w14:val="tx1"/>
                        </w14:solidFill>
                      </w14:textFill>
                    </w:rPr>
                    <w:t>900-039-49、900-041-49（不包括废金属桶）</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、900</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042-49、900-046~047-49、900-999-49），共18.06万吨/年。</w:t>
                  </w:r>
                </w:p>
              </w:tc>
            </w:tr>
          </w:tbl>
          <w:p w14:paraId="3662538B">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本项目的危险废物种类不多，单次产生量不大，性质较稳定，落实好上述措施后，从产生到转移处置的全过程环境风险均可得到有效控制，不存在重大隐患，不会对外部环境造成重大影响。</w:t>
            </w:r>
          </w:p>
          <w:p w14:paraId="709486DF">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五、土壤、地下水环境影响分析</w:t>
            </w:r>
          </w:p>
          <w:p w14:paraId="17FC01BE">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本项目厂区地面已全部硬化，危废间、</w:t>
            </w:r>
            <w:r>
              <w:rPr>
                <w:rFonts w:hint="eastAsia" w:cs="Times New Roman"/>
                <w:color w:val="000000" w:themeColor="text1"/>
                <w:kern w:val="2"/>
                <w:sz w:val="24"/>
                <w:szCs w:val="24"/>
                <w:highlight w:val="none"/>
                <w:lang w:val="en-US" w:eastAsia="zh-CN" w:bidi="ar-SA"/>
                <w14:textFill>
                  <w14:solidFill>
                    <w14:schemeClr w14:val="tx1"/>
                  </w14:solidFill>
                </w14:textFill>
              </w:rPr>
              <w:t>物料仓库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面硬化，并刷环氧树脂漆防渗层、设置围堰，正常情况下可有效阻止地下水污染途径，对地下水环境不产生影响。本项目所采用的原辅材料组成不含重金属等土壤污染成分，对土壤环境影响极小。本项目厂区按照规范和要求对生产车间、仓库以及危险废物仓库等采取有效的防雨、防渗漏、防溢流等措施，生产车间和仓库已进行场地硬化，因此不进行土壤现状监测。</w:t>
            </w:r>
          </w:p>
          <w:p w14:paraId="12068D9E">
            <w:pPr>
              <w:widowControl w:val="0"/>
              <w:wordWrap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各原料组分不含有毒有害的重金属等污染物，也不涉及建设用地、农用地土壤污染风险筛选值和管制值的其他污染物，即项目不涉及土壤影响特征因子，不会引起土壤环境的盐化、酸化、碱化等生态环境变化，因此本次评价不做进一步的土壤累积影响预测。</w:t>
            </w:r>
          </w:p>
          <w:p w14:paraId="51857D88">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分区管控：</w:t>
            </w:r>
          </w:p>
          <w:p w14:paraId="04A6CA7A">
            <w:pPr>
              <w:widowControl w:val="0"/>
              <w:spacing w:line="360" w:lineRule="auto"/>
              <w:ind w:left="0" w:firstLine="480" w:firstLineChars="200"/>
              <w:jc w:val="both"/>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①简单防渗区：办公室及无液态原料的区域仅进行一般地面硬化，无需进行防渗处理。</w:t>
            </w:r>
          </w:p>
          <w:p w14:paraId="36CD6ED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②一般防渗区：本项目不涉及重金属、持久性有机污染物，液态</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化学品</w:t>
            </w:r>
            <w:r>
              <w:rPr>
                <w:rFonts w:hint="default" w:ascii="Times New Roman" w:hAnsi="Times New Roman" w:eastAsia="宋体" w:cs="Times New Roman"/>
                <w:color w:val="000000" w:themeColor="text1"/>
                <w:highlight w:val="none"/>
                <w14:textFill>
                  <w14:solidFill>
                    <w14:schemeClr w14:val="tx1"/>
                  </w14:solidFill>
                </w14:textFill>
              </w:rPr>
              <w:t>物料存在</w:t>
            </w:r>
            <w:r>
              <w:rPr>
                <w:rFonts w:hint="eastAsia" w:cs="Times New Roman"/>
                <w:color w:val="000000" w:themeColor="text1"/>
                <w:highlight w:val="none"/>
                <w:lang w:val="en-US" w:eastAsia="zh-CN"/>
                <w14:textFill>
                  <w14:solidFill>
                    <w14:schemeClr w14:val="tx1"/>
                  </w14:solidFill>
                </w14:textFill>
              </w:rPr>
              <w:t>物料仓库</w:t>
            </w:r>
            <w:r>
              <w:rPr>
                <w:rFonts w:hint="default" w:ascii="Times New Roman" w:hAnsi="Times New Roman" w:eastAsia="宋体" w:cs="Times New Roman"/>
                <w:color w:val="000000" w:themeColor="text1"/>
                <w:highlight w:val="none"/>
                <w14:textFill>
                  <w14:solidFill>
                    <w14:schemeClr w14:val="tx1"/>
                  </w14:solidFill>
                </w14:textFill>
              </w:rPr>
              <w:t>。因此对生产车间进行一般防渗处理，防渗要求按照等效黏土防渗层Mb≥1.5m，K≤1×10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cm/s或参照GB16889执行；</w:t>
            </w:r>
          </w:p>
          <w:p w14:paraId="28C7778E">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③重点防渗区：</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eastAsia" w:cs="Times New Roman"/>
                <w:color w:val="000000" w:themeColor="text1"/>
                <w:highlight w:val="none"/>
                <w:lang w:val="en-US" w:eastAsia="zh-CN"/>
                <w14:textFill>
                  <w14:solidFill>
                    <w14:schemeClr w14:val="tx1"/>
                  </w14:solidFill>
                </w14:textFill>
              </w:rPr>
              <w:t>油墨、半水基清洗剂</w:t>
            </w:r>
            <w:r>
              <w:rPr>
                <w:rFonts w:hint="default" w:ascii="Times New Roman" w:hAnsi="Times New Roman" w:eastAsia="宋体" w:cs="Times New Roman"/>
                <w:color w:val="000000" w:themeColor="text1"/>
                <w:highlight w:val="none"/>
                <w:lang w:val="en-US" w:eastAsia="zh-CN"/>
                <w14:textFill>
                  <w14:solidFill>
                    <w14:schemeClr w14:val="tx1"/>
                  </w14:solidFill>
                </w14:textFill>
              </w:rPr>
              <w:t>贮存在</w:t>
            </w:r>
            <w:r>
              <w:rPr>
                <w:rFonts w:hint="eastAsia" w:cs="Times New Roman"/>
                <w:color w:val="000000" w:themeColor="text1"/>
                <w:highlight w:val="none"/>
                <w:lang w:val="en-US" w:eastAsia="zh-CN"/>
                <w14:textFill>
                  <w14:solidFill>
                    <w14:schemeClr w14:val="tx1"/>
                  </w14:solidFill>
                </w14:textFill>
              </w:rPr>
              <w:t>仓库</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color w:val="000000" w:themeColor="text1"/>
                <w:highlight w:val="none"/>
                <w14:textFill>
                  <w14:solidFill>
                    <w14:schemeClr w14:val="tx1"/>
                  </w14:solidFill>
                </w14:textFill>
              </w:rPr>
              <w:t>危险废物贮存在危废间，对</w:t>
            </w:r>
            <w:r>
              <w:rPr>
                <w:rFonts w:hint="eastAsia" w:cs="Times New Roman"/>
                <w:color w:val="000000" w:themeColor="text1"/>
                <w:highlight w:val="none"/>
                <w:lang w:val="en-US" w:eastAsia="zh-CN"/>
                <w14:textFill>
                  <w14:solidFill>
                    <w14:schemeClr w14:val="tx1"/>
                  </w14:solidFill>
                </w14:textFill>
              </w:rPr>
              <w:t>物料仓库</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危废间进行重点防渗处理，要求按照等效黏土防渗层Mb≥6.0m，K≤1×10</w:t>
            </w:r>
            <w:r>
              <w:rPr>
                <w:rFonts w:hint="default" w:ascii="Times New Roman" w:hAnsi="Times New Roman" w:eastAsia="宋体" w:cs="Times New Roman"/>
                <w:color w:val="000000" w:themeColor="text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cm/s或参照GB185</w:t>
            </w:r>
            <w:r>
              <w:rPr>
                <w:rFonts w:hint="eastAsia" w:cs="Times New Roman"/>
                <w:color w:val="000000" w:themeColor="text1"/>
                <w:highlight w:val="none"/>
                <w:lang w:val="en-US" w:eastAsia="zh-CN"/>
                <w14:textFill>
                  <w14:solidFill>
                    <w14:schemeClr w14:val="tx1"/>
                  </w14:solidFill>
                </w14:textFill>
              </w:rPr>
              <w:t>9</w:t>
            </w:r>
            <w:r>
              <w:rPr>
                <w:rFonts w:hint="eastAsia"/>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并设置围堰</w:t>
            </w:r>
            <w:r>
              <w:rPr>
                <w:rFonts w:hint="default" w:ascii="Times New Roman" w:hAnsi="Times New Roman" w:eastAsia="宋体" w:cs="Times New Roman"/>
                <w:color w:val="000000" w:themeColor="text1"/>
                <w:highlight w:val="none"/>
                <w14:textFill>
                  <w14:solidFill>
                    <w14:schemeClr w14:val="tx1"/>
                  </w14:solidFill>
                </w14:textFill>
              </w:rPr>
              <w:t>。</w:t>
            </w:r>
          </w:p>
          <w:p w14:paraId="70A8542A">
            <w:pPr>
              <w:keepNext/>
              <w:keepLines/>
              <w:tabs>
                <w:tab w:val="left" w:pos="0"/>
              </w:tabs>
              <w:ind w:firstLine="480" w:firstLineChars="200"/>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六、生态环境影响分析</w:t>
            </w:r>
          </w:p>
          <w:p w14:paraId="3C545BC7">
            <w:pPr>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经现场调查，项目周边500m范围内未发现珍稀、濒危植物，主要为人工绿化植物群落，植被覆盖率一般，无明显水土流失区；陆生动物以家禽、家畜为主；项目所在地周围100m范围内由于人为开发活动，已逐渐由自然生态环境转为城市人工生态环境，项目所在地属于非重要生境，没有特别受保护的生境和生物及水产资源，对周边生态环境影响较小。</w:t>
            </w:r>
          </w:p>
          <w:p w14:paraId="696C5E49">
            <w:pPr>
              <w:keepNext/>
              <w:keepLines/>
              <w:tabs>
                <w:tab w:val="left" w:pos="0"/>
              </w:tabs>
              <w:ind w:left="478"/>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七、环境风险影响分析</w:t>
            </w:r>
          </w:p>
          <w:p w14:paraId="5446D807">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1、环境风险识别</w:t>
            </w:r>
          </w:p>
          <w:p w14:paraId="269B99C7">
            <w:pPr>
              <w:ind w:firstLine="48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环境风险评价应以突发事故导致的危险物质环境急性损害防控为目标，对建设项目的环境风险进行分析、预测和评估，提出环境风险预防、控制、减缓措施，明确环境风险监控及应急建议要求，为建设项目环境风险防控提供科学依据。</w:t>
            </w:r>
          </w:p>
          <w:p w14:paraId="1382BA72">
            <w:pPr>
              <w:keepNext/>
              <w:keepLines/>
              <w:tabs>
                <w:tab w:val="left" w:pos="0"/>
              </w:tabs>
              <w:ind w:left="480" w:leftChars="200"/>
              <w:outlineLvl w:val="3"/>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2、评价依据</w:t>
            </w:r>
          </w:p>
          <w:p w14:paraId="67A6A95E">
            <w:pPr>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根据《建设项目环境影响报告表编制技术指南（污染影响类）（试行）》表1专项评价设置原则表，环境风险设置专项评价原则为有毒有害和易燃易爆危险物质存储量超过临界量的建设项目，临界量及其计算方法参考《建设项目环境风险评价技术导则》（HJ 169-2018）附录B、附录C。</w:t>
            </w:r>
          </w:p>
          <w:p w14:paraId="63D85114">
            <w:pPr>
              <w:ind w:firstLine="480" w:firstLineChars="20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本项目涉及的风险物质</w:t>
            </w:r>
            <w:r>
              <w:rPr>
                <w:rFonts w:hint="eastAsia" w:cs="Times New Roman"/>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油性油墨、半水基清洗剂、硫化剂参照</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表B.1突发环境事件风险物质及临界量</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取10t；</w:t>
            </w:r>
          </w:p>
          <w:p w14:paraId="0423ECC1">
            <w:pPr>
              <w:ind w:firstLine="480"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其余危险废物Q值参照《建设项目环境风险评价技术导则》（HJ169-2018）中“表B.2 其他危险物质临界量推荐值--健康危险急性毒性物质（类别2、类别3）的临界值50</w:t>
            </w:r>
            <w:r>
              <w:rPr>
                <w:rFonts w:hint="eastAsia" w:cs="Times New Roman"/>
                <w:color w:val="000000" w:themeColor="text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highlight w:val="none"/>
                <w14:textFill>
                  <w14:solidFill>
                    <w14:schemeClr w14:val="tx1"/>
                  </w14:solidFill>
                </w14:textFill>
              </w:rPr>
              <w:t>”。</w:t>
            </w:r>
          </w:p>
          <w:p w14:paraId="33C91AFE">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危险物质识别一览表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1805"/>
              <w:gridCol w:w="2463"/>
              <w:gridCol w:w="2221"/>
              <w:gridCol w:w="1742"/>
            </w:tblGrid>
            <w:tr w14:paraId="286E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63F2F2BB">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79007562">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物质名称</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2442AC29">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风险特性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05201D6">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危险物质</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B2FC283">
                  <w:pPr>
                    <w:widowControl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判断依据</w:t>
                  </w:r>
                </w:p>
              </w:tc>
            </w:tr>
            <w:tr w14:paraId="34D1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7708496">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1</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34BF9E63">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油墨</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14C6E1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6708BB1A">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有机溶剂</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3683D8C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1D63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06CF023">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2</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4C25DD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半水基清洗剂</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A9261AF">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25C66A78">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有机溶剂</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225E42DE">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2323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B90238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1376F33">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硫化剂</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56C910B4">
                  <w:pPr>
                    <w:widowControl w:val="0"/>
                    <w:spacing w:line="240" w:lineRule="auto"/>
                    <w:jc w:val="center"/>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43CEF890">
                  <w:pPr>
                    <w:widowControl w:val="0"/>
                    <w:spacing w:line="240" w:lineRule="auto"/>
                    <w:jc w:val="center"/>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过氧化物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610BB484">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0E71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02648885">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4</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518F159">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废机油桶</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1F5A3A95">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635B5BCB">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79B38AF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3525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688603D8">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5</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1EDD958D">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50A12941">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39501591">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7A91BA0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1949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1F11CE9">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6</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2E01406">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废含油抹布手套</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2811FF4">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环境危害、</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7CE4707A">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1A31051C">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r w14:paraId="0281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D9C64F1">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7</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0F06A4F">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其他危险废物</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4EAB174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D6A031C">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危险废物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00CE8557">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HJ 169-2018</w:t>
                  </w:r>
                </w:p>
              </w:tc>
            </w:tr>
          </w:tbl>
          <w:p w14:paraId="2FA3E0C3">
            <w:pPr>
              <w:adjustRightInd w:val="0"/>
              <w:ind w:firstLine="472"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pacing w:val="-2"/>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highlight w:val="none"/>
                <w14:textFill>
                  <w14:solidFill>
                    <w14:schemeClr w14:val="tx1"/>
                  </w14:solidFill>
                </w14:textFill>
              </w:rPr>
              <w:t>则本项目Q值确定见下表</w:t>
            </w:r>
            <w:r>
              <w:rPr>
                <w:rFonts w:hint="default" w:ascii="Times New Roman" w:hAnsi="Times New Roman" w:eastAsia="宋体" w:cs="Times New Roman"/>
                <w:color w:val="000000" w:themeColor="text1"/>
                <w:kern w:val="0"/>
                <w:highlight w:val="none"/>
                <w14:textFill>
                  <w14:solidFill>
                    <w14:schemeClr w14:val="tx1"/>
                  </w14:solidFill>
                </w14:textFill>
              </w:rPr>
              <w:t>。</w:t>
            </w:r>
          </w:p>
          <w:p w14:paraId="19D662E2">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建设项目Q值确定表</w:t>
            </w:r>
          </w:p>
          <w:tbl>
            <w:tblPr>
              <w:tblStyle w:val="47"/>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838"/>
              <w:gridCol w:w="1118"/>
              <w:gridCol w:w="2552"/>
              <w:gridCol w:w="936"/>
              <w:gridCol w:w="1450"/>
            </w:tblGrid>
            <w:tr w14:paraId="061E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97" w:type="dxa"/>
                  <w:vAlign w:val="center"/>
                </w:tcPr>
                <w:p w14:paraId="7228D43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838" w:type="dxa"/>
                  <w:vAlign w:val="center"/>
                </w:tcPr>
                <w:p w14:paraId="380D480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危险物质名称</w:t>
                  </w:r>
                </w:p>
              </w:tc>
              <w:tc>
                <w:tcPr>
                  <w:tcW w:w="1118" w:type="dxa"/>
                  <w:vAlign w:val="center"/>
                </w:tcPr>
                <w:p w14:paraId="5CCC68AA">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CAS号</w:t>
                  </w:r>
                </w:p>
              </w:tc>
              <w:tc>
                <w:tcPr>
                  <w:tcW w:w="2552" w:type="dxa"/>
                  <w:vAlign w:val="center"/>
                </w:tcPr>
                <w:p w14:paraId="0FDF696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最大存储总量（t）</w:t>
                  </w:r>
                </w:p>
              </w:tc>
              <w:tc>
                <w:tcPr>
                  <w:tcW w:w="936" w:type="dxa"/>
                  <w:vAlign w:val="center"/>
                </w:tcPr>
                <w:p w14:paraId="1D5F73D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临界量Qn/t</w:t>
                  </w:r>
                </w:p>
              </w:tc>
              <w:tc>
                <w:tcPr>
                  <w:tcW w:w="1450" w:type="dxa"/>
                  <w:vAlign w:val="center"/>
                </w:tcPr>
                <w:p w14:paraId="67D5D49D">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该种危险物质Q值</w:t>
                  </w:r>
                </w:p>
              </w:tc>
            </w:tr>
            <w:tr w14:paraId="61BE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644CFBC9">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1</w:t>
                  </w:r>
                </w:p>
              </w:tc>
              <w:tc>
                <w:tcPr>
                  <w:tcW w:w="1838" w:type="dxa"/>
                  <w:vAlign w:val="center"/>
                </w:tcPr>
                <w:p w14:paraId="6CB75E08">
                  <w:pPr>
                    <w:widowControl w:val="0"/>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油墨</w:t>
                  </w:r>
                </w:p>
              </w:tc>
              <w:tc>
                <w:tcPr>
                  <w:tcW w:w="1118" w:type="dxa"/>
                  <w:vAlign w:val="center"/>
                </w:tcPr>
                <w:p w14:paraId="5B3B56BA">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20E985C0">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0.002</w:t>
                  </w:r>
                </w:p>
              </w:tc>
              <w:tc>
                <w:tcPr>
                  <w:tcW w:w="936" w:type="dxa"/>
                  <w:vAlign w:val="center"/>
                </w:tcPr>
                <w:p w14:paraId="2783C27C">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11B0006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w:t>
                  </w:r>
                </w:p>
              </w:tc>
            </w:tr>
            <w:tr w14:paraId="01DC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427C4E3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2</w:t>
                  </w:r>
                </w:p>
              </w:tc>
              <w:tc>
                <w:tcPr>
                  <w:tcW w:w="1838" w:type="dxa"/>
                  <w:vAlign w:val="center"/>
                </w:tcPr>
                <w:p w14:paraId="6965D429">
                  <w:pPr>
                    <w:widowControl w:val="0"/>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半水基清洗剂</w:t>
                  </w:r>
                </w:p>
              </w:tc>
              <w:tc>
                <w:tcPr>
                  <w:tcW w:w="1118" w:type="dxa"/>
                  <w:vAlign w:val="center"/>
                </w:tcPr>
                <w:p w14:paraId="6860389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50A9964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0.004</w:t>
                  </w:r>
                </w:p>
              </w:tc>
              <w:tc>
                <w:tcPr>
                  <w:tcW w:w="936" w:type="dxa"/>
                  <w:vAlign w:val="center"/>
                </w:tcPr>
                <w:p w14:paraId="40EE7069">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172C8F1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0.0004</w:t>
                  </w:r>
                </w:p>
              </w:tc>
            </w:tr>
            <w:tr w14:paraId="321E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8411483">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w:t>
                  </w:r>
                </w:p>
              </w:tc>
              <w:tc>
                <w:tcPr>
                  <w:tcW w:w="1838" w:type="dxa"/>
                  <w:vAlign w:val="center"/>
                </w:tcPr>
                <w:p w14:paraId="1C4F3240">
                  <w:pPr>
                    <w:widowControl w:val="0"/>
                    <w:spacing w:line="240" w:lineRule="auto"/>
                    <w:jc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硫化剂</w:t>
                  </w:r>
                </w:p>
              </w:tc>
              <w:tc>
                <w:tcPr>
                  <w:tcW w:w="1118" w:type="dxa"/>
                  <w:vAlign w:val="center"/>
                </w:tcPr>
                <w:p w14:paraId="48D4D6D2">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32CE9BE4">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c>
                <w:tcPr>
                  <w:tcW w:w="936" w:type="dxa"/>
                  <w:vAlign w:val="center"/>
                </w:tcPr>
                <w:p w14:paraId="5CFA1724">
                  <w:pPr>
                    <w:keepNext w:val="0"/>
                    <w:keepLines w:val="0"/>
                    <w:pageBreakBefore w:val="0"/>
                    <w:kinsoku/>
                    <w:wordWrap/>
                    <w:overflowPunct/>
                    <w:topLinePunct w:val="0"/>
                    <w:autoSpaceDE/>
                    <w:autoSpaceDN/>
                    <w:bidi w:val="0"/>
                    <w:adjustRightInd w:val="0"/>
                    <w:snapToGrid/>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50" w:type="dxa"/>
                  <w:vAlign w:val="center"/>
                </w:tcPr>
                <w:p w14:paraId="6D3511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6159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5E180BBF">
                  <w:pPr>
                    <w:keepNext w:val="0"/>
                    <w:keepLines w:val="0"/>
                    <w:pageBreakBefore w:val="0"/>
                    <w:widowControl w:val="0"/>
                    <w:kinsoku/>
                    <w:wordWrap/>
                    <w:overflowPunct/>
                    <w:topLinePunct w:val="0"/>
                    <w:autoSpaceDE/>
                    <w:autoSpaceDN/>
                    <w:bidi w:val="0"/>
                    <w:snapToGrid/>
                    <w:spacing w:line="240" w:lineRule="auto"/>
                    <w:jc w:val="center"/>
                    <w:rPr>
                      <w:rFonts w:hint="eastAsia"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4</w:t>
                  </w:r>
                </w:p>
              </w:tc>
              <w:tc>
                <w:tcPr>
                  <w:tcW w:w="1838" w:type="dxa"/>
                  <w:vAlign w:val="center"/>
                </w:tcPr>
                <w:p w14:paraId="68BCE480">
                  <w:pPr>
                    <w:keepNext w:val="0"/>
                    <w:keepLines w:val="0"/>
                    <w:widowControl/>
                    <w:suppressLineNumbers w:val="0"/>
                    <w:jc w:val="center"/>
                    <w:textAlignment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润滑油</w:t>
                  </w:r>
                </w:p>
              </w:tc>
              <w:tc>
                <w:tcPr>
                  <w:tcW w:w="1118" w:type="dxa"/>
                  <w:vAlign w:val="center"/>
                </w:tcPr>
                <w:p w14:paraId="5E5EF32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552" w:type="dxa"/>
                  <w:vAlign w:val="center"/>
                </w:tcPr>
                <w:p w14:paraId="03BBA196">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0.018</w:t>
                  </w:r>
                </w:p>
              </w:tc>
              <w:tc>
                <w:tcPr>
                  <w:tcW w:w="936" w:type="dxa"/>
                  <w:vAlign w:val="center"/>
                </w:tcPr>
                <w:p w14:paraId="0FC9A2E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450" w:type="dxa"/>
                  <w:vAlign w:val="center"/>
                </w:tcPr>
                <w:p w14:paraId="141DBA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0.0000072</w:t>
                  </w:r>
                </w:p>
              </w:tc>
            </w:tr>
            <w:tr w14:paraId="26F8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23A8B5E6">
                  <w:pPr>
                    <w:keepNext w:val="0"/>
                    <w:keepLines w:val="0"/>
                    <w:pageBreakBefore w:val="0"/>
                    <w:widowControl w:val="0"/>
                    <w:kinsoku/>
                    <w:wordWrap/>
                    <w:overflowPunct/>
                    <w:topLinePunct w:val="0"/>
                    <w:autoSpaceDE/>
                    <w:autoSpaceDN/>
                    <w:bidi w:val="0"/>
                    <w:snapToGrid/>
                    <w:spacing w:line="240" w:lineRule="auto"/>
                    <w:jc w:val="center"/>
                    <w:rPr>
                      <w:rFonts w:hint="default"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5</w:t>
                  </w:r>
                </w:p>
              </w:tc>
              <w:tc>
                <w:tcPr>
                  <w:tcW w:w="1838" w:type="dxa"/>
                  <w:vAlign w:val="center"/>
                </w:tcPr>
                <w:p w14:paraId="75B0A762">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废机油</w:t>
                  </w:r>
                </w:p>
              </w:tc>
              <w:tc>
                <w:tcPr>
                  <w:tcW w:w="1118" w:type="dxa"/>
                  <w:vAlign w:val="center"/>
                </w:tcPr>
                <w:p w14:paraId="136D3BA6">
                  <w:pPr>
                    <w:keepNext w:val="0"/>
                    <w:keepLines w:val="0"/>
                    <w:pageBreakBefore w:val="0"/>
                    <w:kinsoku/>
                    <w:wordWrap/>
                    <w:overflowPunct/>
                    <w:topLinePunct w:val="0"/>
                    <w:autoSpaceDE/>
                    <w:autoSpaceDN/>
                    <w:bidi w:val="0"/>
                    <w:adjustRightInd w:val="0"/>
                    <w:snapToGrid/>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0858EBA5">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936" w:type="dxa"/>
                  <w:vAlign w:val="center"/>
                </w:tcPr>
                <w:p w14:paraId="0227F6AA">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2500</w:t>
                  </w:r>
                </w:p>
              </w:tc>
              <w:tc>
                <w:tcPr>
                  <w:tcW w:w="1450" w:type="dxa"/>
                  <w:vAlign w:val="center"/>
                </w:tcPr>
                <w:p w14:paraId="6DB3D5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w:t>
                  </w:r>
                </w:p>
              </w:tc>
            </w:tr>
            <w:tr w14:paraId="7593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7212812">
                  <w:pPr>
                    <w:keepNext w:val="0"/>
                    <w:keepLines w:val="0"/>
                    <w:pageBreakBefore w:val="0"/>
                    <w:widowControl w:val="0"/>
                    <w:kinsoku/>
                    <w:wordWrap/>
                    <w:overflowPunct/>
                    <w:topLinePunct w:val="0"/>
                    <w:autoSpaceDE/>
                    <w:autoSpaceDN/>
                    <w:bidi w:val="0"/>
                    <w:snapToGrid/>
                    <w:spacing w:line="240" w:lineRule="auto"/>
                    <w:jc w:val="center"/>
                    <w:rPr>
                      <w:rFonts w:hint="default"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6</w:t>
                  </w:r>
                </w:p>
              </w:tc>
              <w:tc>
                <w:tcPr>
                  <w:tcW w:w="1838" w:type="dxa"/>
                  <w:vAlign w:val="center"/>
                </w:tcPr>
                <w:p w14:paraId="040043A6">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废含油抹布及手套</w:t>
                  </w:r>
                </w:p>
              </w:tc>
              <w:tc>
                <w:tcPr>
                  <w:tcW w:w="1118" w:type="dxa"/>
                  <w:vAlign w:val="center"/>
                </w:tcPr>
                <w:p w14:paraId="0D6EDECC">
                  <w:pPr>
                    <w:keepNext w:val="0"/>
                    <w:keepLines w:val="0"/>
                    <w:pageBreakBefore w:val="0"/>
                    <w:kinsoku/>
                    <w:wordWrap/>
                    <w:overflowPunct/>
                    <w:topLinePunct w:val="0"/>
                    <w:autoSpaceDE/>
                    <w:autoSpaceDN/>
                    <w:bidi w:val="0"/>
                    <w:adjustRightInd w:val="0"/>
                    <w:snapToGrid/>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2552" w:type="dxa"/>
                  <w:vAlign w:val="center"/>
                </w:tcPr>
                <w:p w14:paraId="77CF67EC">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936" w:type="dxa"/>
                  <w:vAlign w:val="center"/>
                </w:tcPr>
                <w:p w14:paraId="2667C358">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450" w:type="dxa"/>
                  <w:vAlign w:val="center"/>
                </w:tcPr>
                <w:p w14:paraId="470F08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w:t>
                  </w:r>
                </w:p>
              </w:tc>
            </w:tr>
            <w:tr w14:paraId="41A3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12A93BD5">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color w:val="000000" w:themeColor="text1"/>
                      <w:kern w:val="2"/>
                      <w:sz w:val="21"/>
                      <w:szCs w:val="21"/>
                      <w:highlight w:val="none"/>
                      <w:lang w:val="en-US" w:eastAsia="zh-CN" w:bidi="ar-SA"/>
                      <w14:textFill>
                        <w14:solidFill>
                          <w14:schemeClr w14:val="tx1"/>
                        </w14:solidFill>
                      </w14:textFill>
                    </w:rPr>
                    <w:t>7</w:t>
                  </w:r>
                </w:p>
              </w:tc>
              <w:tc>
                <w:tcPr>
                  <w:tcW w:w="1838" w:type="dxa"/>
                  <w:vAlign w:val="center"/>
                </w:tcPr>
                <w:p w14:paraId="30FC0985">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其他</w:t>
                  </w: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危险废物</w:t>
                  </w:r>
                </w:p>
              </w:tc>
              <w:tc>
                <w:tcPr>
                  <w:tcW w:w="1118" w:type="dxa"/>
                  <w:vAlign w:val="center"/>
                </w:tcPr>
                <w:p w14:paraId="20033CDF">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552" w:type="dxa"/>
                  <w:vAlign w:val="center"/>
                </w:tcPr>
                <w:p w14:paraId="0CA7E7A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14:textFill>
                        <w14:solidFill>
                          <w14:schemeClr w14:val="tx1"/>
                        </w14:solidFill>
                      </w14:textFill>
                    </w:rPr>
                    <w:t>10（按危废间最大储存能力计）</w:t>
                  </w:r>
                </w:p>
              </w:tc>
              <w:tc>
                <w:tcPr>
                  <w:tcW w:w="936" w:type="dxa"/>
                  <w:vAlign w:val="center"/>
                </w:tcPr>
                <w:p w14:paraId="150E39C0">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w:t>
                  </w:r>
                </w:p>
              </w:tc>
              <w:tc>
                <w:tcPr>
                  <w:tcW w:w="1450" w:type="dxa"/>
                  <w:vAlign w:val="center"/>
                </w:tcPr>
                <w:p w14:paraId="0A725C9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r>
            <w:tr w14:paraId="708A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41" w:type="dxa"/>
                  <w:gridSpan w:val="5"/>
                  <w:vAlign w:val="center"/>
                </w:tcPr>
                <w:p w14:paraId="4ADCEEEF">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项目Q值</w:t>
                  </w:r>
                </w:p>
              </w:tc>
              <w:tc>
                <w:tcPr>
                  <w:tcW w:w="1450" w:type="dxa"/>
                  <w:vAlign w:val="center"/>
                </w:tcPr>
                <w:p w14:paraId="5BF1BD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4CC5B9DB">
            <w:pPr>
              <w:ind w:firstLine="480" w:firstLineChars="200"/>
              <w:jc w:val="left"/>
              <w:rPr>
                <w:rFonts w:hint="default" w:ascii="Times New Roman" w:hAnsi="Times New Roman" w:eastAsia="宋体" w:cs="Times New Roman"/>
                <w:color w:val="000000" w:themeColor="text1"/>
                <w:spacing w:val="-2"/>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w:t>
            </w:r>
            <w:r>
              <w:rPr>
                <w:rFonts w:hint="default" w:ascii="Times New Roman" w:hAnsi="Times New Roman" w:eastAsia="宋体" w:cs="Times New Roman"/>
                <w:color w:val="000000" w:themeColor="text1"/>
                <w:spacing w:val="-2"/>
                <w:highlight w:val="none"/>
                <w14:textFill>
                  <w14:solidFill>
                    <w14:schemeClr w14:val="tx1"/>
                  </w14:solidFill>
                </w14:textFill>
              </w:rPr>
              <w:t>《建设项目环境</w:t>
            </w:r>
            <w:r>
              <w:rPr>
                <w:rFonts w:hint="eastAsia" w:eastAsia="宋体" w:cs="Times New Roman"/>
                <w:color w:val="000000" w:themeColor="text1"/>
                <w:spacing w:val="-2"/>
                <w:highlight w:val="none"/>
                <w:lang w:val="en-US" w:eastAsia="zh-CN"/>
                <w14:textFill>
                  <w14:solidFill>
                    <w14:schemeClr w14:val="tx1"/>
                  </w14:solidFill>
                </w14:textFill>
              </w:rPr>
              <w:t>影响报告表编制技术指南</w:t>
            </w:r>
            <w:r>
              <w:rPr>
                <w:rFonts w:hint="default" w:ascii="Times New Roman" w:hAnsi="Times New Roman" w:eastAsia="宋体" w:cs="Times New Roman"/>
                <w:color w:val="000000" w:themeColor="text1"/>
                <w:spacing w:val="-2"/>
                <w:highlight w:val="none"/>
                <w14:textFill>
                  <w14:solidFill>
                    <w14:schemeClr w14:val="tx1"/>
                  </w14:solidFill>
                </w14:textFill>
              </w:rPr>
              <w:t>》（</w:t>
            </w:r>
            <w:r>
              <w:rPr>
                <w:rFonts w:hint="eastAsia" w:eastAsia="宋体" w:cs="Times New Roman"/>
                <w:color w:val="000000" w:themeColor="text1"/>
                <w:spacing w:val="-2"/>
                <w:highlight w:val="none"/>
                <w:lang w:val="en-US" w:eastAsia="zh-CN"/>
                <w14:textFill>
                  <w14:solidFill>
                    <w14:schemeClr w14:val="tx1"/>
                  </w14:solidFill>
                </w14:textFill>
              </w:rPr>
              <w:t>污染影响类</w:t>
            </w:r>
            <w:r>
              <w:rPr>
                <w:rFonts w:hint="default" w:ascii="Times New Roman" w:hAnsi="Times New Roman" w:eastAsia="宋体" w:cs="Times New Roman"/>
                <w:color w:val="000000" w:themeColor="text1"/>
                <w:spacing w:val="-2"/>
                <w:highlight w:val="none"/>
                <w14:textFill>
                  <w14:solidFill>
                    <w14:schemeClr w14:val="tx1"/>
                  </w14:solidFill>
                </w14:textFill>
              </w:rPr>
              <w:t>）</w:t>
            </w:r>
            <w:r>
              <w:rPr>
                <w:rFonts w:hint="eastAsia" w:eastAsia="宋体" w:cs="Times New Roman"/>
                <w:color w:val="000000" w:themeColor="text1"/>
                <w:spacing w:val="-2"/>
                <w:highlight w:val="none"/>
                <w:lang w:eastAsia="zh-CN"/>
                <w14:textFill>
                  <w14:solidFill>
                    <w14:schemeClr w14:val="tx1"/>
                  </w14:solidFill>
                </w14:textFill>
              </w:rPr>
              <w:t>（</w:t>
            </w:r>
            <w:r>
              <w:rPr>
                <w:rFonts w:hint="eastAsia" w:eastAsia="宋体" w:cs="Times New Roman"/>
                <w:color w:val="000000" w:themeColor="text1"/>
                <w:spacing w:val="-2"/>
                <w:highlight w:val="none"/>
                <w:lang w:val="en-US" w:eastAsia="zh-CN"/>
                <w14:textFill>
                  <w14:solidFill>
                    <w14:schemeClr w14:val="tx1"/>
                  </w14:solidFill>
                </w14:textFill>
              </w:rPr>
              <w:t>试行</w:t>
            </w:r>
            <w:r>
              <w:rPr>
                <w:rFonts w:hint="eastAsia" w:eastAsia="宋体" w:cs="Times New Roman"/>
                <w:color w:val="000000" w:themeColor="text1"/>
                <w:spacing w:val="-2"/>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highlight w:val="none"/>
                <w14:textFill>
                  <w14:solidFill>
                    <w14:schemeClr w14:val="tx1"/>
                  </w14:solidFill>
                </w14:textFill>
              </w:rPr>
              <w:t>，当Q</w:t>
            </w:r>
            <w:r>
              <w:rPr>
                <w:rFonts w:hint="eastAsia" w:cs="Times New Roman"/>
                <w:color w:val="000000" w:themeColor="text1"/>
                <w:spacing w:val="-2"/>
                <w:highlight w:val="none"/>
                <w:lang w:val="en-US" w:eastAsia="zh-CN"/>
                <w14:textFill>
                  <w14:solidFill>
                    <w14:schemeClr w14:val="tx1"/>
                  </w14:solidFill>
                </w14:textFill>
              </w:rPr>
              <w:t>=0.222＜</w:t>
            </w:r>
            <w:r>
              <w:rPr>
                <w:rFonts w:hint="default" w:ascii="Times New Roman" w:hAnsi="Times New Roman" w:eastAsia="宋体" w:cs="Times New Roman"/>
                <w:color w:val="000000" w:themeColor="text1"/>
                <w:spacing w:val="-2"/>
                <w:highlight w:val="none"/>
                <w14:textFill>
                  <w14:solidFill>
                    <w14:schemeClr w14:val="tx1"/>
                  </w14:solidFill>
                </w14:textFill>
              </w:rPr>
              <w:t>1时，</w:t>
            </w:r>
            <w:r>
              <w:rPr>
                <w:rFonts w:hint="eastAsia" w:cs="Times New Roman"/>
                <w:color w:val="000000" w:themeColor="text1"/>
                <w:spacing w:val="-2"/>
                <w:highlight w:val="none"/>
                <w:lang w:val="en-US" w:eastAsia="zh-CN"/>
                <w14:textFill>
                  <w14:solidFill>
                    <w14:schemeClr w14:val="tx1"/>
                  </w14:solidFill>
                </w14:textFill>
              </w:rPr>
              <w:t>无需编制环境风险专项评价</w:t>
            </w:r>
            <w:r>
              <w:rPr>
                <w:rFonts w:hint="default" w:ascii="Times New Roman" w:hAnsi="Times New Roman" w:eastAsia="宋体" w:cs="Times New Roman"/>
                <w:color w:val="000000" w:themeColor="text1"/>
                <w:spacing w:val="-2"/>
                <w:highlight w:val="none"/>
                <w14:textFill>
                  <w14:solidFill>
                    <w14:schemeClr w14:val="tx1"/>
                  </w14:solidFill>
                </w14:textFill>
              </w:rPr>
              <w:t>。</w:t>
            </w:r>
          </w:p>
          <w:p w14:paraId="4DEDB26C">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3、环境敏感目标调查</w:t>
            </w:r>
          </w:p>
          <w:p w14:paraId="45CB5118">
            <w:pPr>
              <w:ind w:firstLine="48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本项目拟于</w:t>
            </w:r>
            <w:r>
              <w:rPr>
                <w:rFonts w:hint="eastAsia" w:cs="Times New Roman"/>
                <w:color w:val="000000" w:themeColor="text1"/>
                <w:highlight w:val="none"/>
                <w:lang w:val="en-US" w:eastAsia="zh-CN"/>
                <w14:textFill>
                  <w14:solidFill>
                    <w14:schemeClr w14:val="tx1"/>
                  </w14:solidFill>
                </w14:textFill>
              </w:rPr>
              <w:t>韶关市乐昌市乐昌市产业转移工业园乐园大道23号7栋1-4层</w:t>
            </w:r>
            <w:r>
              <w:rPr>
                <w:rFonts w:hint="default" w:ascii="Times New Roman" w:hAnsi="Times New Roman" w:eastAsia="宋体" w:cs="Times New Roman"/>
                <w:color w:val="000000" w:themeColor="text1"/>
                <w:highlight w:val="none"/>
                <w14:textFill>
                  <w14:solidFill>
                    <w14:schemeClr w14:val="tx1"/>
                  </w14:solidFill>
                </w14:textFill>
              </w:rPr>
              <w:t>，厂区四周为</w:t>
            </w:r>
            <w:r>
              <w:rPr>
                <w:rFonts w:hint="eastAsia" w:cs="Times New Roman"/>
                <w:color w:val="000000" w:themeColor="text1"/>
                <w:highlight w:val="none"/>
                <w:lang w:val="en-US" w:eastAsia="zh-CN"/>
                <w14:textFill>
                  <w14:solidFill>
                    <w14:schemeClr w14:val="tx1"/>
                  </w14:solidFill>
                </w14:textFill>
              </w:rPr>
              <w:t>园区道路</w:t>
            </w:r>
            <w:r>
              <w:rPr>
                <w:rFonts w:hint="default" w:ascii="Times New Roman" w:hAnsi="Times New Roman" w:eastAsia="宋体" w:cs="Times New Roman"/>
                <w:color w:val="000000" w:themeColor="text1"/>
                <w:highlight w:val="none"/>
                <w14:textFill>
                  <w14:solidFill>
                    <w14:schemeClr w14:val="tx1"/>
                  </w14:solidFill>
                </w14:textFill>
              </w:rPr>
              <w:t>、空地，项目边界周围500m范围内</w:t>
            </w:r>
            <w:r>
              <w:rPr>
                <w:rFonts w:hint="eastAsia" w:cs="Times New Roman"/>
                <w:color w:val="000000" w:themeColor="text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highlight w:val="none"/>
                <w14:textFill>
                  <w14:solidFill>
                    <w14:schemeClr w14:val="tx1"/>
                  </w14:solidFill>
                </w14:textFill>
              </w:rPr>
              <w:t>医院、文物古迹、风景名胜区、自然保护区、水源保护区</w:t>
            </w:r>
            <w:r>
              <w:rPr>
                <w:rFonts w:hint="eastAsia" w:cs="Times New Roman"/>
                <w:color w:val="000000" w:themeColor="text1"/>
                <w:highlight w:val="none"/>
                <w:lang w:val="en-US" w:eastAsia="zh-CN"/>
                <w14:textFill>
                  <w14:solidFill>
                    <w14:schemeClr w14:val="tx1"/>
                  </w14:solidFill>
                </w14:textFill>
              </w:rPr>
              <w:t>，南侧490m处为乐园小学</w:t>
            </w:r>
            <w:r>
              <w:rPr>
                <w:rFonts w:hint="default" w:ascii="Times New Roman" w:hAnsi="Times New Roman" w:eastAsia="宋体" w:cs="Times New Roman"/>
                <w:color w:val="000000" w:themeColor="text1"/>
                <w:highlight w:val="none"/>
                <w14:textFill>
                  <w14:solidFill>
                    <w14:schemeClr w14:val="tx1"/>
                  </w14:solidFill>
                </w14:textFill>
              </w:rPr>
              <w:t>。</w:t>
            </w:r>
          </w:p>
          <w:p w14:paraId="4119BB77">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4、环境风险分析</w:t>
            </w:r>
          </w:p>
          <w:p w14:paraId="0836EDC5">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（1）大气环境风险分析</w:t>
            </w:r>
          </w:p>
          <w:p w14:paraId="2E3A39C5">
            <w:pPr>
              <w:widowControl/>
              <w:ind w:firstLine="48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物料在运输、装卸、储存和使用过程中发生泄漏、火灾，有毒有害物质在高温情况下散发到空气中，泄漏的物料、物料燃烧产生的次生污染物如烟尘、</w:t>
            </w:r>
            <w:r>
              <w:rPr>
                <w:rFonts w:hint="eastAsia" w:cs="Times New Roman"/>
                <w:color w:val="000000" w:themeColor="text1"/>
                <w:highlight w:val="none"/>
                <w:lang w:val="en-US" w:eastAsia="zh-CN"/>
                <w14:textFill>
                  <w14:solidFill>
                    <w14:schemeClr w14:val="tx1"/>
                  </w14:solidFill>
                </w14:textFill>
              </w:rPr>
              <w:t>苯乙烯</w:t>
            </w:r>
            <w:r>
              <w:rPr>
                <w:rFonts w:hint="default" w:ascii="Times New Roman" w:hAnsi="Times New Roman" w:eastAsia="宋体" w:cs="Times New Roman"/>
                <w:color w:val="000000" w:themeColor="text1"/>
                <w:highlight w:val="none"/>
                <w14:textFill>
                  <w14:solidFill>
                    <w14:schemeClr w14:val="tx1"/>
                  </w14:solidFill>
                </w14:textFill>
              </w:rPr>
              <w:t>等将对周边的环境空气带来较为严重的污染甚至对人群健康造成危害。</w:t>
            </w:r>
          </w:p>
          <w:p w14:paraId="5741E47D">
            <w:pPr>
              <w:keepNext/>
              <w:keepLines/>
              <w:numPr>
                <w:ilvl w:val="4"/>
                <w:numId w:val="0"/>
              </w:numPr>
              <w:spacing w:line="360" w:lineRule="auto"/>
              <w:ind w:firstLine="480" w:firstLineChars="200"/>
              <w:outlineLvl w:val="4"/>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（2）地表水、地下水环境风险分析</w:t>
            </w:r>
          </w:p>
          <w:p w14:paraId="58C6BB1C">
            <w:pPr>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液态有毒有害物质经地表径流或雨水管进入周边水体，或通过地表下渗污染地下水水质，严重污染河涌、水道水质，比如，液态有毒有害物质在运输、装卸、储存和使用过程中发生泄漏，危险废物仓库防渗层损坏等，对地表水、地下水环境带来较为严重的污染。本项目液态化学品</w:t>
            </w:r>
            <w:r>
              <w:rPr>
                <w:rFonts w:hint="eastAsia" w:cs="Times New Roman"/>
                <w:color w:val="000000" w:themeColor="text1"/>
                <w:highlight w:val="none"/>
                <w:lang w:eastAsia="zh-CN"/>
                <w14:textFill>
                  <w14:solidFill>
                    <w14:schemeClr w14:val="tx1"/>
                  </w14:solidFill>
                </w14:textFill>
              </w:rPr>
              <w:t>（油墨、半水基清洗剂、硫化剂）</w:t>
            </w:r>
            <w:r>
              <w:rPr>
                <w:rFonts w:hint="default" w:ascii="Times New Roman" w:hAnsi="Times New Roman" w:eastAsia="宋体" w:cs="Times New Roman"/>
                <w:color w:val="000000" w:themeColor="text1"/>
                <w:highlight w:val="none"/>
                <w14:textFill>
                  <w14:solidFill>
                    <w14:schemeClr w14:val="tx1"/>
                  </w14:solidFill>
                </w14:textFill>
              </w:rPr>
              <w:t>均储存在厂房设置的</w:t>
            </w:r>
            <w:r>
              <w:rPr>
                <w:rFonts w:hint="eastAsia" w:cs="Times New Roman"/>
                <w:color w:val="000000" w:themeColor="text1"/>
                <w:highlight w:val="none"/>
                <w:lang w:eastAsia="zh-CN"/>
                <w14:textFill>
                  <w14:solidFill>
                    <w14:schemeClr w14:val="tx1"/>
                  </w14:solidFill>
                </w14:textFill>
              </w:rPr>
              <w:t>物料仓库</w:t>
            </w:r>
            <w:r>
              <w:rPr>
                <w:rFonts w:hint="default" w:ascii="Times New Roman" w:hAnsi="Times New Roman" w:eastAsia="宋体" w:cs="Times New Roman"/>
                <w:color w:val="000000" w:themeColor="text1"/>
                <w:highlight w:val="none"/>
                <w14:textFill>
                  <w14:solidFill>
                    <w14:schemeClr w14:val="tx1"/>
                  </w14:solidFill>
                </w14:textFill>
              </w:rPr>
              <w:t>内，且出入口处设置围堰围挡，物料随用随取，不使用时密闭封存，本项目厂区内均已进行地面硬化，厂界四周设置围墙围挡，仅保留厂区出入口，且厂区与</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东南侧廊田河</w:t>
            </w:r>
            <w:r>
              <w:rPr>
                <w:rFonts w:hint="eastAsia" w:cs="Times New Roman"/>
                <w:bCs/>
                <w:color w:val="000000" w:themeColor="text1"/>
                <w:kern w:val="28"/>
                <w:sz w:val="24"/>
                <w:highlight w:val="none"/>
                <w:lang w:val="en-US" w:eastAsia="zh-CN"/>
                <w14:textFill>
                  <w14:solidFill>
                    <w14:schemeClr w14:val="tx1"/>
                  </w14:solidFill>
                </w14:textFill>
              </w:rPr>
              <w:t>最小距离为3309</w:t>
            </w:r>
            <w:r>
              <w:rPr>
                <w:rFonts w:hint="default" w:ascii="Times New Roman" w:hAnsi="Times New Roman" w:cs="Times New Roman"/>
                <w:bCs/>
                <w:color w:val="000000" w:themeColor="text1"/>
                <w:kern w:val="28"/>
                <w:sz w:val="24"/>
                <w:highlight w:val="none"/>
                <w14:textFill>
                  <w14:solidFill>
                    <w14:schemeClr w14:val="tx1"/>
                  </w14:solidFill>
                </w14:textFill>
              </w:rPr>
              <w:t>m</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处</w:t>
            </w:r>
            <w:r>
              <w:rPr>
                <w:rFonts w:hint="default" w:ascii="Times New Roman" w:hAnsi="Times New Roman" w:cs="Times New Roman"/>
                <w:bCs/>
                <w:color w:val="000000" w:themeColor="text1"/>
                <w:kern w:val="28"/>
                <w:sz w:val="24"/>
                <w:highlight w:val="none"/>
                <w14:textFill>
                  <w14:solidFill>
                    <w14:schemeClr w14:val="tx1"/>
                  </w14:solidFill>
                </w14:textFill>
              </w:rPr>
              <w:t>，</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在园区道路阻隔，重力引流情况下，本项目厂区内</w:t>
            </w:r>
            <w:r>
              <w:rPr>
                <w:rFonts w:hint="default" w:ascii="Times New Roman" w:hAnsi="Times New Roman" w:cs="Times New Roman"/>
                <w:bCs/>
                <w:color w:val="000000" w:themeColor="text1"/>
                <w:kern w:val="28"/>
                <w:sz w:val="24"/>
                <w:highlight w:val="none"/>
                <w14:textFill>
                  <w14:solidFill>
                    <w14:schemeClr w14:val="tx1"/>
                  </w14:solidFill>
                </w14:textFill>
              </w:rPr>
              <w:t>地表径流</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无法</w:t>
            </w:r>
            <w:r>
              <w:rPr>
                <w:rFonts w:hint="default" w:ascii="Times New Roman" w:hAnsi="Times New Roman" w:cs="Times New Roman"/>
                <w:bCs/>
                <w:color w:val="000000" w:themeColor="text1"/>
                <w:kern w:val="28"/>
                <w:sz w:val="24"/>
                <w:highlight w:val="none"/>
                <w14:textFill>
                  <w14:solidFill>
                    <w14:schemeClr w14:val="tx1"/>
                  </w14:solidFill>
                </w14:textFill>
              </w:rPr>
              <w:t>直接进入</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廊田河</w:t>
            </w:r>
            <w:r>
              <w:rPr>
                <w:rFonts w:hint="default" w:ascii="Times New Roman" w:hAnsi="Times New Roman" w:cs="Times New Roman"/>
                <w:bCs/>
                <w:color w:val="000000" w:themeColor="text1"/>
                <w:kern w:val="28"/>
                <w:sz w:val="24"/>
                <w:highlight w:val="none"/>
                <w14:textFill>
                  <w14:solidFill>
                    <w14:schemeClr w14:val="tx1"/>
                  </w14:solidFill>
                </w14:textFill>
              </w:rPr>
              <w:t>水体中。</w:t>
            </w:r>
            <w:r>
              <w:rPr>
                <w:rFonts w:hint="default" w:ascii="Times New Roman" w:hAnsi="Times New Roman" w:eastAsia="宋体" w:cs="Times New Roman"/>
                <w:color w:val="000000" w:themeColor="text1"/>
                <w:highlight w:val="none"/>
                <w14:textFill>
                  <w14:solidFill>
                    <w14:schemeClr w14:val="tx1"/>
                  </w14:solidFill>
                </w14:textFill>
              </w:rPr>
              <w:t>因此</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highlight w:val="none"/>
                <w14:textFill>
                  <w14:solidFill>
                    <w14:schemeClr w14:val="tx1"/>
                  </w14:solidFill>
                </w14:textFill>
              </w:rPr>
              <w:t>地表水、地下水环境污染途径</w:t>
            </w:r>
            <w:r>
              <w:rPr>
                <w:rFonts w:hint="default" w:ascii="Times New Roman" w:hAnsi="Times New Roman" w:eastAsia="宋体" w:cs="Times New Roman"/>
                <w:color w:val="000000" w:themeColor="text1"/>
                <w:highlight w:val="none"/>
                <w:lang w:val="en-US" w:eastAsia="zh-CN"/>
                <w14:textFill>
                  <w14:solidFill>
                    <w14:schemeClr w14:val="tx1"/>
                  </w14:solidFill>
                </w14:textFill>
              </w:rPr>
              <w:t>较少，且有对应防范措施</w:t>
            </w:r>
            <w:r>
              <w:rPr>
                <w:rFonts w:hint="default" w:ascii="Times New Roman" w:hAnsi="Times New Roman" w:eastAsia="宋体" w:cs="Times New Roman"/>
                <w:color w:val="000000" w:themeColor="text1"/>
                <w:highlight w:val="none"/>
                <w14:textFill>
                  <w14:solidFill>
                    <w14:schemeClr w14:val="tx1"/>
                  </w14:solidFill>
                </w14:textFill>
              </w:rPr>
              <w:t>。</w:t>
            </w:r>
          </w:p>
          <w:p w14:paraId="1904E6A3">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5、环境风险防范措施及应急要求</w:t>
            </w:r>
          </w:p>
          <w:p w14:paraId="4611B082">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①严格执行应急管理、消防等相关规范，从总</w:t>
            </w:r>
            <w:r>
              <w:rPr>
                <w:rFonts w:hint="eastAsia" w:cs="Times New Roman"/>
                <w:color w:val="000000" w:themeColor="text1"/>
                <w:kern w:val="2"/>
                <w:sz w:val="24"/>
                <w:szCs w:val="21"/>
                <w:highlight w:val="none"/>
                <w:lang w:val="en-US" w:eastAsia="zh-CN" w:bidi="ar-SA"/>
                <w14:textFill>
                  <w14:solidFill>
                    <w14:schemeClr w14:val="tx1"/>
                  </w14:solidFill>
                </w14:textFill>
              </w:rPr>
              <w:t>体</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布置和建筑安全方面进行风险防范，预留疏散通道或安置场所。</w:t>
            </w:r>
          </w:p>
          <w:p w14:paraId="776A1AB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②从优化改进生产工艺、减少储存量、改善储存条件等方面降低风险程度。</w:t>
            </w:r>
          </w:p>
          <w:p w14:paraId="172000D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③加强日常管理，降低管理失误而出现的风险事故，提高员工规范性操作水平，减少误操作引发的风险事故。</w:t>
            </w:r>
          </w:p>
          <w:p w14:paraId="1A05C9C7">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④根据贮存的相关要求进行贮存、使用，设置满足要求的围堰区。遵循“源头控制，分区防渗”的原则，做好仓库、车间、危废暂存间的防渗措施，满足相应标准要求。危废间在建筑物内部，达到防风防雨防晒要求，地面硬化并刷环氧树脂漆防渗，四周设置围堰，满足四防要求。</w:t>
            </w:r>
          </w:p>
          <w:p w14:paraId="5F319F13">
            <w:pPr>
              <w:ind w:firstLine="480" w:firstLineChars="200"/>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项目风险防范措施详见下表：</w:t>
            </w:r>
          </w:p>
          <w:p w14:paraId="09CA7044">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项目风险防范措施一览表</w:t>
            </w:r>
          </w:p>
          <w:tbl>
            <w:tblPr>
              <w:tblStyle w:val="47"/>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019"/>
              <w:gridCol w:w="3205"/>
              <w:gridCol w:w="3689"/>
            </w:tblGrid>
            <w:tr w14:paraId="111C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6" w:type="dxa"/>
                  <w:gridSpan w:val="2"/>
                  <w:vAlign w:val="center"/>
                </w:tcPr>
                <w:p w14:paraId="2E991A0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环境风险因素</w:t>
                  </w:r>
                </w:p>
              </w:tc>
              <w:tc>
                <w:tcPr>
                  <w:tcW w:w="3205" w:type="dxa"/>
                  <w:vAlign w:val="center"/>
                </w:tcPr>
                <w:p w14:paraId="7899DD8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环境风险影响</w:t>
                  </w:r>
                </w:p>
              </w:tc>
              <w:tc>
                <w:tcPr>
                  <w:tcW w:w="3689" w:type="dxa"/>
                  <w:vAlign w:val="center"/>
                </w:tcPr>
                <w:p w14:paraId="6568FC8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风险防范措施</w:t>
                  </w:r>
                </w:p>
              </w:tc>
            </w:tr>
            <w:tr w14:paraId="6569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6" w:type="dxa"/>
                  <w:gridSpan w:val="2"/>
                  <w:vAlign w:val="center"/>
                </w:tcPr>
                <w:p w14:paraId="6569B1B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物料仓库</w:t>
                  </w:r>
                </w:p>
              </w:tc>
              <w:tc>
                <w:tcPr>
                  <w:tcW w:w="3205" w:type="dxa"/>
                  <w:vAlign w:val="center"/>
                </w:tcPr>
                <w:p w14:paraId="7399869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火灾爆炸事故次生环境事件</w:t>
                  </w:r>
                </w:p>
              </w:tc>
              <w:tc>
                <w:tcPr>
                  <w:tcW w:w="3689" w:type="dxa"/>
                  <w:vAlign w:val="center"/>
                </w:tcPr>
                <w:p w14:paraId="3C73E1F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安排专人定期巡检，配备一定的消防、环境应急物资</w:t>
                  </w:r>
                </w:p>
              </w:tc>
            </w:tr>
            <w:tr w14:paraId="0E26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Merge w:val="restart"/>
                  <w:vAlign w:val="center"/>
                </w:tcPr>
                <w:p w14:paraId="6480BFF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储运工程</w:t>
                  </w:r>
                </w:p>
              </w:tc>
              <w:tc>
                <w:tcPr>
                  <w:tcW w:w="1019" w:type="dxa"/>
                  <w:vAlign w:val="center"/>
                </w:tcPr>
                <w:p w14:paraId="6B50928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原辅材料泄漏</w:t>
                  </w:r>
                </w:p>
              </w:tc>
              <w:tc>
                <w:tcPr>
                  <w:tcW w:w="3205" w:type="dxa"/>
                  <w:vAlign w:val="center"/>
                </w:tcPr>
                <w:p w14:paraId="6BA7C98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油墨、半水基清洗剂、硫化剂</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等物质在存储、使用、转运过程中</w:t>
                  </w:r>
                </w:p>
              </w:tc>
              <w:tc>
                <w:tcPr>
                  <w:tcW w:w="3689" w:type="dxa"/>
                  <w:vAlign w:val="center"/>
                </w:tcPr>
                <w:p w14:paraId="358E8B2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用于储存危险化学品的</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物料仓库</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进行重点防渗，并设置围堰</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，围堰容积约10m</w:t>
                  </w:r>
                  <w:r>
                    <w:rPr>
                      <w:rFonts w:hint="eastAsia" w:cs="Times New Roman"/>
                      <w:b w:val="0"/>
                      <w:bCs w:val="0"/>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确保液态化学品泄漏时能有效拦截。</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其余区域</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做</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一般防渗，安全操作；配备一定的环境应急物资</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。依托园区事故应急池。</w:t>
                  </w:r>
                </w:p>
              </w:tc>
            </w:tr>
            <w:tr w14:paraId="07EB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Merge w:val="continue"/>
                  <w:vAlign w:val="center"/>
                </w:tcPr>
                <w:p w14:paraId="7D0B18AB">
                  <w:pPr>
                    <w:keepNext w:val="0"/>
                    <w:keepLines w:val="0"/>
                    <w:pageBreakBefore w:val="0"/>
                    <w:widowControl w:val="0"/>
                    <w:kinsoku/>
                    <w:wordWrap/>
                    <w:overflowPunct/>
                    <w:topLinePunct w:val="0"/>
                    <w:autoSpaceDE/>
                    <w:autoSpaceDN/>
                    <w:bidi w:val="0"/>
                    <w:adjustRightInd/>
                    <w:snapToGrid/>
                    <w:spacing w:line="240" w:lineRule="auto"/>
                    <w:ind w:left="24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019" w:type="dxa"/>
                  <w:vAlign w:val="center"/>
                </w:tcPr>
                <w:p w14:paraId="307F3E5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危险废物泄漏</w:t>
                  </w:r>
                </w:p>
              </w:tc>
              <w:tc>
                <w:tcPr>
                  <w:tcW w:w="3205" w:type="dxa"/>
                  <w:vAlign w:val="center"/>
                </w:tcPr>
                <w:p w14:paraId="46164F4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废原料桶</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、废活性炭等危险废物在存储、转运过程中发生泄漏事件，导致项目有毒有害物质经地表径流或雨水管道进入周边水体或通过地表下渗污染地下水水质</w:t>
                  </w:r>
                </w:p>
              </w:tc>
              <w:tc>
                <w:tcPr>
                  <w:tcW w:w="3689" w:type="dxa"/>
                  <w:vAlign w:val="center"/>
                </w:tcPr>
                <w:p w14:paraId="4A6BED0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危废间进行重点防渗，安全操作配备一定的环境应急物资</w:t>
                  </w:r>
                </w:p>
              </w:tc>
            </w:tr>
            <w:tr w14:paraId="2995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7" w:type="dxa"/>
                  <w:vAlign w:val="center"/>
                </w:tcPr>
                <w:p w14:paraId="70944CC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环保工程</w:t>
                  </w:r>
                </w:p>
              </w:tc>
              <w:tc>
                <w:tcPr>
                  <w:tcW w:w="1019" w:type="dxa"/>
                  <w:vAlign w:val="center"/>
                </w:tcPr>
                <w:p w14:paraId="17E7587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废气处理措施故障</w:t>
                  </w:r>
                </w:p>
              </w:tc>
              <w:tc>
                <w:tcPr>
                  <w:tcW w:w="3205" w:type="dxa"/>
                  <w:vAlign w:val="center"/>
                </w:tcPr>
                <w:p w14:paraId="502467E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废气超标排放，影响区域大气环境</w:t>
                  </w:r>
                </w:p>
              </w:tc>
              <w:tc>
                <w:tcPr>
                  <w:tcW w:w="3689" w:type="dxa"/>
                  <w:vAlign w:val="center"/>
                </w:tcPr>
                <w:p w14:paraId="4FF8320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定期进行检修，及时排除故障，废气处理设施故障时及时停产检修</w:t>
                  </w:r>
                </w:p>
              </w:tc>
            </w:tr>
          </w:tbl>
          <w:p w14:paraId="3280DB28">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6、项目制定突发环境事件应急措施</w:t>
            </w:r>
          </w:p>
          <w:p w14:paraId="2C7C5DAC">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有效防范突发环境事件的发生，及时、合理处置可能发生的各类重大、特大环境污染事故，保障人民群众身心健康及正常生产、生活活动，本项目应依据《中华人民共和国环境保护法》及相关法律的规定，制定本项目的应急预案，详见表</w:t>
            </w:r>
            <w:r>
              <w:rPr>
                <w:rFonts w:hint="eastAsia" w:cs="Times New Roman"/>
                <w:color w:val="000000" w:themeColor="text1"/>
                <w:kern w:val="2"/>
                <w:sz w:val="24"/>
                <w:szCs w:val="24"/>
                <w:highlight w:val="none"/>
                <w:lang w:val="en-US" w:eastAsia="zh-CN" w:bidi="ar-SA"/>
                <w14:textFill>
                  <w14:solidFill>
                    <w14:schemeClr w14:val="tx1"/>
                  </w14:solidFill>
                </w14:textFill>
              </w:rPr>
              <w:t>4-27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突发事故应急预案要点。</w:t>
            </w:r>
          </w:p>
          <w:p w14:paraId="0F9E9CC8">
            <w:pPr>
              <w:keepNext/>
              <w:keepLines/>
              <w:widowControl w:val="0"/>
              <w:numPr>
                <w:ilvl w:val="0"/>
                <w:numId w:val="10"/>
              </w:numPr>
              <w:spacing w:line="360" w:lineRule="auto"/>
              <w:ind w:left="0" w:leftChars="0" w:hanging="1" w:firstLineChars="0"/>
              <w:jc w:val="center"/>
              <w:outlineLvl w:val="5"/>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突发环境事件应急预案表</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2165"/>
              <w:gridCol w:w="5805"/>
            </w:tblGrid>
            <w:tr w14:paraId="0A03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5CF9BDC">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243" w:type="pct"/>
                  <w:vAlign w:val="center"/>
                </w:tcPr>
                <w:p w14:paraId="2B015A3B">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w:t>
                  </w:r>
                </w:p>
              </w:tc>
              <w:tc>
                <w:tcPr>
                  <w:tcW w:w="3333" w:type="pct"/>
                  <w:vAlign w:val="center"/>
                </w:tcPr>
                <w:p w14:paraId="0930B15D">
                  <w:pPr>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内容及要求</w:t>
                  </w:r>
                </w:p>
              </w:tc>
            </w:tr>
            <w:tr w14:paraId="2085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7A3CC7D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w:t>
                  </w:r>
                </w:p>
              </w:tc>
              <w:tc>
                <w:tcPr>
                  <w:tcW w:w="1243" w:type="pct"/>
                  <w:vAlign w:val="center"/>
                </w:tcPr>
                <w:p w14:paraId="68B7FD2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应急组织机构、人员</w:t>
                  </w:r>
                </w:p>
              </w:tc>
              <w:tc>
                <w:tcPr>
                  <w:tcW w:w="3333" w:type="pct"/>
                  <w:vAlign w:val="center"/>
                </w:tcPr>
                <w:p w14:paraId="0DAB5AD8">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设立事故应急机构、人员由企业主要领导、安全负责人、环保负责人等主要人员组成</w:t>
                  </w:r>
                </w:p>
              </w:tc>
            </w:tr>
            <w:tr w14:paraId="4459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CE09E12">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w:t>
                  </w:r>
                </w:p>
              </w:tc>
              <w:tc>
                <w:tcPr>
                  <w:tcW w:w="1243" w:type="pct"/>
                  <w:vAlign w:val="center"/>
                </w:tcPr>
                <w:p w14:paraId="4B08C2F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预案分级响应条件</w:t>
                  </w:r>
                </w:p>
              </w:tc>
              <w:tc>
                <w:tcPr>
                  <w:tcW w:w="3333" w:type="pct"/>
                  <w:vAlign w:val="center"/>
                </w:tcPr>
                <w:p w14:paraId="177778D5">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规定预案的级别及分级响应程序</w:t>
                  </w:r>
                </w:p>
              </w:tc>
            </w:tr>
            <w:tr w14:paraId="4B8E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3E6CA95D">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3</w:t>
                  </w:r>
                </w:p>
              </w:tc>
              <w:tc>
                <w:tcPr>
                  <w:tcW w:w="1243" w:type="pct"/>
                  <w:vAlign w:val="center"/>
                </w:tcPr>
                <w:p w14:paraId="58E4E1C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应急救援保障</w:t>
                  </w:r>
                </w:p>
              </w:tc>
              <w:tc>
                <w:tcPr>
                  <w:tcW w:w="3333" w:type="pct"/>
                  <w:vAlign w:val="center"/>
                </w:tcPr>
                <w:p w14:paraId="2E3635D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企业应配备必要的应急设施设备器材：事故易发的工作岗位配备必需的防护用品等</w:t>
                  </w:r>
                </w:p>
              </w:tc>
            </w:tr>
            <w:tr w14:paraId="07EF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15DA4031">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4</w:t>
                  </w:r>
                </w:p>
              </w:tc>
              <w:tc>
                <w:tcPr>
                  <w:tcW w:w="1243" w:type="pct"/>
                  <w:vAlign w:val="center"/>
                </w:tcPr>
                <w:p w14:paraId="25BCD0E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报警、通讯联络方式</w:t>
                  </w:r>
                </w:p>
              </w:tc>
              <w:tc>
                <w:tcPr>
                  <w:tcW w:w="3333" w:type="pct"/>
                  <w:vAlign w:val="center"/>
                </w:tcPr>
                <w:p w14:paraId="4C304AF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建立专用的报警和通讯线路，保证指挥部人员与现场人员</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手机</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信息交流的渠道畅通</w:t>
                  </w:r>
                </w:p>
              </w:tc>
            </w:tr>
            <w:tr w14:paraId="50BE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56B0B91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5</w:t>
                  </w:r>
                </w:p>
              </w:tc>
              <w:tc>
                <w:tcPr>
                  <w:tcW w:w="1243" w:type="pct"/>
                  <w:vAlign w:val="center"/>
                </w:tcPr>
                <w:p w14:paraId="16C4CDD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应急监测、抢险救援及控制措施</w:t>
                  </w:r>
                </w:p>
              </w:tc>
              <w:tc>
                <w:tcPr>
                  <w:tcW w:w="3333" w:type="pct"/>
                  <w:vAlign w:val="center"/>
                </w:tcPr>
                <w:p w14:paraId="2F8D38D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发生事故时，要保证现场的事故处理设施和全厂的应急处理系统能够紧急启动，并对事故产生的污染物进行有效的控制，同时启动当地的环境应急监测系统</w:t>
                  </w:r>
                </w:p>
              </w:tc>
            </w:tr>
            <w:tr w14:paraId="3CD7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11266D8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6</w:t>
                  </w:r>
                </w:p>
              </w:tc>
              <w:tc>
                <w:tcPr>
                  <w:tcW w:w="1243" w:type="pct"/>
                  <w:vAlign w:val="center"/>
                </w:tcPr>
                <w:p w14:paraId="57E1DC9E">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应急监测、防护措施、泄漏措施和器材</w:t>
                  </w:r>
                </w:p>
              </w:tc>
              <w:tc>
                <w:tcPr>
                  <w:tcW w:w="3333" w:type="pct"/>
                  <w:vAlign w:val="center"/>
                </w:tcPr>
                <w:p w14:paraId="0F8E044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设立必要的控制和清除污染的相应措施。事故发生时，要及时发现事故发生地点和环节，并利用已有的防护措施减少污染物的排放</w:t>
                  </w:r>
                </w:p>
              </w:tc>
            </w:tr>
            <w:tr w14:paraId="4FD4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4B40DEBB">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7</w:t>
                  </w:r>
                </w:p>
              </w:tc>
              <w:tc>
                <w:tcPr>
                  <w:tcW w:w="1243" w:type="pct"/>
                  <w:vAlign w:val="center"/>
                </w:tcPr>
                <w:p w14:paraId="56D6F530">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人员紧急撤离、疏散组织计划</w:t>
                  </w:r>
                </w:p>
              </w:tc>
              <w:tc>
                <w:tcPr>
                  <w:tcW w:w="3333" w:type="pct"/>
                  <w:vAlign w:val="center"/>
                </w:tcPr>
                <w:p w14:paraId="5A9A1019">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由事故应急现场指挥部负责及时向上级各有关部门及周边邻近单位和居民点告知事故的危险程度及严重性，指派人员协助邻近单位、村民疏散、撤离至安全地带。</w:t>
                  </w:r>
                </w:p>
              </w:tc>
            </w:tr>
            <w:tr w14:paraId="5F5D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64ED225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8</w:t>
                  </w:r>
                </w:p>
              </w:tc>
              <w:tc>
                <w:tcPr>
                  <w:tcW w:w="1243" w:type="pct"/>
                  <w:vAlign w:val="center"/>
                </w:tcPr>
                <w:p w14:paraId="3267BA8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事故应急救援关闭程序与恢复措施</w:t>
                  </w:r>
                </w:p>
              </w:tc>
              <w:tc>
                <w:tcPr>
                  <w:tcW w:w="3333" w:type="pct"/>
                  <w:vAlign w:val="center"/>
                </w:tcPr>
                <w:p w14:paraId="0858310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规定应急状态终止程序、事故现场善后处理、邻近区域解除事故警戒及善后恢复措施</w:t>
                  </w:r>
                </w:p>
              </w:tc>
            </w:tr>
            <w:tr w14:paraId="59FF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3E4B0F83">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9</w:t>
                  </w:r>
                </w:p>
              </w:tc>
              <w:tc>
                <w:tcPr>
                  <w:tcW w:w="1243" w:type="pct"/>
                  <w:vAlign w:val="center"/>
                </w:tcPr>
                <w:p w14:paraId="1CCF548D">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应急培训计划</w:t>
                  </w:r>
                </w:p>
              </w:tc>
              <w:tc>
                <w:tcPr>
                  <w:tcW w:w="3333" w:type="pct"/>
                  <w:vAlign w:val="center"/>
                </w:tcPr>
                <w:p w14:paraId="3CE74BB5">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企业要注意日常工作中对事故应急处理的培训，以</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增强</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职工的安全防范意识</w:t>
                  </w:r>
                </w:p>
              </w:tc>
            </w:tr>
            <w:tr w14:paraId="4AEE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5CB0DEFC">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10</w:t>
                  </w:r>
                </w:p>
              </w:tc>
              <w:tc>
                <w:tcPr>
                  <w:tcW w:w="1243" w:type="pct"/>
                  <w:vAlign w:val="center"/>
                </w:tcPr>
                <w:p w14:paraId="41B78DBF">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公众教育和信息</w:t>
                  </w:r>
                </w:p>
              </w:tc>
              <w:tc>
                <w:tcPr>
                  <w:tcW w:w="3333" w:type="pct"/>
                  <w:vAlign w:val="center"/>
                </w:tcPr>
                <w:p w14:paraId="369E4127">
                  <w:pPr>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通过各种方式，对周围居民等进行事故防范宣传</w:t>
                  </w:r>
                </w:p>
              </w:tc>
            </w:tr>
          </w:tbl>
          <w:p w14:paraId="06111F92">
            <w:pPr>
              <w:keepNext/>
              <w:keepLines/>
              <w:widowControl w:val="0"/>
              <w:numPr>
                <w:ilvl w:val="3"/>
                <w:numId w:val="0"/>
              </w:numPr>
              <w:spacing w:line="360" w:lineRule="auto"/>
              <w:ind w:firstLine="480" w:firstLineChars="200"/>
              <w:jc w:val="both"/>
              <w:outlineLvl w:val="3"/>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8"/>
                <w:highlight w:val="none"/>
                <w:lang w:val="en-US" w:eastAsia="zh-CN" w:bidi="ar-SA"/>
                <w14:textFill>
                  <w14:solidFill>
                    <w14:schemeClr w14:val="tx1"/>
                  </w14:solidFill>
                </w14:textFill>
              </w:rPr>
              <w:t>7、环境风险分析小结与建议</w:t>
            </w:r>
          </w:p>
          <w:p w14:paraId="38E8F119">
            <w:pPr>
              <w:keepNext w:val="0"/>
              <w:keepLines w:val="0"/>
              <w:ind w:left="0" w:firstLine="480" w:firstLineChars="200"/>
              <w:outlineLvl w:val="9"/>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本项目风险物质</w:t>
            </w:r>
            <w:r>
              <w:rPr>
                <w:rFonts w:hint="eastAsia" w:cs="Times New Roman"/>
                <w:color w:val="000000" w:themeColor="text1"/>
                <w:highlight w:val="none"/>
                <w:lang w:eastAsia="zh-CN"/>
                <w14:textFill>
                  <w14:solidFill>
                    <w14:schemeClr w14:val="tx1"/>
                  </w14:solidFill>
                </w14:textFill>
              </w:rPr>
              <w:t>为油</w:t>
            </w:r>
            <w:r>
              <w:rPr>
                <w:rFonts w:hint="eastAsia" w:cs="Times New Roman"/>
                <w:color w:val="000000" w:themeColor="text1"/>
                <w:highlight w:val="none"/>
                <w:lang w:val="en-US" w:eastAsia="zh-CN"/>
                <w14:textFill>
                  <w14:solidFill>
                    <w14:schemeClr w14:val="tx1"/>
                  </w14:solidFill>
                </w14:textFill>
              </w:rPr>
              <w:t>墨、半水基清洗</w:t>
            </w:r>
            <w:r>
              <w:rPr>
                <w:rFonts w:hint="eastAsia" w:cs="Times New Roman"/>
                <w:color w:val="000000" w:themeColor="text1"/>
                <w:highlight w:val="none"/>
                <w:lang w:eastAsia="zh-CN"/>
                <w14:textFill>
                  <w14:solidFill>
                    <w14:schemeClr w14:val="tx1"/>
                  </w14:solidFill>
                </w14:textFill>
              </w:rPr>
              <w:t>剂、</w:t>
            </w:r>
            <w:r>
              <w:rPr>
                <w:rFonts w:hint="eastAsia" w:cs="Times New Roman"/>
                <w:color w:val="000000" w:themeColor="text1"/>
                <w:highlight w:val="none"/>
                <w:lang w:val="en-US" w:eastAsia="zh-CN"/>
                <w14:textFill>
                  <w14:solidFill>
                    <w14:schemeClr w14:val="tx1"/>
                  </w14:solidFill>
                </w14:textFill>
              </w:rPr>
              <w:t>硫化剂、</w:t>
            </w:r>
            <w:r>
              <w:rPr>
                <w:rFonts w:hint="eastAsia" w:cs="Times New Roman"/>
                <w:color w:val="000000" w:themeColor="text1"/>
                <w:highlight w:val="none"/>
                <w:lang w:eastAsia="zh-CN"/>
                <w14:textFill>
                  <w14:solidFill>
                    <w14:schemeClr w14:val="tx1"/>
                  </w14:solidFill>
                </w14:textFill>
              </w:rPr>
              <w:t>危险废物</w:t>
            </w:r>
            <w:r>
              <w:rPr>
                <w:rFonts w:hint="default" w:ascii="Times New Roman" w:hAnsi="Times New Roman" w:eastAsia="宋体" w:cs="Times New Roman"/>
                <w:color w:val="000000" w:themeColor="text1"/>
                <w:highlight w:val="none"/>
                <w14:textFill>
                  <w14:solidFill>
                    <w14:schemeClr w14:val="tx1"/>
                  </w14:solidFill>
                </w14:textFill>
              </w:rPr>
              <w:t>，泄漏、火灾、爆炸等事故发生概率较低，物质泄漏、火灾、爆炸等事故下引发的伴生/次生污染物排放的风险隐患较低，在落实上述防范措施后，生产过程的环境风险总体可控。</w:t>
            </w:r>
          </w:p>
          <w:p w14:paraId="58091A08">
            <w:pPr>
              <w:ind w:firstLine="480" w:firstLineChars="200"/>
              <w:jc w:val="left"/>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t>8、环保验收“三同时”</w:t>
            </w:r>
          </w:p>
          <w:p w14:paraId="51FC192D">
            <w:pPr>
              <w:keepNext/>
              <w:keepLines/>
              <w:tabs>
                <w:tab w:val="left" w:pos="0"/>
              </w:tabs>
              <w:ind w:firstLine="480" w:firstLineChars="200"/>
              <w:outlineLvl w:val="2"/>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14:textFill>
                  <w14:solidFill>
                    <w14:schemeClr w14:val="tx1"/>
                  </w14:solidFill>
                </w14:textFill>
              </w:rPr>
              <w:t>建设单位应严格按照国家“三同时”政策及时做好有关工作，保证环保工程与主体工程同时设计、同时施工、同时投入使用，切实履行本评价所提出的各项污染防治对策与建议，保证做到各污染物达标排放。项目“三同时”环境保护验收情况见下表：</w:t>
            </w:r>
          </w:p>
          <w:p w14:paraId="5CC468E8">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hanging="1"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项目环境保护“三同时”验收一览表</w:t>
            </w:r>
          </w:p>
          <w:tbl>
            <w:tblPr>
              <w:tblStyle w:val="46"/>
              <w:tblW w:w="497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518"/>
              <w:gridCol w:w="1185"/>
              <w:gridCol w:w="1159"/>
              <w:gridCol w:w="1268"/>
              <w:gridCol w:w="1351"/>
              <w:gridCol w:w="3175"/>
            </w:tblGrid>
            <w:tr w14:paraId="2E7B2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2B4F597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类别</w:t>
                  </w:r>
                </w:p>
              </w:tc>
              <w:tc>
                <w:tcPr>
                  <w:tcW w:w="684" w:type="pct"/>
                  <w:vAlign w:val="center"/>
                </w:tcPr>
                <w:p w14:paraId="2446E71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污染源</w:t>
                  </w:r>
                </w:p>
              </w:tc>
              <w:tc>
                <w:tcPr>
                  <w:tcW w:w="669" w:type="pct"/>
                  <w:vAlign w:val="center"/>
                </w:tcPr>
                <w:p w14:paraId="29BF8B5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污染物</w:t>
                  </w:r>
                </w:p>
              </w:tc>
              <w:tc>
                <w:tcPr>
                  <w:tcW w:w="732" w:type="pct"/>
                  <w:vAlign w:val="center"/>
                </w:tcPr>
                <w:p w14:paraId="5129F0B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污染防</w:t>
                  </w:r>
                </w:p>
                <w:p w14:paraId="659E7C4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治措施</w:t>
                  </w:r>
                </w:p>
              </w:tc>
              <w:tc>
                <w:tcPr>
                  <w:tcW w:w="780" w:type="pct"/>
                  <w:vAlign w:val="center"/>
                </w:tcPr>
                <w:p w14:paraId="684F573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验收及监测内容</w:t>
                  </w:r>
                </w:p>
              </w:tc>
              <w:tc>
                <w:tcPr>
                  <w:tcW w:w="1833" w:type="pct"/>
                  <w:vAlign w:val="center"/>
                </w:tcPr>
                <w:p w14:paraId="322BADA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预期效果</w:t>
                  </w:r>
                </w:p>
              </w:tc>
            </w:tr>
            <w:tr w14:paraId="65F05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175E815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p>
              </w:tc>
              <w:tc>
                <w:tcPr>
                  <w:tcW w:w="684" w:type="pct"/>
                  <w:vAlign w:val="center"/>
                </w:tcPr>
                <w:p w14:paraId="5C266EA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生活</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p>
              </w:tc>
              <w:tc>
                <w:tcPr>
                  <w:tcW w:w="669" w:type="pct"/>
                  <w:vAlign w:val="center"/>
                </w:tcPr>
                <w:p w14:paraId="251DD8A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pH、</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COD</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Cr</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、BOD</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、SS、NH</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-N</w:t>
                  </w:r>
                </w:p>
              </w:tc>
              <w:tc>
                <w:tcPr>
                  <w:tcW w:w="732" w:type="pct"/>
                  <w:vAlign w:val="center"/>
                </w:tcPr>
                <w:p w14:paraId="4333645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三级化粪池</w:t>
                  </w:r>
                </w:p>
              </w:tc>
              <w:tc>
                <w:tcPr>
                  <w:tcW w:w="780" w:type="pct"/>
                  <w:vAlign w:val="center"/>
                </w:tcPr>
                <w:p w14:paraId="075B5D90">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污水处理设施、出水管道设置情况；污染物实际排放浓度</w:t>
                  </w:r>
                </w:p>
              </w:tc>
              <w:tc>
                <w:tcPr>
                  <w:tcW w:w="1833" w:type="pct"/>
                  <w:vAlign w:val="center"/>
                </w:tcPr>
                <w:p w14:paraId="36780C5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园区污水处理厂接管水质要求及广东省《</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水污染物排放限值</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》（DB44/26-2001）第二时段三级标准两者较严值</w:t>
                  </w:r>
                </w:p>
              </w:tc>
            </w:tr>
            <w:tr w14:paraId="20B5C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restart"/>
                  <w:vAlign w:val="center"/>
                </w:tcPr>
                <w:p w14:paraId="35F6699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废气</w:t>
                  </w:r>
                </w:p>
              </w:tc>
              <w:tc>
                <w:tcPr>
                  <w:tcW w:w="684" w:type="pct"/>
                  <w:vMerge w:val="restart"/>
                  <w:vAlign w:val="center"/>
                </w:tcPr>
                <w:p w14:paraId="0AD44C2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有组织DA001</w:t>
                  </w:r>
                </w:p>
              </w:tc>
              <w:tc>
                <w:tcPr>
                  <w:tcW w:w="669" w:type="pct"/>
                  <w:vAlign w:val="center"/>
                </w:tcPr>
                <w:p w14:paraId="78558EA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NMHC</w:t>
                  </w:r>
                </w:p>
              </w:tc>
              <w:tc>
                <w:tcPr>
                  <w:tcW w:w="732" w:type="pct"/>
                  <w:vMerge w:val="restart"/>
                  <w:vAlign w:val="center"/>
                </w:tcPr>
                <w:p w14:paraId="6A336E2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14:textFill>
                        <w14:solidFill>
                          <w14:schemeClr w14:val="tx1"/>
                        </w14:solidFill>
                      </w14:textFill>
                    </w:rPr>
                    <w:t>二级活性炭吸附装置</w:t>
                  </w:r>
                </w:p>
              </w:tc>
              <w:tc>
                <w:tcPr>
                  <w:tcW w:w="780" w:type="pct"/>
                  <w:vMerge w:val="restart"/>
                  <w:vAlign w:val="center"/>
                </w:tcPr>
                <w:p w14:paraId="5CFE9C5E">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收集处理装置、排气筒设置情况；污染物实际排放浓度</w:t>
                  </w:r>
                </w:p>
              </w:tc>
              <w:tc>
                <w:tcPr>
                  <w:tcW w:w="1833" w:type="pct"/>
                  <w:vAlign w:val="center"/>
                </w:tcPr>
                <w:p w14:paraId="5E443D2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p>
              </w:tc>
            </w:tr>
            <w:tr w14:paraId="6E101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054AA58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Merge w:val="continue"/>
                  <w:vAlign w:val="center"/>
                </w:tcPr>
                <w:p w14:paraId="06D7D8A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69" w:type="pct"/>
                  <w:vAlign w:val="center"/>
                </w:tcPr>
                <w:p w14:paraId="203179EF">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732" w:type="pct"/>
                  <w:vMerge w:val="continue"/>
                  <w:vAlign w:val="center"/>
                </w:tcPr>
                <w:p w14:paraId="145EA98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490B5F6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438EFDA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《恶臭污染物排放标准》（GB14554-93）中表2恶臭污染物排放标准值</w:t>
                  </w:r>
                </w:p>
              </w:tc>
            </w:tr>
            <w:tr w14:paraId="329C9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24806B0E">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restart"/>
                  <w:vAlign w:val="center"/>
                </w:tcPr>
                <w:p w14:paraId="54177760">
                  <w:pPr>
                    <w:keepNext w:val="0"/>
                    <w:keepLines w:val="0"/>
                    <w:pageBreakBefore w:val="0"/>
                    <w:kinsoku/>
                    <w:overflowPunct/>
                    <w:topLinePunct w:val="0"/>
                    <w:bidi w:val="0"/>
                    <w:spacing w:before="0"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无组织</w:t>
                  </w:r>
                </w:p>
              </w:tc>
              <w:tc>
                <w:tcPr>
                  <w:tcW w:w="669" w:type="pct"/>
                  <w:vAlign w:val="center"/>
                </w:tcPr>
                <w:p w14:paraId="183E612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厂区内：</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非甲烷总烃</w:t>
                  </w:r>
                </w:p>
              </w:tc>
              <w:tc>
                <w:tcPr>
                  <w:tcW w:w="732" w:type="pct"/>
                  <w:vMerge w:val="restart"/>
                  <w:vAlign w:val="center"/>
                </w:tcPr>
                <w:p w14:paraId="203DA6C8">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设置在密闭车间内，并加强车间管理，减少无组织排放</w:t>
                  </w:r>
                </w:p>
              </w:tc>
              <w:tc>
                <w:tcPr>
                  <w:tcW w:w="780" w:type="pct"/>
                  <w:vMerge w:val="restart"/>
                  <w:vAlign w:val="center"/>
                </w:tcPr>
                <w:p w14:paraId="699B07D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设置在密闭车间内，并加强车间管理，减少无组织排放</w:t>
                  </w:r>
                </w:p>
              </w:tc>
              <w:tc>
                <w:tcPr>
                  <w:tcW w:w="1833" w:type="pct"/>
                  <w:vAlign w:val="center"/>
                </w:tcPr>
                <w:p w14:paraId="4184D7C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广东省《固定污染源挥发性有机物综合排放标准》（DB44/2367-2022）中表3厂区内VOCs无组织排放限值、《印刷工业大气污染物排放标准》（GB41616-2022）表 A.1厂区内 VOCs 无组织排放限值两者较严值</w:t>
                  </w:r>
                </w:p>
              </w:tc>
            </w:tr>
            <w:tr w14:paraId="69919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5355BC31">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continue"/>
                  <w:vAlign w:val="center"/>
                </w:tcPr>
                <w:p w14:paraId="1416B1B2">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69" w:type="pct"/>
                  <w:vAlign w:val="center"/>
                </w:tcPr>
                <w:p w14:paraId="626559A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厂界：非甲烷总烃</w:t>
                  </w:r>
                </w:p>
              </w:tc>
              <w:tc>
                <w:tcPr>
                  <w:tcW w:w="732" w:type="pct"/>
                  <w:vMerge w:val="continue"/>
                  <w:vAlign w:val="center"/>
                </w:tcPr>
                <w:p w14:paraId="2EE2AC1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7E99E13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568C89F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现有和新建企业厂界无组织排放限值、《印刷行业挥发性有机化合物排放标准》（DB44/815-2010）表3无组织排放监控点浓度限值两者较严值</w:t>
                  </w:r>
                </w:p>
              </w:tc>
            </w:tr>
            <w:tr w14:paraId="12C5F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tcBorders>
                    <w:bottom w:val="single" w:color="auto" w:sz="4" w:space="0"/>
                  </w:tcBorders>
                  <w:vAlign w:val="center"/>
                </w:tcPr>
                <w:p w14:paraId="057080E7">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84" w:type="pct"/>
                  <w:vMerge w:val="continue"/>
                  <w:tcBorders>
                    <w:bottom w:val="single" w:color="auto" w:sz="4" w:space="0"/>
                  </w:tcBorders>
                  <w:vAlign w:val="center"/>
                </w:tcPr>
                <w:p w14:paraId="64AE5C11">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p>
              </w:tc>
              <w:tc>
                <w:tcPr>
                  <w:tcW w:w="669" w:type="pct"/>
                  <w:vAlign w:val="center"/>
                </w:tcPr>
                <w:p w14:paraId="1EEBA8A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臭气浓度</w:t>
                  </w:r>
                </w:p>
              </w:tc>
              <w:tc>
                <w:tcPr>
                  <w:tcW w:w="732" w:type="pct"/>
                  <w:vMerge w:val="continue"/>
                  <w:tcBorders>
                    <w:bottom w:val="single" w:color="auto" w:sz="4" w:space="0"/>
                  </w:tcBorders>
                  <w:vAlign w:val="center"/>
                </w:tcPr>
                <w:p w14:paraId="4753CCB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tcBorders>
                    <w:bottom w:val="single" w:color="auto" w:sz="4" w:space="0"/>
                  </w:tcBorders>
                  <w:vAlign w:val="center"/>
                </w:tcPr>
                <w:p w14:paraId="14371DD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Align w:val="center"/>
                </w:tcPr>
                <w:p w14:paraId="5ECDE552">
                  <w:pPr>
                    <w:keepNext w:val="0"/>
                    <w:keepLines w:val="0"/>
                    <w:pageBreakBefore w:val="0"/>
                    <w:kinsoku/>
                    <w:overflowPunct/>
                    <w:topLinePunct w:val="0"/>
                    <w:bidi w:val="0"/>
                    <w:spacing w:before="0" w:line="240" w:lineRule="auto"/>
                    <w:ind w:firstLine="0" w:firstLineChars="0"/>
                    <w:jc w:val="center"/>
                    <w:rPr>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eastAsia" w:ascii="Times New Roman" w:hAnsi="Times New Roman" w:cs="Times New Roman"/>
                      <w:color w:val="000000" w:themeColor="text1"/>
                      <w:spacing w:val="-2"/>
                      <w:sz w:val="21"/>
                      <w:szCs w:val="21"/>
                      <w:highlight w:val="none"/>
                      <w:lang w:eastAsia="zh-CN"/>
                      <w14:textFill>
                        <w14:solidFill>
                          <w14:schemeClr w14:val="tx1"/>
                        </w14:solidFill>
                      </w14:textFill>
                    </w:rPr>
                    <w:t>中</w:t>
                  </w:r>
                  <w:r>
                    <w:rPr>
                      <w:rFonts w:hint="eastAsia"/>
                      <w:color w:val="000000" w:themeColor="text1"/>
                      <w:sz w:val="21"/>
                      <w:szCs w:val="21"/>
                      <w:highlight w:val="none"/>
                      <w14:textFill>
                        <w14:solidFill>
                          <w14:schemeClr w14:val="tx1"/>
                        </w14:solidFill>
                      </w14:textFill>
                    </w:rPr>
                    <w:t>表1恶臭污染物厂界标准值二级新扩改建标准</w:t>
                  </w:r>
                </w:p>
              </w:tc>
            </w:tr>
            <w:tr w14:paraId="51480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Align w:val="center"/>
                </w:tcPr>
                <w:p w14:paraId="66074C0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噪声</w:t>
                  </w:r>
                </w:p>
              </w:tc>
              <w:tc>
                <w:tcPr>
                  <w:tcW w:w="684" w:type="pct"/>
                  <w:vAlign w:val="center"/>
                </w:tcPr>
                <w:p w14:paraId="2AEC26D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设备噪声</w:t>
                  </w:r>
                </w:p>
              </w:tc>
              <w:tc>
                <w:tcPr>
                  <w:tcW w:w="669" w:type="pct"/>
                  <w:vAlign w:val="center"/>
                </w:tcPr>
                <w:p w14:paraId="436CB3A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边界等效声级</w:t>
                  </w:r>
                </w:p>
              </w:tc>
              <w:tc>
                <w:tcPr>
                  <w:tcW w:w="732" w:type="pct"/>
                  <w:vAlign w:val="center"/>
                </w:tcPr>
                <w:p w14:paraId="0C7AA03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减振、隔声、吸声、消声等</w:t>
                  </w:r>
                </w:p>
              </w:tc>
              <w:tc>
                <w:tcPr>
                  <w:tcW w:w="780" w:type="pct"/>
                  <w:vAlign w:val="center"/>
                </w:tcPr>
                <w:p w14:paraId="1E310AA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厂界噪声</w:t>
                  </w:r>
                </w:p>
              </w:tc>
              <w:tc>
                <w:tcPr>
                  <w:tcW w:w="1833" w:type="pct"/>
                  <w:vAlign w:val="center"/>
                </w:tcPr>
                <w:p w14:paraId="6C099D7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满足《工业企业厂界环境噪声排放标准》(GB12348-2008)的3类</w:t>
                  </w:r>
                </w:p>
              </w:tc>
            </w:tr>
            <w:tr w14:paraId="14D27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restart"/>
                  <w:vAlign w:val="center"/>
                </w:tcPr>
                <w:p w14:paraId="65A28DC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固体</w:t>
                  </w:r>
                </w:p>
                <w:p w14:paraId="1490014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废物</w:t>
                  </w:r>
                </w:p>
              </w:tc>
              <w:tc>
                <w:tcPr>
                  <w:tcW w:w="684" w:type="pct"/>
                  <w:vAlign w:val="center"/>
                </w:tcPr>
                <w:p w14:paraId="3C6ECEDE">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生活垃圾</w:t>
                  </w:r>
                </w:p>
              </w:tc>
              <w:tc>
                <w:tcPr>
                  <w:tcW w:w="669" w:type="pct"/>
                  <w:vAlign w:val="center"/>
                </w:tcPr>
                <w:p w14:paraId="6411394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732" w:type="pct"/>
                  <w:vAlign w:val="center"/>
                </w:tcPr>
                <w:p w14:paraId="21FD7F84">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交由环卫部门定期清理</w:t>
                  </w:r>
                </w:p>
              </w:tc>
              <w:tc>
                <w:tcPr>
                  <w:tcW w:w="780" w:type="pct"/>
                  <w:vMerge w:val="restart"/>
                  <w:vAlign w:val="center"/>
                </w:tcPr>
                <w:p w14:paraId="66866978">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检查固废收集、储存、处置方式</w:t>
                  </w:r>
                </w:p>
              </w:tc>
              <w:tc>
                <w:tcPr>
                  <w:tcW w:w="1833" w:type="pct"/>
                  <w:vMerge w:val="restart"/>
                  <w:vAlign w:val="center"/>
                </w:tcPr>
                <w:p w14:paraId="0932EEB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对项目所在地环境无不良影响</w:t>
                  </w:r>
                </w:p>
              </w:tc>
            </w:tr>
            <w:tr w14:paraId="222A3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21" w:hRule="atLeast"/>
                <w:jc w:val="center"/>
              </w:trPr>
              <w:tc>
                <w:tcPr>
                  <w:tcW w:w="299" w:type="pct"/>
                  <w:vMerge w:val="continue"/>
                  <w:vAlign w:val="center"/>
                </w:tcPr>
                <w:p w14:paraId="6CD15C1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415ECCE4">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position w:val="-10"/>
                      <w:sz w:val="21"/>
                      <w:szCs w:val="21"/>
                      <w:highlight w:val="none"/>
                      <w:lang w:val="en-US" w:eastAsia="zh-CN" w:bidi="ar-SA"/>
                      <w14:textFill>
                        <w14:solidFill>
                          <w14:schemeClr w14:val="tx1"/>
                        </w14:solidFill>
                      </w14:textFill>
                    </w:rPr>
                    <w:t>废包装物、废边角料及不合格品</w:t>
                  </w:r>
                </w:p>
              </w:tc>
              <w:tc>
                <w:tcPr>
                  <w:tcW w:w="669" w:type="pct"/>
                  <w:vAlign w:val="center"/>
                </w:tcPr>
                <w:p w14:paraId="193198F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732" w:type="pct"/>
                  <w:vAlign w:val="center"/>
                </w:tcPr>
                <w:p w14:paraId="7A8A990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统一收集后外售至资源回收利用单位</w:t>
                  </w:r>
                </w:p>
              </w:tc>
              <w:tc>
                <w:tcPr>
                  <w:tcW w:w="780" w:type="pct"/>
                  <w:vMerge w:val="continue"/>
                  <w:vAlign w:val="center"/>
                </w:tcPr>
                <w:p w14:paraId="017B7E7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Merge w:val="continue"/>
                  <w:vAlign w:val="center"/>
                </w:tcPr>
                <w:p w14:paraId="727EFFA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r>
            <w:tr w14:paraId="5442A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19294B72">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73EA1B9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w:t>
                  </w:r>
                </w:p>
              </w:tc>
              <w:tc>
                <w:tcPr>
                  <w:tcW w:w="669" w:type="pct"/>
                  <w:vAlign w:val="center"/>
                </w:tcPr>
                <w:p w14:paraId="395FDF6B">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有机物</w:t>
                  </w:r>
                </w:p>
              </w:tc>
              <w:tc>
                <w:tcPr>
                  <w:tcW w:w="732" w:type="pct"/>
                  <w:vMerge w:val="restart"/>
                  <w:vAlign w:val="center"/>
                </w:tcPr>
                <w:p w14:paraId="291A5A4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交由有危险废物处理资质的单位处理</w:t>
                  </w:r>
                </w:p>
              </w:tc>
              <w:tc>
                <w:tcPr>
                  <w:tcW w:w="780" w:type="pct"/>
                  <w:vMerge w:val="restart"/>
                  <w:vAlign w:val="center"/>
                </w:tcPr>
                <w:p w14:paraId="041B0E0D">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检查固废收集、储存、处置方式</w:t>
                  </w:r>
                </w:p>
              </w:tc>
              <w:tc>
                <w:tcPr>
                  <w:tcW w:w="1833" w:type="pct"/>
                  <w:vMerge w:val="restart"/>
                  <w:vAlign w:val="center"/>
                </w:tcPr>
                <w:p w14:paraId="2DD0C9BF">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对项目所在地环境无不良影响</w:t>
                  </w:r>
                </w:p>
              </w:tc>
            </w:tr>
            <w:tr w14:paraId="6A193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2F514FF7">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73C3B5D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t>废活性炭</w:t>
                  </w:r>
                </w:p>
              </w:tc>
              <w:tc>
                <w:tcPr>
                  <w:tcW w:w="669" w:type="pct"/>
                  <w:vAlign w:val="center"/>
                </w:tcPr>
                <w:p w14:paraId="057FF658">
                  <w:pPr>
                    <w:keepNext w:val="0"/>
                    <w:keepLines w:val="0"/>
                    <w:pageBreakBefore w:val="0"/>
                    <w:kinsoku/>
                    <w:overflowPunct/>
                    <w:topLinePunct w:val="0"/>
                    <w:bidi w:val="0"/>
                    <w:spacing w:before="0" w:line="240" w:lineRule="auto"/>
                    <w:ind w:firstLine="0" w:firstLineChars="0"/>
                    <w:jc w:val="center"/>
                    <w:rPr>
                      <w:rFonts w:hint="eastAsia"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有机物、炭</w:t>
                  </w:r>
                </w:p>
              </w:tc>
              <w:tc>
                <w:tcPr>
                  <w:tcW w:w="732" w:type="pct"/>
                  <w:vMerge w:val="continue"/>
                  <w:vAlign w:val="center"/>
                </w:tcPr>
                <w:p w14:paraId="7DBDF2E1">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80" w:type="pct"/>
                  <w:vMerge w:val="continue"/>
                  <w:vAlign w:val="center"/>
                </w:tcPr>
                <w:p w14:paraId="4C1C4756">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833" w:type="pct"/>
                  <w:vMerge w:val="continue"/>
                  <w:vAlign w:val="center"/>
                </w:tcPr>
                <w:p w14:paraId="7C83ECF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r>
            <w:tr w14:paraId="5D11E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137C72D5">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3C1C027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钢板、胶头清洗废水</w:t>
                  </w:r>
                </w:p>
              </w:tc>
              <w:tc>
                <w:tcPr>
                  <w:tcW w:w="669" w:type="pct"/>
                  <w:vAlign w:val="center"/>
                </w:tcPr>
                <w:p w14:paraId="7EB13A48">
                  <w:pPr>
                    <w:keepNext w:val="0"/>
                    <w:keepLines w:val="0"/>
                    <w:pageBreakBefore w:val="0"/>
                    <w:kinsoku/>
                    <w:overflowPunct/>
                    <w:topLinePunct w:val="0"/>
                    <w:bidi w:val="0"/>
                    <w:spacing w:before="0" w:line="240" w:lineRule="auto"/>
                    <w:ind w:firstLine="0" w:firstLineChars="0"/>
                    <w:jc w:val="center"/>
                    <w:rPr>
                      <w:rFonts w:hint="default"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废油墨</w:t>
                  </w:r>
                </w:p>
              </w:tc>
              <w:tc>
                <w:tcPr>
                  <w:tcW w:w="732" w:type="pct"/>
                  <w:vMerge w:val="continue"/>
                  <w:vAlign w:val="center"/>
                </w:tcPr>
                <w:p w14:paraId="0CBFDE8A">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780" w:type="pct"/>
                  <w:vMerge w:val="continue"/>
                  <w:vAlign w:val="center"/>
                </w:tcPr>
                <w:p w14:paraId="5102C1BF">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1833" w:type="pct"/>
                  <w:vMerge w:val="continue"/>
                  <w:vAlign w:val="center"/>
                </w:tcPr>
                <w:p w14:paraId="585AA82F">
                  <w:pPr>
                    <w:keepNext w:val="0"/>
                    <w:keepLines w:val="0"/>
                    <w:pageBreakBefore w:val="0"/>
                    <w:kinsoku/>
                    <w:overflowPunct/>
                    <w:topLinePunct w:val="0"/>
                    <w:autoSpaceDE w:val="0"/>
                    <w:autoSpaceDN w:val="0"/>
                    <w:bidi w:val="0"/>
                    <w:snapToGrid w:val="0"/>
                    <w:spacing w:line="240" w:lineRule="auto"/>
                    <w:ind w:firstLine="567"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r>
            <w:tr w14:paraId="160C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99" w:type="pct"/>
                  <w:vMerge w:val="continue"/>
                  <w:vAlign w:val="center"/>
                </w:tcPr>
                <w:p w14:paraId="3C42C883">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684" w:type="pct"/>
                  <w:vAlign w:val="center"/>
                </w:tcPr>
                <w:p w14:paraId="2A280C9C">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废机油桶、废机油、废含油抹布手套</w:t>
                  </w:r>
                </w:p>
              </w:tc>
              <w:tc>
                <w:tcPr>
                  <w:tcW w:w="669" w:type="pct"/>
                  <w:vAlign w:val="center"/>
                </w:tcPr>
                <w:p w14:paraId="1A855DEA">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废机油</w:t>
                  </w:r>
                </w:p>
              </w:tc>
              <w:tc>
                <w:tcPr>
                  <w:tcW w:w="732" w:type="pct"/>
                  <w:vMerge w:val="continue"/>
                  <w:vAlign w:val="center"/>
                </w:tcPr>
                <w:p w14:paraId="59FB1726">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780" w:type="pct"/>
                  <w:vMerge w:val="continue"/>
                  <w:vAlign w:val="center"/>
                </w:tcPr>
                <w:p w14:paraId="650EC607">
                  <w:pPr>
                    <w:keepNext w:val="0"/>
                    <w:keepLines w:val="0"/>
                    <w:pageBreakBefore w:val="0"/>
                    <w:widowControl/>
                    <w:kinsoku/>
                    <w:overflowPunct/>
                    <w:topLinePunct w:val="0"/>
                    <w:autoSpaceDE w:val="0"/>
                    <w:autoSpaceDN w:val="0"/>
                    <w:bidi w:val="0"/>
                    <w:snapToGrid w:val="0"/>
                    <w:spacing w:line="240" w:lineRule="auto"/>
                    <w:ind w:firstLine="0"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1833" w:type="pct"/>
                  <w:vMerge w:val="continue"/>
                  <w:vAlign w:val="center"/>
                </w:tcPr>
                <w:p w14:paraId="5A20B2EE">
                  <w:pPr>
                    <w:keepNext w:val="0"/>
                    <w:keepLines w:val="0"/>
                    <w:pageBreakBefore w:val="0"/>
                    <w:kinsoku/>
                    <w:overflowPunct/>
                    <w:topLinePunct w:val="0"/>
                    <w:autoSpaceDE w:val="0"/>
                    <w:autoSpaceDN w:val="0"/>
                    <w:bidi w:val="0"/>
                    <w:snapToGrid w:val="0"/>
                    <w:spacing w:line="240" w:lineRule="auto"/>
                    <w:ind w:firstLine="567" w:firstLineChars="0"/>
                    <w:contextualSpacing/>
                    <w:jc w:val="center"/>
                    <w:textAlignment w:val="baseline"/>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r>
          </w:tbl>
          <w:p w14:paraId="52DEB4AC">
            <w:pPr>
              <w:keepNext/>
              <w:keepLines/>
              <w:tabs>
                <w:tab w:val="left" w:pos="0"/>
              </w:tabs>
              <w:ind w:firstLine="480" w:firstLineChars="200"/>
              <w:outlineLvl w:val="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八、电磁辐射环境</w:t>
            </w:r>
          </w:p>
          <w:p w14:paraId="21A8F443">
            <w:pPr>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本项目不存在电磁辐射影响。</w:t>
            </w:r>
          </w:p>
        </w:tc>
      </w:tr>
    </w:tbl>
    <w:p w14:paraId="423427E6">
      <w:pPr>
        <w:rPr>
          <w:rFonts w:hint="default" w:ascii="Times New Roman" w:hAnsi="Times New Roman" w:cs="Times New Roman"/>
          <w:color w:val="000000" w:themeColor="text1"/>
          <w:highlight w:val="none"/>
          <w14:textFill>
            <w14:solidFill>
              <w14:schemeClr w14:val="tx1"/>
            </w14:solidFill>
          </w14:textFill>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19F1E3D3">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117" w:name="_Toc6745"/>
      <w:bookmarkStart w:id="118" w:name="_Toc6974"/>
      <w:r>
        <w:rPr>
          <w:rFonts w:hint="default" w:ascii="Times New Roman" w:hAnsi="Times New Roman" w:cs="Times New Roman"/>
          <w:color w:val="000000" w:themeColor="text1"/>
          <w:highlight w:val="none"/>
          <w14:textFill>
            <w14:solidFill>
              <w14:schemeClr w14:val="tx1"/>
            </w14:solidFill>
          </w14:textFill>
        </w:rPr>
        <w:t>五、环境保护措施监督检查清单</w:t>
      </w:r>
      <w:bookmarkEnd w:id="114"/>
      <w:bookmarkEnd w:id="117"/>
      <w:bookmarkEnd w:id="118"/>
    </w:p>
    <w:tbl>
      <w:tblPr>
        <w:tblStyle w:val="46"/>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1800"/>
        <w:gridCol w:w="1550"/>
        <w:gridCol w:w="1426"/>
        <w:gridCol w:w="3472"/>
      </w:tblGrid>
      <w:tr w14:paraId="4E1F6A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tcBorders>
              <w:tl2br w:val="single" w:color="auto" w:sz="4" w:space="0"/>
            </w:tcBorders>
          </w:tcPr>
          <w:p w14:paraId="4747EFC8">
            <w:pPr>
              <w:keepNext w:val="0"/>
              <w:keepLines w:val="0"/>
              <w:pageBreakBefore w:val="0"/>
              <w:widowControl w:val="0"/>
              <w:kinsoku/>
              <w:overflowPunct/>
              <w:topLinePunct w:val="0"/>
              <w:autoSpaceDE/>
              <w:autoSpaceDN/>
              <w:bidi w:val="0"/>
              <w:adjustRightInd w:val="0"/>
              <w:snapToGrid w:val="0"/>
              <w:spacing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bookmarkStart w:id="119" w:name="_Toc15960"/>
            <w:r>
              <w:rPr>
                <w:rFonts w:hint="default" w:ascii="Times New Roman" w:hAnsi="Times New Roman" w:cs="Times New Roman"/>
                <w:b/>
                <w:color w:val="000000" w:themeColor="text1"/>
                <w:sz w:val="21"/>
                <w:szCs w:val="21"/>
                <w:highlight w:val="none"/>
                <w14:textFill>
                  <w14:solidFill>
                    <w14:schemeClr w14:val="tx1"/>
                  </w14:solidFill>
                </w14:textFill>
              </w:rPr>
              <w:t>内容</w:t>
            </w:r>
          </w:p>
          <w:p w14:paraId="4ACF35E8">
            <w:pPr>
              <w:keepNext w:val="0"/>
              <w:keepLines w:val="0"/>
              <w:pageBreakBefore w:val="0"/>
              <w:widowControl w:val="0"/>
              <w:kinsoku/>
              <w:overflowPunct/>
              <w:topLinePunct w:val="0"/>
              <w:autoSpaceDE/>
              <w:autoSpaceDN/>
              <w:bidi w:val="0"/>
              <w:adjustRightInd w:val="0"/>
              <w:snapToGrid w:val="0"/>
              <w:spacing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p>
          <w:p w14:paraId="2C5BAA52">
            <w:pPr>
              <w:keepNext w:val="0"/>
              <w:keepLines w:val="0"/>
              <w:pageBreakBefore w:val="0"/>
              <w:widowControl w:val="0"/>
              <w:kinsoku/>
              <w:overflowPunct/>
              <w:topLinePunct w:val="0"/>
              <w:autoSpaceDE/>
              <w:autoSpaceDN/>
              <w:bidi w:val="0"/>
              <w:adjustRightInd w:val="0"/>
              <w:snapToGrid w:val="0"/>
              <w:spacing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要素</w:t>
            </w:r>
          </w:p>
        </w:tc>
        <w:tc>
          <w:tcPr>
            <w:tcW w:w="1800" w:type="dxa"/>
            <w:tcBorders>
              <w:bottom w:val="single" w:color="auto" w:sz="4" w:space="0"/>
            </w:tcBorders>
            <w:vAlign w:val="center"/>
          </w:tcPr>
          <w:p w14:paraId="7A8C5C9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排放口（编号、名称）/污染源</w:t>
            </w:r>
          </w:p>
        </w:tc>
        <w:tc>
          <w:tcPr>
            <w:tcW w:w="1550" w:type="dxa"/>
            <w:vAlign w:val="center"/>
          </w:tcPr>
          <w:p w14:paraId="58386DD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污染物项目</w:t>
            </w:r>
          </w:p>
        </w:tc>
        <w:tc>
          <w:tcPr>
            <w:tcW w:w="1426" w:type="dxa"/>
            <w:vAlign w:val="center"/>
          </w:tcPr>
          <w:p w14:paraId="6859EA0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环境保护措施</w:t>
            </w:r>
          </w:p>
        </w:tc>
        <w:tc>
          <w:tcPr>
            <w:tcW w:w="3472" w:type="dxa"/>
            <w:vAlign w:val="center"/>
          </w:tcPr>
          <w:p w14:paraId="5CBF0FD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执行标准</w:t>
            </w:r>
          </w:p>
        </w:tc>
      </w:tr>
      <w:tr w14:paraId="7B228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1108" w:type="dxa"/>
            <w:vMerge w:val="restart"/>
            <w:vAlign w:val="center"/>
          </w:tcPr>
          <w:p w14:paraId="5B3AD4F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大气环境</w:t>
            </w:r>
          </w:p>
        </w:tc>
        <w:tc>
          <w:tcPr>
            <w:tcW w:w="1800" w:type="dxa"/>
            <w:vMerge w:val="restart"/>
            <w:tcBorders>
              <w:top w:val="single" w:color="auto" w:sz="4" w:space="0"/>
            </w:tcBorders>
            <w:vAlign w:val="center"/>
          </w:tcPr>
          <w:p w14:paraId="22DBBE2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DA001</w:t>
            </w:r>
          </w:p>
        </w:tc>
        <w:tc>
          <w:tcPr>
            <w:tcW w:w="1550" w:type="dxa"/>
            <w:vAlign w:val="center"/>
          </w:tcPr>
          <w:p w14:paraId="4CE0904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NMHC</w:t>
            </w:r>
          </w:p>
        </w:tc>
        <w:tc>
          <w:tcPr>
            <w:tcW w:w="1426" w:type="dxa"/>
            <w:vMerge w:val="restart"/>
            <w:vAlign w:val="center"/>
          </w:tcPr>
          <w:p w14:paraId="75E940E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2" w:type="dxa"/>
            <w:vAlign w:val="center"/>
          </w:tcPr>
          <w:p w14:paraId="78FB7F7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《橡胶制品工业污染物排放标准》（GB 27632-2011）表 5 新建企业大气污染物排放限值、《印刷行业挥发性有机化合物排放标准》（DB44/815-2010）表2最高允许排放速率第Ⅱ时段标准和《印刷工业大气污染物排放标准》（GB41616-2022）表1大气污染物排放限值三者较严值</w:t>
            </w:r>
          </w:p>
        </w:tc>
      </w:tr>
      <w:tr w14:paraId="50042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693513B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continue"/>
            <w:vAlign w:val="center"/>
          </w:tcPr>
          <w:p w14:paraId="0135C18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50" w:type="dxa"/>
            <w:vAlign w:val="center"/>
          </w:tcPr>
          <w:p w14:paraId="1E33BF8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1426" w:type="dxa"/>
            <w:vMerge w:val="continue"/>
            <w:vAlign w:val="center"/>
          </w:tcPr>
          <w:p w14:paraId="3E26D9B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2" w:type="dxa"/>
            <w:vAlign w:val="center"/>
          </w:tcPr>
          <w:p w14:paraId="3028754F">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w:t>
            </w:r>
          </w:p>
        </w:tc>
      </w:tr>
      <w:tr w14:paraId="25230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6DB09AB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tcBorders>
              <w:bottom w:val="single" w:color="auto" w:sz="4" w:space="0"/>
            </w:tcBorders>
            <w:vAlign w:val="center"/>
          </w:tcPr>
          <w:p w14:paraId="180FB9C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厂区内</w:t>
            </w:r>
          </w:p>
        </w:tc>
        <w:tc>
          <w:tcPr>
            <w:tcW w:w="1550" w:type="dxa"/>
            <w:vAlign w:val="center"/>
          </w:tcPr>
          <w:p w14:paraId="1385F0C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NMHC</w:t>
            </w:r>
          </w:p>
        </w:tc>
        <w:tc>
          <w:tcPr>
            <w:tcW w:w="1426" w:type="dxa"/>
            <w:vAlign w:val="center"/>
          </w:tcPr>
          <w:p w14:paraId="7E3016D4">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EA6C17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广东省《固定污染源挥发性有机物综合排放标准》（DB44/2367</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-2022）中表3厂区内VOCs无组织排放限值、《印刷工业大气污染物排放标准》（GB41616</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-2022）表 A.1厂区内 VOCs 无组织排放限值两者较严值</w:t>
            </w:r>
          </w:p>
        </w:tc>
      </w:tr>
      <w:tr w14:paraId="3337ED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126A06F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restart"/>
            <w:vAlign w:val="center"/>
          </w:tcPr>
          <w:p w14:paraId="4655CEB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厂界</w:t>
            </w:r>
          </w:p>
        </w:tc>
        <w:tc>
          <w:tcPr>
            <w:tcW w:w="1550" w:type="dxa"/>
            <w:vAlign w:val="center"/>
          </w:tcPr>
          <w:p w14:paraId="10F2FD4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非甲烷总烃</w:t>
            </w:r>
          </w:p>
        </w:tc>
        <w:tc>
          <w:tcPr>
            <w:tcW w:w="1426" w:type="dxa"/>
            <w:vAlign w:val="center"/>
          </w:tcPr>
          <w:p w14:paraId="382E340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54290A9">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《橡胶制品工业污染物排放标准》（GB 27632-2011）表 6 现有和新建企业厂界无组织排放限值、《印刷行业挥发性有机化合物排放标准》（DB44/815</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-2010）表3无组织排放监控点浓度限值两者较严值</w:t>
            </w:r>
          </w:p>
        </w:tc>
      </w:tr>
      <w:tr w14:paraId="0D397D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Merge w:val="continue"/>
            <w:vAlign w:val="center"/>
          </w:tcPr>
          <w:p w14:paraId="213DB6E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00" w:type="dxa"/>
            <w:vMerge w:val="continue"/>
            <w:tcBorders>
              <w:bottom w:val="single" w:color="auto" w:sz="4" w:space="0"/>
            </w:tcBorders>
            <w:vAlign w:val="center"/>
          </w:tcPr>
          <w:p w14:paraId="41085FC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550" w:type="dxa"/>
            <w:vAlign w:val="center"/>
          </w:tcPr>
          <w:p w14:paraId="7E95C3B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臭气浓度</w:t>
            </w:r>
          </w:p>
        </w:tc>
        <w:tc>
          <w:tcPr>
            <w:tcW w:w="1426" w:type="dxa"/>
            <w:vAlign w:val="center"/>
          </w:tcPr>
          <w:p w14:paraId="0348E96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加强车间管理</w:t>
            </w:r>
          </w:p>
        </w:tc>
        <w:tc>
          <w:tcPr>
            <w:tcW w:w="3472" w:type="dxa"/>
            <w:vAlign w:val="center"/>
          </w:tcPr>
          <w:p w14:paraId="42D2E7AC">
            <w:pPr>
              <w:keepNext w:val="0"/>
              <w:keepLines w:val="0"/>
              <w:pageBreakBefore w:val="0"/>
              <w:kinsoku/>
              <w:overflowPunct/>
              <w:topLinePunct w:val="0"/>
              <w:bidi w:val="0"/>
              <w:spacing w:before="0"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default" w:ascii="Times New Roman" w:hAnsi="Times New Roman" w:cs="Times New Roman"/>
                <w:color w:val="000000" w:themeColor="text1"/>
                <w:spacing w:val="-2"/>
                <w:sz w:val="21"/>
                <w:szCs w:val="21"/>
                <w:highlight w:val="none"/>
                <w:lang w:eastAsia="zh-CN"/>
                <w14:textFill>
                  <w14:solidFill>
                    <w14:schemeClr w14:val="tx1"/>
                  </w14:solidFill>
                </w14:textFill>
              </w:rPr>
              <w:t>中</w:t>
            </w:r>
            <w:r>
              <w:rPr>
                <w:rFonts w:hint="default" w:ascii="Times New Roman" w:hAnsi="Times New Roman" w:cs="Times New Roman"/>
                <w:color w:val="000000" w:themeColor="text1"/>
                <w:sz w:val="21"/>
                <w:szCs w:val="21"/>
                <w:highlight w:val="none"/>
                <w14:textFill>
                  <w14:solidFill>
                    <w14:schemeClr w14:val="tx1"/>
                  </w14:solidFill>
                </w14:textFill>
              </w:rPr>
              <w:t>表1恶臭污染物厂界标准值二级新扩改建标准</w:t>
            </w:r>
          </w:p>
        </w:tc>
      </w:tr>
      <w:tr w14:paraId="593EB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492B936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地表水环境</w:t>
            </w:r>
          </w:p>
        </w:tc>
        <w:tc>
          <w:tcPr>
            <w:tcW w:w="1800" w:type="dxa"/>
            <w:tcBorders>
              <w:top w:val="single" w:color="auto" w:sz="4" w:space="0"/>
            </w:tcBorders>
            <w:vAlign w:val="center"/>
          </w:tcPr>
          <w:p w14:paraId="4A1048F4">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DW001</w:t>
            </w:r>
          </w:p>
        </w:tc>
        <w:tc>
          <w:tcPr>
            <w:tcW w:w="1550" w:type="dxa"/>
            <w:vAlign w:val="center"/>
          </w:tcPr>
          <w:p w14:paraId="1DC37EE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COD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cr</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SS、NH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pH、动植物油</w:t>
            </w:r>
          </w:p>
        </w:tc>
        <w:tc>
          <w:tcPr>
            <w:tcW w:w="1426" w:type="dxa"/>
            <w:vAlign w:val="center"/>
          </w:tcPr>
          <w:p w14:paraId="13BAA1F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厂区化粪池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+隔油隔渣池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预处理后，接管排入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园区污水处理厂</w:t>
            </w:r>
          </w:p>
        </w:tc>
        <w:tc>
          <w:tcPr>
            <w:tcW w:w="3472" w:type="dxa"/>
            <w:vAlign w:val="center"/>
          </w:tcPr>
          <w:p w14:paraId="05BF927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园区污水处理厂接管水质要求及广东省《</w:t>
            </w:r>
            <w:r>
              <w:rPr>
                <w:rFonts w:hint="eastAsia" w:cs="Times New Roman"/>
                <w:color w:val="000000" w:themeColor="text1"/>
                <w:sz w:val="21"/>
                <w:szCs w:val="21"/>
                <w:highlight w:val="none"/>
                <w:lang w:val="en-US" w:eastAsia="zh-CN"/>
                <w14:textFill>
                  <w14:solidFill>
                    <w14:schemeClr w14:val="tx1"/>
                  </w14:solidFill>
                </w14:textFill>
              </w:rPr>
              <w:t>水污染物排放限值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》（DB44/26-2001）第二时段三级标准两者较严值</w:t>
            </w:r>
          </w:p>
        </w:tc>
      </w:tr>
      <w:tr w14:paraId="4ABAC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3737CEA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声环境</w:t>
            </w:r>
          </w:p>
        </w:tc>
        <w:tc>
          <w:tcPr>
            <w:tcW w:w="1800" w:type="dxa"/>
            <w:vAlign w:val="center"/>
          </w:tcPr>
          <w:p w14:paraId="5ADC1BC5">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车间设备噪声</w:t>
            </w:r>
          </w:p>
        </w:tc>
        <w:tc>
          <w:tcPr>
            <w:tcW w:w="1550" w:type="dxa"/>
            <w:vAlign w:val="center"/>
          </w:tcPr>
          <w:p w14:paraId="206FC83A">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等效连续A声级</w:t>
            </w:r>
          </w:p>
        </w:tc>
        <w:tc>
          <w:tcPr>
            <w:tcW w:w="1426" w:type="dxa"/>
            <w:vAlign w:val="center"/>
          </w:tcPr>
          <w:p w14:paraId="7AFA8BC1">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设备减振、厂房隔声、定期保养机械设备</w:t>
            </w:r>
          </w:p>
        </w:tc>
        <w:tc>
          <w:tcPr>
            <w:tcW w:w="3472" w:type="dxa"/>
            <w:vAlign w:val="center"/>
          </w:tcPr>
          <w:p w14:paraId="791648FD">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厂界噪声满足《工业企业厂界环境噪声排放标准》（GB12348-2008）3类限值</w:t>
            </w:r>
          </w:p>
        </w:tc>
      </w:tr>
      <w:tr w14:paraId="67F815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25A2AD51">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电磁辐射</w:t>
            </w:r>
          </w:p>
        </w:tc>
        <w:tc>
          <w:tcPr>
            <w:tcW w:w="1800" w:type="dxa"/>
            <w:vAlign w:val="center"/>
          </w:tcPr>
          <w:p w14:paraId="3F695AD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550" w:type="dxa"/>
            <w:vAlign w:val="center"/>
          </w:tcPr>
          <w:p w14:paraId="56D390B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426" w:type="dxa"/>
            <w:vAlign w:val="center"/>
          </w:tcPr>
          <w:p w14:paraId="2E4F34BB">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2" w:type="dxa"/>
            <w:vAlign w:val="center"/>
          </w:tcPr>
          <w:p w14:paraId="7306268E">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AC4FA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7775AB26">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固体废物</w:t>
            </w:r>
          </w:p>
        </w:tc>
        <w:tc>
          <w:tcPr>
            <w:tcW w:w="4776" w:type="dxa"/>
            <w:gridSpan w:val="3"/>
            <w:vAlign w:val="center"/>
          </w:tcPr>
          <w:p w14:paraId="717F8F4E">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生活垃圾委托环卫部门定期清运；</w:t>
            </w:r>
          </w:p>
          <w:p w14:paraId="47800FFA">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废包装物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统一收集后外售至资源回收利用单位</w:t>
            </w:r>
            <w:r>
              <w:rPr>
                <w:rFonts w:hint="eastAsia" w:cs="Times New Roman"/>
                <w:color w:val="000000" w:themeColor="text1"/>
                <w:sz w:val="21"/>
                <w:szCs w:val="21"/>
                <w:highlight w:val="none"/>
                <w:lang w:val="en-US" w:eastAsia="zh-CN"/>
                <w14:textFill>
                  <w14:solidFill>
                    <w14:schemeClr w14:val="tx1"/>
                  </w14:solidFill>
                </w14:textFill>
              </w:rPr>
              <w:t>；</w:t>
            </w:r>
          </w:p>
          <w:p w14:paraId="0EEDC368">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危险固废委托有资质的单位处置。</w:t>
            </w:r>
          </w:p>
        </w:tc>
        <w:tc>
          <w:tcPr>
            <w:tcW w:w="3472" w:type="dxa"/>
            <w:vAlign w:val="center"/>
          </w:tcPr>
          <w:p w14:paraId="157DB63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一般固废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在厂区内采用库房贮存，贮存过程满足相应防渗漏、防雨淋、防扬尘等环境保护要求</w:t>
            </w:r>
            <w:r>
              <w:rPr>
                <w:rFonts w:hint="eastAsia" w:cs="Times New Roman"/>
                <w:color w:val="000000" w:themeColor="text1"/>
                <w:sz w:val="21"/>
                <w:szCs w:val="21"/>
                <w:highlight w:val="none"/>
                <w:lang w:val="en-US" w:eastAsia="zh-CN"/>
                <w14:textFill>
                  <w14:solidFill>
                    <w14:schemeClr w14:val="tx1"/>
                  </w14:solidFill>
                </w14:textFill>
              </w:rPr>
              <w:t>，危险固废执行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《危险废物贮存污染控制标准》（GB18597-20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0FDB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715572B3">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土壤及地下水污染防治措施</w:t>
            </w:r>
          </w:p>
        </w:tc>
        <w:tc>
          <w:tcPr>
            <w:tcW w:w="8248" w:type="dxa"/>
            <w:gridSpan w:val="4"/>
            <w:vAlign w:val="center"/>
          </w:tcPr>
          <w:p w14:paraId="6FC54120">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源头控制：防止污水“跑、冒、滴、漏”，防止对土壤造成污染。</w:t>
            </w:r>
          </w:p>
          <w:p w14:paraId="3A1F547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末端控制：分区防控。主要包括厂内污染区地面的防渗措施和泄漏、渗漏污染物收集措施，即在污染区地面进行防渗处理，防止洒落地面的污染物渗入地下，并把滞留在地面的污染物收集起来，集中处理，从而避免对地下水的污染。结合建设项目各生产设备、管线、贮存、运输装置等因素，根据可能进入地下水环境的各种有毒有害污染物的性质、产生量和排放量，将污染区划分为重点防渗区、一般防渗区和简单防渗区。</w:t>
            </w:r>
          </w:p>
        </w:tc>
      </w:tr>
      <w:tr w14:paraId="2D19BB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0A9FCDF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生态保护措施</w:t>
            </w:r>
          </w:p>
        </w:tc>
        <w:tc>
          <w:tcPr>
            <w:tcW w:w="8248" w:type="dxa"/>
            <w:gridSpan w:val="4"/>
            <w:vAlign w:val="center"/>
          </w:tcPr>
          <w:p w14:paraId="15CBBD6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6FF6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0703D32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环境风险防范措施</w:t>
            </w:r>
          </w:p>
        </w:tc>
        <w:tc>
          <w:tcPr>
            <w:tcW w:w="8248" w:type="dxa"/>
            <w:gridSpan w:val="4"/>
            <w:vAlign w:val="center"/>
          </w:tcPr>
          <w:p w14:paraId="34900382">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编制突发环境事件应急预案，并报生态环境部门备案；开展环境应急预案培训和演练，按规定对预案进行评估修订。</w:t>
            </w:r>
          </w:p>
          <w:p w14:paraId="6DE93C61">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建立健全各种有关消防与安全生产的规章制度，建立岗位责任制。配置相应的消防设施，并在火灾危险场所设置报警装置，一旦发生火灾，立即作出应急反应，严禁生产区域有明火出现。</w:t>
            </w:r>
          </w:p>
          <w:p w14:paraId="3FF760FD">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3</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全面加强安全管理和安全教育工作，制定和强化各种安全管理、安全生产规程，防止火灾事故的发生。</w:t>
            </w:r>
          </w:p>
          <w:p w14:paraId="7D05B455">
            <w:pPr>
              <w:pStyle w:val="102"/>
              <w:keepNext w:val="0"/>
              <w:keepLines w:val="0"/>
              <w:pageBreakBefore w:val="0"/>
              <w:widowControl w:val="0"/>
              <w:numPr>
                <w:ilvl w:val="0"/>
                <w:numId w:val="0"/>
              </w:numPr>
              <w:suppressLineNumbers w:val="0"/>
              <w:tabs>
                <w:tab w:val="left" w:pos="0"/>
              </w:tabs>
              <w:kinsoku/>
              <w:overflowPunct/>
              <w:topLinePunct w:val="0"/>
              <w:autoSpaceDE/>
              <w:autoSpaceDN/>
              <w:bidi w:val="0"/>
              <w:spacing w:before="0" w:beforeAutospacing="0" w:after="0" w:afterAutospacing="0" w:line="240" w:lineRule="auto"/>
              <w:ind w:left="0" w:leftChars="0" w:right="0" w:righ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对于</w:t>
            </w:r>
            <w:r>
              <w:rPr>
                <w:rFonts w:hint="default" w:ascii="Times New Roman" w:hAnsi="Times New Roman" w:cs="Times New Roman"/>
                <w:color w:val="000000" w:themeColor="text1"/>
                <w:sz w:val="21"/>
                <w:szCs w:val="21"/>
                <w:highlight w:val="none"/>
                <w:lang w:eastAsia="zh-CN"/>
                <w14:textFill>
                  <w14:solidFill>
                    <w14:schemeClr w14:val="tx1"/>
                  </w14:solidFill>
                </w14:textFill>
              </w:rPr>
              <w:t>危废暂存间</w:t>
            </w:r>
            <w:r>
              <w:rPr>
                <w:rFonts w:hint="default" w:ascii="Times New Roman" w:hAnsi="Times New Roman" w:cs="Times New Roman"/>
                <w:color w:val="000000" w:themeColor="text1"/>
                <w:sz w:val="21"/>
                <w:szCs w:val="21"/>
                <w:highlight w:val="none"/>
                <w14:textFill>
                  <w14:solidFill>
                    <w14:schemeClr w14:val="tx1"/>
                  </w14:solidFill>
                </w14:textFill>
              </w:rPr>
              <w:t>，需设置有监控系统，主要在仓库出入口、仓库内、厂门口等关键位置安装视频监控设施，进行实时监控。</w:t>
            </w:r>
          </w:p>
          <w:p w14:paraId="4659F35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严格执行国家、行业有关安全生产的法规和标准规范进行设计和建设，经营过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程中</w:t>
            </w:r>
            <w:r>
              <w:rPr>
                <w:rFonts w:hint="default" w:ascii="Times New Roman" w:hAnsi="Times New Roman" w:cs="Times New Roman"/>
                <w:color w:val="000000" w:themeColor="text1"/>
                <w:sz w:val="21"/>
                <w:szCs w:val="21"/>
                <w:highlight w:val="none"/>
                <w14:textFill>
                  <w14:solidFill>
                    <w14:schemeClr w14:val="tx1"/>
                  </w14:solidFill>
                </w14:textFill>
              </w:rPr>
              <w:t>应注意防火、防静电。</w:t>
            </w:r>
          </w:p>
        </w:tc>
      </w:tr>
      <w:tr w14:paraId="3EE64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dxa"/>
            <w:vAlign w:val="center"/>
          </w:tcPr>
          <w:p w14:paraId="335BB11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其他环境管理要求</w:t>
            </w:r>
          </w:p>
        </w:tc>
        <w:tc>
          <w:tcPr>
            <w:tcW w:w="8248" w:type="dxa"/>
            <w:gridSpan w:val="4"/>
            <w:vAlign w:val="center"/>
          </w:tcPr>
          <w:p w14:paraId="4403C4E3">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（一）环境管理要求</w:t>
            </w:r>
          </w:p>
          <w:p w14:paraId="6F6341F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企业要完善环境管理制度，首先必须建立相应的环境管理机构，明确环境管理机构的职责。</w:t>
            </w:r>
          </w:p>
          <w:p w14:paraId="3ECAE628">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落实各项环境保护措施，环保设施运行的管理和维护，日常的监测及污染事故的防范和应急处理。</w:t>
            </w:r>
          </w:p>
          <w:p w14:paraId="06A33D00">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环境管理机构的职责</w:t>
            </w:r>
          </w:p>
          <w:p w14:paraId="0D5E347F">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（1）依据《固定污染源排污许可分类管理名录（2019 年版）》，本项目实行排污许可简化管理。建设单位应在发生实际排污行为前，在全国排污许可证管理信息平台申领排污许可证，严格落实许可证载明的排放浓度、总量控制等管控要求；如污染物超标排放或超过重点污染物排放总量指标，须按生态环境主管部门要求限期整改。</w:t>
            </w:r>
          </w:p>
          <w:p w14:paraId="1FBE14BC">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根据环保部门、安全部门对环保设施验收报告的批复意见进行补充完善。</w:t>
            </w:r>
          </w:p>
          <w:p w14:paraId="4623B4F4">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03391877">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04D6E10E">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要加强设备、仪器、仪表的检查、维护、检修，保证设备完好运行，防止跑、冒、滴、漏对环境的污染。</w:t>
            </w:r>
          </w:p>
          <w:p w14:paraId="3DCC7372">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3E0BF3C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做好绿化的建设和维护工作。绿色植物不仅能涵养水分，保持水土，而且能挡尘降噪，调节小气候，有利于改善生态环境。</w:t>
            </w:r>
          </w:p>
          <w:p w14:paraId="3C6ABF6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（8）</w:t>
            </w:r>
            <w:r>
              <w:rPr>
                <w:rFonts w:hint="default" w:ascii="Times New Roman" w:hAnsi="Times New Roman" w:cs="Times New Roman"/>
                <w:color w:val="000000" w:themeColor="text1"/>
                <w:sz w:val="21"/>
                <w:szCs w:val="21"/>
                <w:highlight w:val="none"/>
                <w14:textFill>
                  <w14:solidFill>
                    <w14:schemeClr w14:val="tx1"/>
                  </w14:solidFill>
                </w14:textFill>
              </w:rPr>
              <w:t>建立环境管理体系，提高环境管理水平。定期进行清洁生产审计，不断采用无污染和少污染的新工艺和新技术。</w:t>
            </w:r>
          </w:p>
          <w:p w14:paraId="59AF4DA7">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（9）</w:t>
            </w:r>
            <w:r>
              <w:rPr>
                <w:rFonts w:hint="default" w:ascii="Times New Roman" w:hAnsi="Times New Roman" w:cs="Times New Roman"/>
                <w:color w:val="000000" w:themeColor="text1"/>
                <w:sz w:val="21"/>
                <w:szCs w:val="21"/>
                <w:highlight w:val="none"/>
                <w14:textFill>
                  <w14:solidFill>
                    <w14:schemeClr w14:val="tx1"/>
                  </w14:solidFill>
                </w14:textFill>
              </w:rPr>
              <w:t>接受环保主管部门的监督检查。主要内容有：污染物排放情况、环保设施运行管理情况、环境监测及污染物监测情况、环境事故的调查和有关记录、污染源建档记录等。</w:t>
            </w:r>
          </w:p>
          <w:p w14:paraId="2BD84CD2">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（二）排污口规范化 </w:t>
            </w:r>
          </w:p>
          <w:p w14:paraId="5D7068D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3BE09D8A">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000000" w:themeColor="text1"/>
                <w:sz w:val="21"/>
                <w:szCs w:val="21"/>
                <w:highlight w:val="none"/>
                <w:lang w:val="en-US" w:eastAsia="zh-CN"/>
                <w14:textFill>
                  <w14:solidFill>
                    <w14:schemeClr w14:val="tx1"/>
                  </w14:solidFill>
                </w14:textFill>
              </w:rPr>
              <w:t>与</w:t>
            </w:r>
            <w:r>
              <w:rPr>
                <w:rFonts w:hint="default" w:ascii="Times New Roman" w:hAnsi="Times New Roman" w:cs="Times New Roman"/>
                <w:color w:val="000000" w:themeColor="text1"/>
                <w:sz w:val="21"/>
                <w:szCs w:val="21"/>
                <w:highlight w:val="none"/>
                <w14:textFill>
                  <w14:solidFill>
                    <w14:schemeClr w14:val="tx1"/>
                  </w14:solidFill>
                </w14:textFill>
              </w:rPr>
              <w:t>污染治理同步实施，即治理设施完工时，规范化工作必须同时完成，并列入污染治理设施的验收内容。</w:t>
            </w:r>
          </w:p>
          <w:p w14:paraId="1AD4813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排污口规范化内容 </w:t>
            </w:r>
          </w:p>
          <w:p w14:paraId="2F30E52A">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需规范化排放口：排放口应预留监测口，做到便于采样和测定流量，并设立标志。</w:t>
            </w:r>
          </w:p>
          <w:p w14:paraId="69623910">
            <w:pPr>
              <w:pStyle w:val="102"/>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排污口的管理：建设单位应在各排污口处设置较明显的排污口标志牌，其上应注明主要排污污染物的名称。建设单位应如实填写《中华人民共和国规范化排污口标志登记证》的有关内容，由环保主管部门签发登记证。建设单位应将有关排污口的情况如：排污口的性质、编号、排污口的位置；主要排放的污染物种类、数量、浓度、排放规律、排放去向；污染治理措施的运行情况等进行建档管理，并报送环保主管部门备案。排污口规范化标识详见下表。</w:t>
            </w:r>
          </w:p>
          <w:p w14:paraId="001DF51C">
            <w:pPr>
              <w:pStyle w:val="99"/>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表5-1排污口规范化标识示意图表</w:t>
            </w:r>
          </w:p>
          <w:tbl>
            <w:tblPr>
              <w:tblStyle w:val="46"/>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1540"/>
              <w:gridCol w:w="1540"/>
              <w:gridCol w:w="1860"/>
              <w:gridCol w:w="1542"/>
            </w:tblGrid>
            <w:tr w14:paraId="1F8E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62476F9">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废水排放口</w:t>
                  </w:r>
                </w:p>
              </w:tc>
              <w:tc>
                <w:tcPr>
                  <w:tcW w:w="1491" w:type="dxa"/>
                </w:tcPr>
                <w:p w14:paraId="149F83B5">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废气排放口</w:t>
                  </w:r>
                </w:p>
              </w:tc>
              <w:tc>
                <w:tcPr>
                  <w:tcW w:w="1491" w:type="dxa"/>
                </w:tcPr>
                <w:p w14:paraId="5688C46F">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噪声源</w:t>
                  </w:r>
                </w:p>
              </w:tc>
              <w:tc>
                <w:tcPr>
                  <w:tcW w:w="1801" w:type="dxa"/>
                </w:tcPr>
                <w:p w14:paraId="312B5F25">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固体废弃物堆场</w:t>
                  </w:r>
                </w:p>
              </w:tc>
              <w:tc>
                <w:tcPr>
                  <w:tcW w:w="1492" w:type="dxa"/>
                </w:tcPr>
                <w:p w14:paraId="6487649C">
                  <w:pPr>
                    <w:pStyle w:val="102"/>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危险废物暂存</w:t>
                  </w:r>
                </w:p>
              </w:tc>
            </w:tr>
            <w:tr w14:paraId="3680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491" w:type="dxa"/>
                  <w:vAlign w:val="center"/>
                </w:tcPr>
                <w:p w14:paraId="4A3CF483">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118745</wp:posOffset>
                        </wp:positionH>
                        <wp:positionV relativeFrom="paragraph">
                          <wp:posOffset>52705</wp:posOffset>
                        </wp:positionV>
                        <wp:extent cx="640715" cy="647700"/>
                        <wp:effectExtent l="0" t="0" r="6985" b="0"/>
                        <wp:wrapNone/>
                        <wp:docPr id="1036" name="图片 42" descr="排放口"/>
                        <wp:cNvGraphicFramePr/>
                        <a:graphic xmlns:a="http://schemas.openxmlformats.org/drawingml/2006/main">
                          <a:graphicData uri="http://schemas.openxmlformats.org/drawingml/2006/picture">
                            <pic:pic xmlns:pic="http://schemas.openxmlformats.org/drawingml/2006/picture">
                              <pic:nvPicPr>
                                <pic:cNvPr id="1036" name="图片 42" descr="排放口"/>
                                <pic:cNvPicPr/>
                              </pic:nvPicPr>
                              <pic:blipFill>
                                <a:blip r:embed="rId24" cstate="print"/>
                                <a:srcRect l="66771" t="5846" r="3780" b="55385"/>
                                <a:stretch>
                                  <a:fillRect/>
                                </a:stretch>
                              </pic:blipFill>
                              <pic:spPr>
                                <a:xfrm>
                                  <a:off x="0" y="0"/>
                                  <a:ext cx="640715" cy="647700"/>
                                </a:xfrm>
                                <a:prstGeom prst="rect">
                                  <a:avLst/>
                                </a:prstGeom>
                                <a:ln>
                                  <a:noFill/>
                                </a:ln>
                              </pic:spPr>
                            </pic:pic>
                          </a:graphicData>
                        </a:graphic>
                      </wp:anchor>
                    </w:drawing>
                  </w:r>
                </w:p>
              </w:tc>
              <w:tc>
                <w:tcPr>
                  <w:tcW w:w="1491" w:type="dxa"/>
                </w:tcPr>
                <w:p w14:paraId="68EDD6F5">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105410</wp:posOffset>
                        </wp:positionH>
                        <wp:positionV relativeFrom="paragraph">
                          <wp:posOffset>54610</wp:posOffset>
                        </wp:positionV>
                        <wp:extent cx="637540" cy="647700"/>
                        <wp:effectExtent l="0" t="0" r="10160" b="0"/>
                        <wp:wrapNone/>
                        <wp:docPr id="1037" name="图片 43" descr="排放口"/>
                        <wp:cNvGraphicFramePr/>
                        <a:graphic xmlns:a="http://schemas.openxmlformats.org/drawingml/2006/main">
                          <a:graphicData uri="http://schemas.openxmlformats.org/drawingml/2006/picture">
                            <pic:pic xmlns:pic="http://schemas.openxmlformats.org/drawingml/2006/picture">
                              <pic:nvPicPr>
                                <pic:cNvPr id="1037" name="图片 43" descr="排放口"/>
                                <pic:cNvPicPr/>
                              </pic:nvPicPr>
                              <pic:blipFill>
                                <a:blip r:embed="rId24" cstate="print"/>
                                <a:srcRect l="19153" t="6250" r="51726" b="55122"/>
                                <a:stretch>
                                  <a:fillRect/>
                                </a:stretch>
                              </pic:blipFill>
                              <pic:spPr>
                                <a:xfrm>
                                  <a:off x="0" y="0"/>
                                  <a:ext cx="637540" cy="647700"/>
                                </a:xfrm>
                                <a:prstGeom prst="rect">
                                  <a:avLst/>
                                </a:prstGeom>
                                <a:ln>
                                  <a:noFill/>
                                </a:ln>
                              </pic:spPr>
                            </pic:pic>
                          </a:graphicData>
                        </a:graphic>
                      </wp:anchor>
                    </w:drawing>
                  </w:r>
                </w:p>
              </w:tc>
              <w:tc>
                <w:tcPr>
                  <w:tcW w:w="1491" w:type="dxa"/>
                </w:tcPr>
                <w:p w14:paraId="4774DB0F">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85725</wp:posOffset>
                        </wp:positionH>
                        <wp:positionV relativeFrom="paragraph">
                          <wp:posOffset>48895</wp:posOffset>
                        </wp:positionV>
                        <wp:extent cx="638810" cy="647700"/>
                        <wp:effectExtent l="0" t="0" r="8890" b="0"/>
                        <wp:wrapNone/>
                        <wp:docPr id="1038" name="图片 44" descr="排放口"/>
                        <wp:cNvGraphicFramePr/>
                        <a:graphic xmlns:a="http://schemas.openxmlformats.org/drawingml/2006/main">
                          <a:graphicData uri="http://schemas.openxmlformats.org/drawingml/2006/picture">
                            <pic:pic xmlns:pic="http://schemas.openxmlformats.org/drawingml/2006/picture">
                              <pic:nvPicPr>
                                <pic:cNvPr id="1038" name="图片 44" descr="排放口"/>
                                <pic:cNvPicPr/>
                              </pic:nvPicPr>
                              <pic:blipFill>
                                <a:blip r:embed="rId24" cstate="print"/>
                                <a:srcRect l="51723" t="47942" r="27067" b="13129"/>
                                <a:stretch>
                                  <a:fillRect/>
                                </a:stretch>
                              </pic:blipFill>
                              <pic:spPr>
                                <a:xfrm>
                                  <a:off x="0" y="0"/>
                                  <a:ext cx="638810" cy="647700"/>
                                </a:xfrm>
                                <a:prstGeom prst="rect">
                                  <a:avLst/>
                                </a:prstGeom>
                                <a:ln>
                                  <a:noFill/>
                                </a:ln>
                              </pic:spPr>
                            </pic:pic>
                          </a:graphicData>
                        </a:graphic>
                      </wp:anchor>
                    </w:drawing>
                  </w:r>
                </w:p>
              </w:tc>
              <w:tc>
                <w:tcPr>
                  <w:tcW w:w="1801" w:type="dxa"/>
                </w:tcPr>
                <w:p w14:paraId="5C230574">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152400</wp:posOffset>
                        </wp:positionH>
                        <wp:positionV relativeFrom="paragraph">
                          <wp:posOffset>50800</wp:posOffset>
                        </wp:positionV>
                        <wp:extent cx="652145" cy="647700"/>
                        <wp:effectExtent l="0" t="0" r="6350" b="0"/>
                        <wp:wrapNone/>
                        <wp:docPr id="1039" name="图片 46" descr="排放口"/>
                        <wp:cNvGraphicFramePr/>
                        <a:graphic xmlns:a="http://schemas.openxmlformats.org/drawingml/2006/main">
                          <a:graphicData uri="http://schemas.openxmlformats.org/drawingml/2006/picture">
                            <pic:pic xmlns:pic="http://schemas.openxmlformats.org/drawingml/2006/picture">
                              <pic:nvPicPr>
                                <pic:cNvPr id="1039" name="图片 46" descr="排放口"/>
                                <pic:cNvPicPr/>
                              </pic:nvPicPr>
                              <pic:blipFill>
                                <a:blip r:embed="rId24" cstate="print"/>
                                <a:srcRect l="18872" t="47525" r="51678" b="14358"/>
                                <a:stretch>
                                  <a:fillRect/>
                                </a:stretch>
                              </pic:blipFill>
                              <pic:spPr>
                                <a:xfrm>
                                  <a:off x="0" y="0"/>
                                  <a:ext cx="652145" cy="647700"/>
                                </a:xfrm>
                                <a:prstGeom prst="rect">
                                  <a:avLst/>
                                </a:prstGeom>
                                <a:ln>
                                  <a:noFill/>
                                </a:ln>
                              </pic:spPr>
                            </pic:pic>
                          </a:graphicData>
                        </a:graphic>
                      </wp:anchor>
                    </w:drawing>
                  </w:r>
                </w:p>
              </w:tc>
              <w:tc>
                <w:tcPr>
                  <w:tcW w:w="1492" w:type="dxa"/>
                </w:tcPr>
                <w:p w14:paraId="686889C3">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15875</wp:posOffset>
                        </wp:positionH>
                        <wp:positionV relativeFrom="paragraph">
                          <wp:posOffset>50800</wp:posOffset>
                        </wp:positionV>
                        <wp:extent cx="673735" cy="687070"/>
                        <wp:effectExtent l="0" t="0" r="6350" b="3810"/>
                        <wp:wrapNone/>
                        <wp:docPr id="1040" name="图片 6"/>
                        <wp:cNvGraphicFramePr/>
                        <a:graphic xmlns:a="http://schemas.openxmlformats.org/drawingml/2006/main">
                          <a:graphicData uri="http://schemas.openxmlformats.org/drawingml/2006/picture">
                            <pic:pic xmlns:pic="http://schemas.openxmlformats.org/drawingml/2006/picture">
                              <pic:nvPicPr>
                                <pic:cNvPr id="1040" name="图片 6"/>
                                <pic:cNvPicPr/>
                              </pic:nvPicPr>
                              <pic:blipFill>
                                <a:blip r:embed="rId25" cstate="print"/>
                                <a:srcRect l="15968" t="5974" r="13557" b="48367"/>
                                <a:stretch>
                                  <a:fillRect/>
                                </a:stretch>
                              </pic:blipFill>
                              <pic:spPr>
                                <a:xfrm>
                                  <a:off x="0" y="0"/>
                                  <a:ext cx="673735" cy="687070"/>
                                </a:xfrm>
                                <a:prstGeom prst="rect">
                                  <a:avLst/>
                                </a:prstGeom>
                                <a:ln>
                                  <a:noFill/>
                                </a:ln>
                              </pic:spPr>
                            </pic:pic>
                          </a:graphicData>
                        </a:graphic>
                      </wp:anchor>
                    </w:drawing>
                  </w:r>
                  <w:r>
                    <w:rPr>
                      <w:rFonts w:hint="default" w:ascii="Times New Roman" w:hAnsi="Times New Roman" w:cs="Times New Roman"/>
                      <w:color w:val="000000" w:themeColor="text1"/>
                      <w:sz w:val="21"/>
                      <w:szCs w:val="21"/>
                      <w:highlight w:val="none"/>
                      <w14:textFill>
                        <w14:solidFill>
                          <w14:schemeClr w14:val="tx1"/>
                        </w14:solidFill>
                      </w14:textFill>
                    </w:rPr>
                    <w:drawing>
                      <wp:anchor distT="0" distB="0" distL="0" distR="0" simplePos="0" relativeHeight="251659264" behindDoc="0" locked="0" layoutInCell="1" allowOverlap="1">
                        <wp:simplePos x="0" y="0"/>
                        <wp:positionH relativeFrom="column">
                          <wp:posOffset>-29210</wp:posOffset>
                        </wp:positionH>
                        <wp:positionV relativeFrom="paragraph">
                          <wp:posOffset>81280</wp:posOffset>
                        </wp:positionV>
                        <wp:extent cx="720090" cy="597535"/>
                        <wp:effectExtent l="0" t="0" r="3175" b="6985"/>
                        <wp:wrapNone/>
                        <wp:docPr id="1041" name="图片 45" descr="危废"/>
                        <wp:cNvGraphicFramePr/>
                        <a:graphic xmlns:a="http://schemas.openxmlformats.org/drawingml/2006/main">
                          <a:graphicData uri="http://schemas.openxmlformats.org/drawingml/2006/picture">
                            <pic:pic xmlns:pic="http://schemas.openxmlformats.org/drawingml/2006/picture">
                              <pic:nvPicPr>
                                <pic:cNvPr id="1041" name="图片 45" descr="危废"/>
                                <pic:cNvPicPr/>
                              </pic:nvPicPr>
                              <pic:blipFill>
                                <a:blip r:embed="rId26" cstate="print"/>
                                <a:srcRect t="15695" r="57016" b="30949"/>
                                <a:stretch>
                                  <a:fillRect/>
                                </a:stretch>
                              </pic:blipFill>
                              <pic:spPr>
                                <a:xfrm>
                                  <a:off x="0" y="0"/>
                                  <a:ext cx="720090" cy="597535"/>
                                </a:xfrm>
                                <a:prstGeom prst="rect">
                                  <a:avLst/>
                                </a:prstGeom>
                                <a:ln>
                                  <a:noFill/>
                                </a:ln>
                              </pic:spPr>
                            </pic:pic>
                          </a:graphicData>
                        </a:graphic>
                      </wp:anchor>
                    </w:drawing>
                  </w:r>
                </w:p>
              </w:tc>
            </w:tr>
            <w:tr w14:paraId="5BA5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4" w:type="dxa"/>
                  <w:gridSpan w:val="4"/>
                </w:tcPr>
                <w:p w14:paraId="4F4DE2BD">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背景颜色：绿色            图形颜色：白色</w:t>
                  </w:r>
                </w:p>
              </w:tc>
              <w:tc>
                <w:tcPr>
                  <w:tcW w:w="1492" w:type="dxa"/>
                </w:tcPr>
                <w:p w14:paraId="4CDAE2EB">
                  <w:pPr>
                    <w:pStyle w:val="102"/>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w:t>
                  </w:r>
                </w:p>
              </w:tc>
            </w:tr>
          </w:tbl>
          <w:p w14:paraId="5E3EBF6F">
            <w:pPr>
              <w:pStyle w:val="103"/>
              <w:keepNext w:val="0"/>
              <w:keepLines w:val="0"/>
              <w:pageBreakBefore w:val="0"/>
              <w:widowControl w:val="0"/>
              <w:numPr>
                <w:ilvl w:val="0"/>
                <w:numId w:val="0"/>
              </w:numPr>
              <w:kinsoku/>
              <w:overflowPunct/>
              <w:topLinePunct w:val="0"/>
              <w:autoSpaceDE/>
              <w:autoSpaceDN/>
              <w:bidi w:val="0"/>
              <w:spacing w:line="240" w:lineRule="auto"/>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（三）</w:t>
            </w:r>
            <w:r>
              <w:rPr>
                <w:rFonts w:hint="default" w:ascii="Times New Roman" w:hAnsi="Times New Roman" w:cs="Times New Roman"/>
                <w:color w:val="000000" w:themeColor="text1"/>
                <w:sz w:val="21"/>
                <w:szCs w:val="21"/>
                <w:highlight w:val="none"/>
                <w14:textFill>
                  <w14:solidFill>
                    <w14:schemeClr w14:val="tx1"/>
                  </w14:solidFill>
                </w14:textFill>
              </w:rPr>
              <w:t>排污许可</w:t>
            </w:r>
          </w:p>
          <w:p w14:paraId="3B91EB59">
            <w:pPr>
              <w:keepNext w:val="0"/>
              <w:keepLines w:val="0"/>
              <w:pageBreakBefore w:val="0"/>
              <w:widowControl w:val="0"/>
              <w:kinsoku/>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根据《固定污染源排污许可分类管理名录（2019版）》，对本项目排污许可分类进行判定，具体如下：</w:t>
            </w:r>
          </w:p>
          <w:p w14:paraId="20275046">
            <w:pPr>
              <w:pStyle w:val="99"/>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表5-2 项目排污许可类别判定表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585"/>
              <w:gridCol w:w="1065"/>
              <w:gridCol w:w="2166"/>
              <w:gridCol w:w="693"/>
              <w:gridCol w:w="1425"/>
            </w:tblGrid>
            <w:tr w14:paraId="188F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vMerge w:val="restart"/>
                  <w:tcBorders>
                    <w:tl2br w:val="nil"/>
                    <w:tr2bl w:val="nil"/>
                  </w:tcBorders>
                  <w:vAlign w:val="center"/>
                </w:tcPr>
                <w:p w14:paraId="60ACB9B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国民经济行业类别</w:t>
                  </w:r>
                </w:p>
              </w:tc>
              <w:tc>
                <w:tcPr>
                  <w:tcW w:w="988" w:type="pct"/>
                  <w:vMerge w:val="restart"/>
                  <w:tcBorders>
                    <w:tl2br w:val="nil"/>
                    <w:tr2bl w:val="nil"/>
                  </w:tcBorders>
                  <w:vAlign w:val="center"/>
                </w:tcPr>
                <w:p w14:paraId="2B3BA1F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建设项目行业类别</w:t>
                  </w:r>
                </w:p>
              </w:tc>
              <w:tc>
                <w:tcPr>
                  <w:tcW w:w="3334" w:type="pct"/>
                  <w:gridSpan w:val="4"/>
                  <w:tcBorders>
                    <w:tl2br w:val="nil"/>
                    <w:tr2bl w:val="nil"/>
                  </w:tcBorders>
                  <w:vAlign w:val="center"/>
                </w:tcPr>
                <w:p w14:paraId="2A8648B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排污许可类别判定</w:t>
                  </w:r>
                </w:p>
              </w:tc>
            </w:tr>
            <w:tr w14:paraId="641B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vMerge w:val="continue"/>
                  <w:tcBorders>
                    <w:tl2br w:val="nil"/>
                    <w:tr2bl w:val="nil"/>
                  </w:tcBorders>
                  <w:vAlign w:val="center"/>
                </w:tcPr>
                <w:p w14:paraId="70506DF6">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988" w:type="pct"/>
                  <w:vMerge w:val="continue"/>
                  <w:tcBorders>
                    <w:tl2br w:val="nil"/>
                    <w:tr2bl w:val="nil"/>
                  </w:tcBorders>
                  <w:vAlign w:val="center"/>
                </w:tcPr>
                <w:p w14:paraId="640FEC1C">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664" w:type="pct"/>
                  <w:tcBorders>
                    <w:tl2br w:val="nil"/>
                    <w:tr2bl w:val="nil"/>
                  </w:tcBorders>
                  <w:vAlign w:val="center"/>
                </w:tcPr>
                <w:p w14:paraId="232DC67B">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重点管理</w:t>
                  </w:r>
                </w:p>
              </w:tc>
              <w:tc>
                <w:tcPr>
                  <w:tcW w:w="1350" w:type="pct"/>
                  <w:tcBorders>
                    <w:tl2br w:val="nil"/>
                    <w:tr2bl w:val="nil"/>
                  </w:tcBorders>
                  <w:vAlign w:val="center"/>
                </w:tcPr>
                <w:p w14:paraId="12C8B08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简化管理</w:t>
                  </w:r>
                </w:p>
              </w:tc>
              <w:tc>
                <w:tcPr>
                  <w:tcW w:w="432" w:type="pct"/>
                  <w:tcBorders>
                    <w:tl2br w:val="nil"/>
                    <w:tr2bl w:val="nil"/>
                  </w:tcBorders>
                  <w:vAlign w:val="center"/>
                </w:tcPr>
                <w:p w14:paraId="211A7C28">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登记管理</w:t>
                  </w:r>
                </w:p>
              </w:tc>
              <w:tc>
                <w:tcPr>
                  <w:tcW w:w="887" w:type="pct"/>
                  <w:tcBorders>
                    <w:tl2br w:val="nil"/>
                    <w:tr2bl w:val="nil"/>
                  </w:tcBorders>
                  <w:vAlign w:val="center"/>
                </w:tcPr>
                <w:p w14:paraId="5B50E641">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本项目</w:t>
                  </w:r>
                </w:p>
              </w:tc>
            </w:tr>
            <w:tr w14:paraId="0989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pct"/>
                  <w:tcBorders>
                    <w:tl2br w:val="nil"/>
                    <w:tr2bl w:val="nil"/>
                  </w:tcBorders>
                  <w:vAlign w:val="center"/>
                </w:tcPr>
                <w:p w14:paraId="6990B91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C2919其他橡胶制品制造</w:t>
                  </w:r>
                </w:p>
              </w:tc>
              <w:tc>
                <w:tcPr>
                  <w:tcW w:w="988" w:type="pct"/>
                  <w:tcBorders>
                    <w:tl2br w:val="nil"/>
                    <w:tr2bl w:val="nil"/>
                  </w:tcBorders>
                  <w:vAlign w:val="center"/>
                </w:tcPr>
                <w:p w14:paraId="2E732C4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二十</w:t>
                  </w:r>
                  <w:r>
                    <w:rPr>
                      <w:rFonts w:hint="eastAsia" w:cs="Times New Roman"/>
                      <w:color w:val="000000" w:themeColor="text1"/>
                      <w:sz w:val="21"/>
                      <w:szCs w:val="21"/>
                      <w:highlight w:val="none"/>
                      <w:lang w:val="en-US" w:eastAsia="zh-CN"/>
                      <w14:textFill>
                        <w14:solidFill>
                          <w14:schemeClr w14:val="tx1"/>
                        </w14:solidFill>
                      </w14:textFill>
                    </w:rPr>
                    <w:t>四</w:t>
                  </w:r>
                  <w:r>
                    <w:rPr>
                      <w:rFonts w:hint="default" w:ascii="Times New Roman" w:hAnsi="Times New Roman" w:cs="Times New Roman"/>
                      <w:color w:val="000000" w:themeColor="text1"/>
                      <w:sz w:val="21"/>
                      <w:szCs w:val="21"/>
                      <w:highlight w:val="none"/>
                      <w14:textFill>
                        <w14:solidFill>
                          <w14:schemeClr w14:val="tx1"/>
                        </w14:solidFill>
                      </w14:textFill>
                    </w:rPr>
                    <w:t>、橡胶和塑料制品业29—</w:t>
                  </w:r>
                  <w:r>
                    <w:rPr>
                      <w:rFonts w:hint="eastAsia" w:cs="Times New Roman"/>
                      <w:color w:val="000000" w:themeColor="text1"/>
                      <w:sz w:val="21"/>
                      <w:szCs w:val="21"/>
                      <w:highlight w:val="none"/>
                      <w:lang w:val="en-US" w:eastAsia="zh-CN"/>
                      <w14:textFill>
                        <w14:solidFill>
                          <w14:schemeClr w14:val="tx1"/>
                        </w14:solidFill>
                      </w14:textFill>
                    </w:rPr>
                    <w:t>74</w:t>
                  </w:r>
                  <w:r>
                    <w:rPr>
                      <w:rFonts w:hint="default" w:ascii="Times New Roman" w:hAnsi="Times New Roman" w:cs="Times New Roman"/>
                      <w:color w:val="000000" w:themeColor="text1"/>
                      <w:sz w:val="21"/>
                      <w:szCs w:val="21"/>
                      <w:highlight w:val="none"/>
                      <w14:textFill>
                        <w14:solidFill>
                          <w14:schemeClr w14:val="tx1"/>
                        </w14:solidFill>
                      </w14:textFill>
                    </w:rPr>
                    <w:t>、橡胶制品业291其他</w:t>
                  </w:r>
                </w:p>
              </w:tc>
              <w:tc>
                <w:tcPr>
                  <w:tcW w:w="664" w:type="pct"/>
                  <w:tcBorders>
                    <w:tl2br w:val="nil"/>
                    <w:tr2bl w:val="nil"/>
                  </w:tcBorders>
                  <w:vAlign w:val="center"/>
                </w:tcPr>
                <w:p w14:paraId="1E487481">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shd w:val="clear" w:color="auto" w:fill="FFFFFF"/>
                      <w14:textFill>
                        <w14:solidFill>
                          <w14:schemeClr w14:val="tx1"/>
                        </w14:solidFill>
                      </w14:textFill>
                    </w:rPr>
                  </w:pPr>
                  <w:r>
                    <w:rPr>
                      <w:rFonts w:hint="default" w:ascii="Times New Roman" w:hAnsi="Times New Roman" w:cs="Times New Roman"/>
                      <w:color w:val="000000" w:themeColor="text1"/>
                      <w:sz w:val="21"/>
                      <w:szCs w:val="21"/>
                      <w:highlight w:val="none"/>
                      <w:shd w:val="clear" w:color="auto" w:fill="FFFFFF"/>
                      <w14:textFill>
                        <w14:solidFill>
                          <w14:schemeClr w14:val="tx1"/>
                        </w14:solidFill>
                      </w14:textFill>
                    </w:rPr>
                    <w:t>年耗胶量2000吨及以上的轮胎制造2911</w:t>
                  </w:r>
                </w:p>
              </w:tc>
              <w:tc>
                <w:tcPr>
                  <w:tcW w:w="1350" w:type="pct"/>
                  <w:tcBorders>
                    <w:tl2br w:val="nil"/>
                    <w:tr2bl w:val="nil"/>
                  </w:tcBorders>
                  <w:vAlign w:val="center"/>
                </w:tcPr>
                <w:p w14:paraId="3142BE5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除重点管理以外的轮胎制造2911;年耗胶量2000吨及以上的橡胶板、管、带制造2912、橡胶零件制造2913、日用及医用橡胶制品制造2915、运动场地用塑胶制造2916、其他橡胶制品制造2919;再生橡胶制造2914(不含仅破碎或者切割的)</w:t>
                  </w:r>
                </w:p>
              </w:tc>
              <w:tc>
                <w:tcPr>
                  <w:tcW w:w="432" w:type="pct"/>
                  <w:tcBorders>
                    <w:tl2br w:val="nil"/>
                    <w:tr2bl w:val="nil"/>
                  </w:tcBorders>
                  <w:vAlign w:val="center"/>
                </w:tcPr>
                <w:p w14:paraId="1AC744C2">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其他</w:t>
                  </w:r>
                </w:p>
              </w:tc>
              <w:tc>
                <w:tcPr>
                  <w:tcW w:w="887" w:type="pct"/>
                  <w:tcBorders>
                    <w:tl2br w:val="nil"/>
                    <w:tr2bl w:val="nil"/>
                  </w:tcBorders>
                  <w:vAlign w:val="center"/>
                </w:tcPr>
                <w:p w14:paraId="6AF7085A">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属于</w:t>
                  </w:r>
                  <w:r>
                    <w:rPr>
                      <w:rFonts w:hint="eastAsia" w:cs="Times New Roman"/>
                      <w:color w:val="000000" w:themeColor="text1"/>
                      <w:sz w:val="21"/>
                      <w:szCs w:val="21"/>
                      <w:highlight w:val="none"/>
                      <w:lang w:eastAsia="zh-CN"/>
                      <w14:textFill>
                        <w14:solidFill>
                          <w14:schemeClr w14:val="tx1"/>
                        </w14:solidFill>
                      </w14:textFill>
                    </w:rPr>
                    <w:t>C2919其他橡胶制品制造，</w:t>
                  </w:r>
                  <w:r>
                    <w:rPr>
                      <w:rFonts w:hint="default" w:ascii="Times New Roman" w:hAnsi="Times New Roman" w:cs="Times New Roman"/>
                      <w:color w:val="000000" w:themeColor="text1"/>
                      <w:sz w:val="21"/>
                      <w:szCs w:val="21"/>
                      <w:highlight w:val="none"/>
                      <w14:textFill>
                        <w14:solidFill>
                          <w14:schemeClr w14:val="tx1"/>
                        </w14:solidFill>
                      </w14:textFill>
                    </w:rPr>
                    <w:t>实行</w:t>
                  </w:r>
                  <w:r>
                    <w:rPr>
                      <w:rFonts w:hint="eastAsia" w:cs="Times New Roman"/>
                      <w:color w:val="000000" w:themeColor="text1"/>
                      <w:sz w:val="21"/>
                      <w:szCs w:val="21"/>
                      <w:highlight w:val="none"/>
                      <w:lang w:val="en-US" w:eastAsia="zh-CN"/>
                      <w14:textFill>
                        <w14:solidFill>
                          <w14:schemeClr w14:val="tx1"/>
                        </w14:solidFill>
                      </w14:textFill>
                    </w:rPr>
                    <w:t>简化</w:t>
                  </w:r>
                  <w:r>
                    <w:rPr>
                      <w:rFonts w:hint="default" w:ascii="Times New Roman" w:hAnsi="Times New Roman" w:cs="Times New Roman"/>
                      <w:color w:val="000000" w:themeColor="text1"/>
                      <w:sz w:val="21"/>
                      <w:szCs w:val="21"/>
                      <w:highlight w:val="none"/>
                      <w14:textFill>
                        <w14:solidFill>
                          <w14:schemeClr w14:val="tx1"/>
                        </w14:solidFill>
                      </w14:textFill>
                    </w:rPr>
                    <w:t>管理</w:t>
                  </w:r>
                </w:p>
              </w:tc>
            </w:tr>
          </w:tbl>
          <w:p w14:paraId="734F8AC0">
            <w:pPr>
              <w:pStyle w:val="27"/>
              <w:keepNext w:val="0"/>
              <w:keepLines w:val="0"/>
              <w:pageBreakBefore w:val="0"/>
              <w:widowControl w:val="0"/>
              <w:numPr>
                <w:ilvl w:val="0"/>
                <w:numId w:val="0"/>
              </w:numPr>
              <w:kinsoku/>
              <w:overflowPunct/>
              <w:topLinePunct w:val="0"/>
              <w:autoSpaceDE/>
              <w:autoSpaceDN/>
              <w:bidi w:val="0"/>
              <w:spacing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对照名录分析，本项目属于</w:t>
            </w:r>
            <w:r>
              <w:rPr>
                <w:rFonts w:hint="eastAsia" w:cs="Times New Roman"/>
                <w:color w:val="000000" w:themeColor="text1"/>
                <w:sz w:val="21"/>
                <w:szCs w:val="21"/>
                <w:highlight w:val="none"/>
                <w:lang w:val="en-US" w:eastAsia="zh-CN"/>
                <w14:textFill>
                  <w14:solidFill>
                    <w14:schemeClr w14:val="tx1"/>
                  </w14:solidFill>
                </w14:textFill>
              </w:rPr>
              <w:t>简化</w:t>
            </w:r>
            <w:r>
              <w:rPr>
                <w:rFonts w:hint="default" w:ascii="Times New Roman" w:hAnsi="Times New Roman" w:cs="Times New Roman"/>
                <w:color w:val="000000" w:themeColor="text1"/>
                <w:sz w:val="21"/>
                <w:szCs w:val="21"/>
                <w:highlight w:val="none"/>
                <w14:textFill>
                  <w14:solidFill>
                    <w14:schemeClr w14:val="tx1"/>
                  </w14:solidFill>
                </w14:textFill>
              </w:rPr>
              <w:t>管理。建设单位应在启动生产设施或者实际排污之前，依法向韶关市生态环境局乐昌分局申请取得排污许可证，并按照排污许可证的规定排放污染物。</w:t>
            </w:r>
          </w:p>
          <w:p w14:paraId="2FB59453">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（四）竣工验收要求</w:t>
            </w:r>
          </w:p>
          <w:p w14:paraId="7C4E7C43">
            <w:pPr>
              <w:pStyle w:val="102"/>
              <w:keepNext w:val="0"/>
              <w:keepLines w:val="0"/>
              <w:pageBreakBefore w:val="0"/>
              <w:widowControl w:val="0"/>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根据《建设项目竣工环境保护验收暂行办法》（国环规环评〔2017〕4号），建设单位自行验收。本项目自行验收要求如下： </w:t>
            </w:r>
          </w:p>
          <w:p w14:paraId="507FB73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4AA1DD7C">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4BBDF61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存在下列情形之一的建设项目，不得通过竣工环境保护验收： </w:t>
            </w:r>
          </w:p>
          <w:p w14:paraId="72EEDAC7">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未按</w:t>
            </w: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环境影响报告表及其审批部门审批决定要求建成环境保护设施，或者环境保护设施不能与主体工程同时投产或者使用的；</w:t>
            </w:r>
          </w:p>
          <w:p w14:paraId="41BDC68A">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污染物排放不符合国家和地方相关标准、</w:t>
            </w: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环境影响报告</w:t>
            </w:r>
            <w:r>
              <w:rPr>
                <w:rFonts w:hint="eastAsia" w:cs="Times New Roman"/>
                <w:color w:val="000000" w:themeColor="text1"/>
                <w:sz w:val="21"/>
                <w:szCs w:val="21"/>
                <w:highlight w:val="none"/>
                <w:lang w:val="en-US" w:eastAsia="zh-CN"/>
                <w14:textFill>
                  <w14:solidFill>
                    <w14:schemeClr w14:val="tx1"/>
                  </w14:solidFill>
                </w14:textFill>
              </w:rPr>
              <w:t>表</w:t>
            </w:r>
            <w:r>
              <w:rPr>
                <w:rFonts w:hint="default" w:ascii="Times New Roman" w:hAnsi="Times New Roman" w:cs="Times New Roman"/>
                <w:color w:val="000000" w:themeColor="text1"/>
                <w:sz w:val="21"/>
                <w:szCs w:val="21"/>
                <w:highlight w:val="none"/>
                <w14:textFill>
                  <w14:solidFill>
                    <w14:schemeClr w14:val="tx1"/>
                  </w14:solidFill>
                </w14:textFill>
              </w:rPr>
              <w:t>及其审批部门审批决定或者重点污染物排放总量控制指标要求的；</w:t>
            </w:r>
          </w:p>
          <w:p w14:paraId="41D41304">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生态</w:t>
            </w:r>
            <w:r>
              <w:rPr>
                <w:rFonts w:hint="default" w:ascii="Times New Roman" w:hAnsi="Times New Roman" w:cs="Times New Roman"/>
                <w:color w:val="000000" w:themeColor="text1"/>
                <w:sz w:val="21"/>
                <w:szCs w:val="21"/>
                <w:highlight w:val="none"/>
                <w14:textFill>
                  <w14:solidFill>
                    <w14:schemeClr w14:val="tx1"/>
                  </w14:solidFill>
                </w14:textFill>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5083F848">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 xml:space="preserve">建设过程中造成重大环境污染未治理完成，或者造成重大生态破坏未恢复的； </w:t>
            </w:r>
          </w:p>
          <w:p w14:paraId="5814F4EA">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纳入排污许可管理的建设项目，无证排污或者不按证排污的；</w:t>
            </w:r>
          </w:p>
          <w:p w14:paraId="6B041CEF">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建设单位因该建设项目违反国家和地方环境保护法律法规受到处罚，被责令改正，尚未改正完成的；</w:t>
            </w:r>
          </w:p>
          <w:p w14:paraId="3825F536">
            <w:pPr>
              <w:pStyle w:val="102"/>
              <w:keepNext w:val="0"/>
              <w:keepLines w:val="0"/>
              <w:pageBreakBefore w:val="0"/>
              <w:widowControl w:val="0"/>
              <w:numPr>
                <w:ilvl w:val="0"/>
                <w:numId w:val="12"/>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验收报告的基础资料数据明显不实，内容存在重大缺项、遗漏，或者验收结论不明确、不合理的。</w:t>
            </w:r>
          </w:p>
          <w:p w14:paraId="22EF829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52EABD04">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建设项目配套建设的环境保护设施竣工后，公开竣工日期；</w:t>
            </w:r>
          </w:p>
          <w:p w14:paraId="1C03E0D7">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对建设项目配套建设的环境保护设施进行调试前，公开调试的起止日期；</w:t>
            </w:r>
          </w:p>
          <w:p w14:paraId="22F6F226">
            <w:pPr>
              <w:pStyle w:val="102"/>
              <w:keepNext w:val="0"/>
              <w:keepLines w:val="0"/>
              <w:pageBreakBefore w:val="0"/>
              <w:widowControl w:val="0"/>
              <w:numPr>
                <w:ilvl w:val="0"/>
                <w:numId w:val="13"/>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验收报告编制完成后5个工作日内，公开验收报告，公示的期限不得少于20个工作日。</w:t>
            </w:r>
          </w:p>
          <w:p w14:paraId="28FEEB5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239A670A">
            <w:pPr>
              <w:pStyle w:val="102"/>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p w14:paraId="7E319095">
            <w:pPr>
              <w:pStyle w:val="102"/>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r>
    </w:tbl>
    <w:p w14:paraId="6F192163">
      <w:pPr>
        <w:pStyle w:val="18"/>
        <w:numPr>
          <w:ilvl w:val="0"/>
          <w:numId w:val="0"/>
        </w:numPr>
        <w:rPr>
          <w:rFonts w:hint="default" w:ascii="Times New Roman" w:hAnsi="Times New Roman" w:cs="Times New Roman"/>
          <w:color w:val="000000" w:themeColor="text1"/>
          <w:highlight w:val="none"/>
          <w14:textFill>
            <w14:solidFill>
              <w14:schemeClr w14:val="tx1"/>
            </w14:solidFill>
          </w14:textFill>
        </w:rPr>
      </w:pPr>
      <w:bookmarkStart w:id="120" w:name="_Toc24882"/>
      <w:bookmarkStart w:id="121" w:name="_Toc27211"/>
      <w:r>
        <w:rPr>
          <w:rFonts w:hint="default" w:ascii="Times New Roman" w:hAnsi="Times New Roman" w:cs="Times New Roman"/>
          <w:color w:val="000000" w:themeColor="text1"/>
          <w:highlight w:val="none"/>
          <w14:textFill>
            <w14:solidFill>
              <w14:schemeClr w14:val="tx1"/>
            </w14:solidFill>
          </w14:textFill>
        </w:rPr>
        <w:t>六、结论</w:t>
      </w:r>
      <w:bookmarkEnd w:id="119"/>
      <w:bookmarkEnd w:id="120"/>
      <w:bookmarkEnd w:id="121"/>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10B6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4" w:hRule="atLeast"/>
        </w:trPr>
        <w:tc>
          <w:tcPr>
            <w:tcW w:w="5000" w:type="pct"/>
          </w:tcPr>
          <w:p w14:paraId="1CDDBAD1">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5ECB7E5D">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3D6D236F">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CF5F5A3">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2D3C8397">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56458DB">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5A97EAC4">
            <w:pPr>
              <w:rPr>
                <w:rFonts w:hint="default" w:ascii="Times New Roman" w:hAnsi="Times New Roman" w:cs="Times New Roman"/>
                <w:color w:val="000000" w:themeColor="text1"/>
                <w:highlight w:val="none"/>
                <w14:textFill>
                  <w14:solidFill>
                    <w14:schemeClr w14:val="tx1"/>
                  </w14:solidFill>
                </w14:textFill>
              </w:rPr>
            </w:pPr>
          </w:p>
          <w:p w14:paraId="2890C442">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p>
          <w:p w14:paraId="1677E936">
            <w:pPr>
              <w:adjustRightInd w:val="0"/>
              <w:ind w:firstLine="480" w:firstLineChars="200"/>
              <w:rPr>
                <w:rFonts w:hint="default" w:ascii="Times New Roman" w:hAnsi="Times New Roman" w:cs="Times New Roman"/>
                <w:bCs/>
                <w:color w:val="000000" w:themeColor="text1"/>
                <w:kern w:val="0"/>
                <w:highlight w:val="none"/>
                <w14:textFill>
                  <w14:solidFill>
                    <w14:schemeClr w14:val="tx1"/>
                  </w14:solidFill>
                </w14:textFill>
              </w:rPr>
            </w:pPr>
            <w:r>
              <w:rPr>
                <w:rFonts w:hint="default" w:ascii="Times New Roman" w:hAnsi="Times New Roman" w:cs="Times New Roman"/>
                <w:bCs/>
                <w:color w:val="000000" w:themeColor="text1"/>
                <w:kern w:val="0"/>
                <w:highlight w:val="none"/>
                <w14:textFill>
                  <w14:solidFill>
                    <w14:schemeClr w14:val="tx1"/>
                  </w14:solidFill>
                </w14:textFill>
              </w:rPr>
              <w:t>按照本次评价，在严格落实前文提出的各项环境保护措施，并加强污染防治设施维护管理的情况下，本项目产生的污染物及不良环境影响能够得到有效控制，</w:t>
            </w:r>
            <w:r>
              <w:rPr>
                <w:rFonts w:hint="default" w:ascii="Times New Roman" w:hAnsi="Times New Roman" w:cs="Times New Roman"/>
                <w:b/>
                <w:color w:val="000000" w:themeColor="text1"/>
                <w:kern w:val="0"/>
                <w:highlight w:val="none"/>
                <w14:textFill>
                  <w14:solidFill>
                    <w14:schemeClr w14:val="tx1"/>
                  </w14:solidFill>
                </w14:textFill>
              </w:rPr>
              <w:t>从环境保护角度分析，项目的建设是可行的</w:t>
            </w:r>
            <w:r>
              <w:rPr>
                <w:rFonts w:hint="default" w:ascii="Times New Roman" w:hAnsi="Times New Roman" w:cs="Times New Roman"/>
                <w:bCs/>
                <w:color w:val="000000" w:themeColor="text1"/>
                <w:kern w:val="0"/>
                <w:highlight w:val="none"/>
                <w14:textFill>
                  <w14:solidFill>
                    <w14:schemeClr w14:val="tx1"/>
                  </w14:solidFill>
                </w14:textFill>
              </w:rPr>
              <w:t>。</w:t>
            </w:r>
          </w:p>
          <w:p w14:paraId="632BEB64">
            <w:pPr>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Cs/>
                <w:color w:val="000000" w:themeColor="text1"/>
                <w:highlight w:val="none"/>
                <w14:textFill>
                  <w14:solidFill>
                    <w14:schemeClr w14:val="tx1"/>
                  </w14:solidFill>
                </w14:textFill>
              </w:rPr>
              <w:t>本</w:t>
            </w:r>
            <w:r>
              <w:rPr>
                <w:rFonts w:hint="eastAsia" w:cs="Times New Roman"/>
                <w:bCs/>
                <w:color w:val="000000" w:themeColor="text1"/>
                <w:highlight w:val="none"/>
                <w:lang w:val="en-US" w:eastAsia="zh-CN"/>
                <w14:textFill>
                  <w14:solidFill>
                    <w14:schemeClr w14:val="tx1"/>
                  </w14:solidFill>
                </w14:textFill>
              </w:rPr>
              <w:t>生态</w:t>
            </w:r>
            <w:r>
              <w:rPr>
                <w:rFonts w:hint="default" w:ascii="Times New Roman" w:hAnsi="Times New Roman" w:cs="Times New Roman"/>
                <w:bCs/>
                <w:color w:val="000000" w:themeColor="text1"/>
                <w:highlight w:val="none"/>
                <w14:textFill>
                  <w14:solidFill>
                    <w14:schemeClr w14:val="tx1"/>
                  </w14:solidFill>
                </w14:textFill>
              </w:rPr>
              <w:t>环境影响报告表通过审批后</w:t>
            </w:r>
            <w:r>
              <w:rPr>
                <w:rFonts w:hint="default" w:ascii="Times New Roman" w:hAnsi="Times New Roman" w:cs="Times New Roman"/>
                <w:color w:val="000000" w:themeColor="text1"/>
                <w:highlight w:val="none"/>
                <w14:textFill>
                  <w14:solidFill>
                    <w14:schemeClr w14:val="tx1"/>
                  </w14:solidFill>
                </w14:textFill>
              </w:rPr>
              <w:t>，建设内容和需要配套的污染防治设施如发生重大变动，建设单位需要重新组织编制和报批环境影响评价文件。建设单位应当严格执行配套建设的环境保护设施与主体工程同时设计、同时施工、同时投产使用的环境保护“三同时”制度。本项目竣工后，建设单位应当按照国家和地方规定的标准和程序，对配套建设的环境保护设施进行验收，编制验收报告，提出验收意见，并依法向社会公开。本项目配套建设的环境保护设施经验收合格后，主体工程方可正式投入生产。</w:t>
            </w:r>
          </w:p>
          <w:p w14:paraId="46373403">
            <w:pPr>
              <w:rPr>
                <w:rFonts w:hint="default" w:ascii="Times New Roman" w:hAnsi="Times New Roman" w:cs="Times New Roman"/>
                <w:color w:val="000000" w:themeColor="text1"/>
                <w:highlight w:val="none"/>
                <w14:textFill>
                  <w14:solidFill>
                    <w14:schemeClr w14:val="tx1"/>
                  </w14:solidFill>
                </w14:textFill>
              </w:rPr>
            </w:pPr>
          </w:p>
          <w:p w14:paraId="4E17D007">
            <w:pPr>
              <w:rPr>
                <w:rFonts w:hint="default" w:ascii="Times New Roman" w:hAnsi="Times New Roman" w:cs="Times New Roman"/>
                <w:color w:val="000000" w:themeColor="text1"/>
                <w:highlight w:val="none"/>
                <w14:textFill>
                  <w14:solidFill>
                    <w14:schemeClr w14:val="tx1"/>
                  </w14:solidFill>
                </w14:textFill>
              </w:rPr>
            </w:pPr>
          </w:p>
          <w:p w14:paraId="7CDA5125">
            <w:pPr>
              <w:rPr>
                <w:rFonts w:hint="default" w:ascii="Times New Roman" w:hAnsi="Times New Roman" w:cs="Times New Roman"/>
                <w:color w:val="000000" w:themeColor="text1"/>
                <w:highlight w:val="none"/>
                <w14:textFill>
                  <w14:solidFill>
                    <w14:schemeClr w14:val="tx1"/>
                  </w14:solidFill>
                </w14:textFill>
              </w:rPr>
            </w:pPr>
          </w:p>
          <w:p w14:paraId="7337423A">
            <w:pPr>
              <w:rPr>
                <w:rFonts w:hint="default" w:ascii="Times New Roman" w:hAnsi="Times New Roman" w:cs="Times New Roman"/>
                <w:color w:val="000000" w:themeColor="text1"/>
                <w:highlight w:val="none"/>
                <w14:textFill>
                  <w14:solidFill>
                    <w14:schemeClr w14:val="tx1"/>
                  </w14:solidFill>
                </w14:textFill>
              </w:rPr>
            </w:pPr>
          </w:p>
          <w:p w14:paraId="4148DA47">
            <w:pPr>
              <w:rPr>
                <w:rFonts w:hint="default" w:ascii="Times New Roman" w:hAnsi="Times New Roman" w:cs="Times New Roman"/>
                <w:color w:val="000000" w:themeColor="text1"/>
                <w:highlight w:val="none"/>
                <w14:textFill>
                  <w14:solidFill>
                    <w14:schemeClr w14:val="tx1"/>
                  </w14:solidFill>
                </w14:textFill>
              </w:rPr>
            </w:pPr>
          </w:p>
          <w:p w14:paraId="68CB956D">
            <w:pPr>
              <w:rPr>
                <w:rFonts w:hint="default" w:ascii="Times New Roman" w:hAnsi="Times New Roman" w:cs="Times New Roman"/>
                <w:color w:val="000000" w:themeColor="text1"/>
                <w:highlight w:val="none"/>
                <w14:textFill>
                  <w14:solidFill>
                    <w14:schemeClr w14:val="tx1"/>
                  </w14:solidFill>
                </w14:textFill>
              </w:rPr>
            </w:pPr>
          </w:p>
        </w:tc>
      </w:tr>
    </w:tbl>
    <w:p w14:paraId="1DAC9E8E">
      <w:pPr>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167B1C2F">
      <w:pPr>
        <w:jc w:val="left"/>
        <w:outlineLvl w:val="0"/>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bookmarkStart w:id="122" w:name="_Toc23762"/>
      <w:bookmarkStart w:id="123" w:name="_Toc20721"/>
      <w:bookmarkStart w:id="124" w:name="_Toc19831"/>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附表</w:t>
      </w:r>
      <w:bookmarkEnd w:id="122"/>
      <w:bookmarkEnd w:id="123"/>
    </w:p>
    <w:bookmarkEnd w:id="124"/>
    <w:p w14:paraId="35C8FEC0">
      <w:pPr>
        <w:jc w:val="center"/>
        <w:outlineLvl w:val="0"/>
        <w:rPr>
          <w:rFonts w:eastAsia="黑体"/>
          <w:color w:val="000000" w:themeColor="text1"/>
          <w:sz w:val="40"/>
          <w:szCs w:val="40"/>
          <w:highlight w:val="none"/>
          <w14:textFill>
            <w14:solidFill>
              <w14:schemeClr w14:val="tx1"/>
            </w14:solidFill>
          </w14:textFill>
        </w:rPr>
      </w:pPr>
      <w:bookmarkStart w:id="125" w:name="_Toc28179"/>
      <w:bookmarkStart w:id="126" w:name="_Toc735"/>
      <w:bookmarkStart w:id="127" w:name="_Toc27190"/>
      <w:bookmarkStart w:id="128" w:name="_Toc26011"/>
      <w:r>
        <w:rPr>
          <w:rFonts w:eastAsia="黑体"/>
          <w:color w:val="000000" w:themeColor="text1"/>
          <w:sz w:val="40"/>
          <w:szCs w:val="40"/>
          <w:highlight w:val="none"/>
          <w14:textFill>
            <w14:solidFill>
              <w14:schemeClr w14:val="tx1"/>
            </w14:solidFill>
          </w14:textFill>
        </w:rPr>
        <w:t>建设项目污染物排放量汇总表</w:t>
      </w:r>
      <w:bookmarkEnd w:id="125"/>
      <w:bookmarkEnd w:id="126"/>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2085"/>
        <w:gridCol w:w="1676"/>
        <w:gridCol w:w="1544"/>
        <w:gridCol w:w="1465"/>
        <w:gridCol w:w="1636"/>
        <w:gridCol w:w="1549"/>
        <w:gridCol w:w="1704"/>
        <w:gridCol w:w="1407"/>
      </w:tblGrid>
      <w:tr w14:paraId="5B84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tcBorders>
              <w:tl2br w:val="single" w:color="auto" w:sz="4" w:space="0"/>
            </w:tcBorders>
            <w:vAlign w:val="center"/>
          </w:tcPr>
          <w:p w14:paraId="13FD6AAA">
            <w:pPr>
              <w:spacing w:line="240" w:lineRule="auto"/>
              <w:jc w:val="center"/>
              <w:rPr>
                <w:rFonts w:eastAsia="黑体"/>
                <w:color w:val="000000" w:themeColor="text1"/>
                <w:sz w:val="21"/>
                <w:szCs w:val="21"/>
                <w:highlight w:val="none"/>
                <w14:textFill>
                  <w14:solidFill>
                    <w14:schemeClr w14:val="tx1"/>
                  </w14:solidFill>
                </w14:textFill>
              </w:rPr>
            </w:pPr>
            <w:r>
              <w:rPr>
                <w:rFonts w:hint="eastAsia" w:eastAsia="黑体"/>
                <w:color w:val="000000" w:themeColor="text1"/>
                <w:sz w:val="21"/>
                <w:szCs w:val="21"/>
                <w:highlight w:val="none"/>
                <w14:textFill>
                  <w14:solidFill>
                    <w14:schemeClr w14:val="tx1"/>
                  </w14:solidFill>
                </w14:textFill>
              </w:rPr>
              <w:t xml:space="preserve">    </w:t>
            </w:r>
            <w:r>
              <w:rPr>
                <w:rFonts w:eastAsia="黑体"/>
                <w:color w:val="000000" w:themeColor="text1"/>
                <w:sz w:val="21"/>
                <w:szCs w:val="21"/>
                <w:highlight w:val="none"/>
                <w14:textFill>
                  <w14:solidFill>
                    <w14:schemeClr w14:val="tx1"/>
                  </w14:solidFill>
                </w14:textFill>
              </w:rPr>
              <w:t>项目</w:t>
            </w:r>
          </w:p>
          <w:p w14:paraId="406B8FDA">
            <w:pPr>
              <w:spacing w:line="240" w:lineRule="auto"/>
              <w:rPr>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分类</w:t>
            </w:r>
          </w:p>
        </w:tc>
        <w:tc>
          <w:tcPr>
            <w:tcW w:w="2085" w:type="dxa"/>
            <w:vAlign w:val="center"/>
          </w:tcPr>
          <w:p w14:paraId="0A08917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污染物名称</w:t>
            </w:r>
          </w:p>
        </w:tc>
        <w:tc>
          <w:tcPr>
            <w:tcW w:w="1676" w:type="dxa"/>
            <w:vAlign w:val="center"/>
          </w:tcPr>
          <w:p w14:paraId="0DD6DEE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现有工程排放量（固体废物产生量）①</w:t>
            </w:r>
          </w:p>
        </w:tc>
        <w:tc>
          <w:tcPr>
            <w:tcW w:w="1544" w:type="dxa"/>
            <w:vAlign w:val="center"/>
          </w:tcPr>
          <w:p w14:paraId="2F108225">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现有工程排污许可排放量②</w:t>
            </w:r>
          </w:p>
        </w:tc>
        <w:tc>
          <w:tcPr>
            <w:tcW w:w="1465" w:type="dxa"/>
            <w:vAlign w:val="center"/>
          </w:tcPr>
          <w:p w14:paraId="2C45C8F6">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在建工程排放量（固体废物产生量）③</w:t>
            </w:r>
          </w:p>
        </w:tc>
        <w:tc>
          <w:tcPr>
            <w:tcW w:w="1636" w:type="dxa"/>
            <w:vAlign w:val="center"/>
          </w:tcPr>
          <w:p w14:paraId="486EBC35">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本项目排放量（固体废物产生量）④</w:t>
            </w:r>
          </w:p>
        </w:tc>
        <w:tc>
          <w:tcPr>
            <w:tcW w:w="1549" w:type="dxa"/>
            <w:vAlign w:val="center"/>
          </w:tcPr>
          <w:p w14:paraId="370C6C8B">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以新带老削减量（新建项目不填）⑤</w:t>
            </w:r>
          </w:p>
        </w:tc>
        <w:tc>
          <w:tcPr>
            <w:tcW w:w="1704" w:type="dxa"/>
            <w:vAlign w:val="center"/>
          </w:tcPr>
          <w:p w14:paraId="103297F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本项目建成后全厂排放量（固体废物产生量）⑥</w:t>
            </w:r>
          </w:p>
        </w:tc>
        <w:tc>
          <w:tcPr>
            <w:tcW w:w="1407" w:type="dxa"/>
            <w:vAlign w:val="center"/>
          </w:tcPr>
          <w:p w14:paraId="1A6107F2">
            <w:pPr>
              <w:spacing w:line="240" w:lineRule="auto"/>
              <w:jc w:val="center"/>
              <w:rPr>
                <w:rFonts w:eastAsia="黑体"/>
                <w:color w:val="000000" w:themeColor="text1"/>
                <w:sz w:val="21"/>
                <w:szCs w:val="21"/>
                <w:highlight w:val="none"/>
                <w14:textFill>
                  <w14:solidFill>
                    <w14:schemeClr w14:val="tx1"/>
                  </w14:solidFill>
                </w14:textFill>
              </w:rPr>
            </w:pPr>
            <w:r>
              <w:rPr>
                <w:rFonts w:eastAsia="黑体"/>
                <w:color w:val="000000" w:themeColor="text1"/>
                <w:sz w:val="21"/>
                <w:szCs w:val="21"/>
                <w:highlight w:val="none"/>
                <w14:textFill>
                  <w14:solidFill>
                    <w14:schemeClr w14:val="tx1"/>
                  </w14:solidFill>
                </w14:textFill>
              </w:rPr>
              <w:t>变化量⑦</w:t>
            </w:r>
          </w:p>
        </w:tc>
      </w:tr>
      <w:tr w14:paraId="1CEC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33D71F33">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2085" w:type="dxa"/>
            <w:vAlign w:val="center"/>
          </w:tcPr>
          <w:p w14:paraId="04218165">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废水量</w:t>
            </w:r>
            <w:r>
              <w:rPr>
                <w:color w:val="000000" w:themeColor="text1"/>
                <w:kern w:val="0"/>
                <w:sz w:val="21"/>
                <w:szCs w:val="21"/>
                <w:highlight w:val="none"/>
                <w14:textFill>
                  <w14:solidFill>
                    <w14:schemeClr w14:val="tx1"/>
                  </w14:solidFill>
                </w14:textFill>
              </w:rPr>
              <w:t>（万t/a）</w:t>
            </w:r>
          </w:p>
        </w:tc>
        <w:tc>
          <w:tcPr>
            <w:tcW w:w="1676" w:type="dxa"/>
            <w:vAlign w:val="center"/>
          </w:tcPr>
          <w:p w14:paraId="56A5ADC1">
            <w:pPr>
              <w:pStyle w:val="58"/>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67D323D4">
            <w:pPr>
              <w:pStyle w:val="58"/>
              <w:jc w:val="center"/>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39E8BFF8">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0C4C7E8E">
            <w:pPr>
              <w:widowControl/>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c>
          <w:tcPr>
            <w:tcW w:w="1549" w:type="dxa"/>
            <w:vAlign w:val="center"/>
          </w:tcPr>
          <w:p w14:paraId="2DA4551E">
            <w:pPr>
              <w:pStyle w:val="58"/>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3FBE183C">
            <w:pPr>
              <w:widowControl/>
              <w:jc w:val="center"/>
              <w:textAlignment w:val="center"/>
              <w:rPr>
                <w:rFonts w:hint="default"/>
                <w:color w:val="000000" w:themeColor="text1"/>
                <w:kern w:val="0"/>
                <w:sz w:val="21"/>
                <w:szCs w:val="21"/>
                <w:highlight w:val="none"/>
                <w:lang w:val="en-US"/>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c>
          <w:tcPr>
            <w:tcW w:w="1407" w:type="dxa"/>
            <w:vAlign w:val="center"/>
          </w:tcPr>
          <w:p w14:paraId="41A969EF">
            <w:pPr>
              <w:widowControl/>
              <w:jc w:val="center"/>
              <w:textAlignment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+0.045</w:t>
            </w:r>
          </w:p>
        </w:tc>
      </w:tr>
      <w:tr w14:paraId="48B8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FEDEDFB">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66F731BF">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COD</w:t>
            </w:r>
            <w:r>
              <w:rPr>
                <w:color w:val="000000" w:themeColor="text1"/>
                <w:kern w:val="0"/>
                <w:sz w:val="21"/>
                <w:szCs w:val="21"/>
                <w:highlight w:val="none"/>
                <w:vertAlign w:val="subscript"/>
                <w14:textFill>
                  <w14:solidFill>
                    <w14:schemeClr w14:val="tx1"/>
                  </w14:solidFill>
                </w14:textFill>
              </w:rPr>
              <w:t>Cr</w:t>
            </w:r>
            <w:r>
              <w:rPr>
                <w:color w:val="000000" w:themeColor="text1"/>
                <w:kern w:val="0"/>
                <w:sz w:val="21"/>
                <w:szCs w:val="21"/>
                <w:highlight w:val="none"/>
                <w14:textFill>
                  <w14:solidFill>
                    <w14:schemeClr w14:val="tx1"/>
                  </w14:solidFill>
                </w14:textFill>
              </w:rPr>
              <w:t>（t/a）</w:t>
            </w:r>
          </w:p>
        </w:tc>
        <w:tc>
          <w:tcPr>
            <w:tcW w:w="1676" w:type="dxa"/>
            <w:vAlign w:val="center"/>
          </w:tcPr>
          <w:p w14:paraId="48487224">
            <w:pPr>
              <w:pStyle w:val="58"/>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A1C035F">
            <w:pPr>
              <w:pStyle w:val="58"/>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0FA234D4">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020291E5">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1549" w:type="dxa"/>
            <w:vAlign w:val="center"/>
          </w:tcPr>
          <w:p w14:paraId="022B892C">
            <w:pPr>
              <w:pStyle w:val="58"/>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166E8566">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c>
          <w:tcPr>
            <w:tcW w:w="1407" w:type="dxa"/>
            <w:vAlign w:val="center"/>
          </w:tcPr>
          <w:p w14:paraId="18EC8187">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0.090 </w:t>
            </w:r>
          </w:p>
        </w:tc>
      </w:tr>
      <w:tr w14:paraId="4EFA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63748BA">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70282C08">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BOD</w:t>
            </w:r>
            <w:r>
              <w:rPr>
                <w:color w:val="000000" w:themeColor="text1"/>
                <w:kern w:val="0"/>
                <w:sz w:val="21"/>
                <w:szCs w:val="21"/>
                <w:highlight w:val="none"/>
                <w:vertAlign w:val="subscript"/>
                <w14:textFill>
                  <w14:solidFill>
                    <w14:schemeClr w14:val="tx1"/>
                  </w14:solidFill>
                </w14:textFill>
              </w:rPr>
              <w:t>5</w:t>
            </w:r>
            <w:r>
              <w:rPr>
                <w:color w:val="000000" w:themeColor="text1"/>
                <w:kern w:val="0"/>
                <w:sz w:val="21"/>
                <w:szCs w:val="21"/>
                <w:highlight w:val="none"/>
                <w14:textFill>
                  <w14:solidFill>
                    <w14:schemeClr w14:val="tx1"/>
                  </w14:solidFill>
                </w14:textFill>
              </w:rPr>
              <w:t>（t/a）</w:t>
            </w:r>
          </w:p>
        </w:tc>
        <w:tc>
          <w:tcPr>
            <w:tcW w:w="1676" w:type="dxa"/>
            <w:vAlign w:val="center"/>
          </w:tcPr>
          <w:p w14:paraId="4FE284D3">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C2B5F12">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693B7F9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714D95FD">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1549" w:type="dxa"/>
            <w:vAlign w:val="center"/>
          </w:tcPr>
          <w:p w14:paraId="16346E25">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20367DF3">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c>
          <w:tcPr>
            <w:tcW w:w="1407" w:type="dxa"/>
            <w:vAlign w:val="center"/>
          </w:tcPr>
          <w:p w14:paraId="498E0CF5">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0.035 </w:t>
            </w:r>
          </w:p>
        </w:tc>
      </w:tr>
      <w:tr w14:paraId="385C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4C09F337">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1CF1C6DA">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SS（t/a）</w:t>
            </w:r>
          </w:p>
        </w:tc>
        <w:tc>
          <w:tcPr>
            <w:tcW w:w="1676" w:type="dxa"/>
            <w:vAlign w:val="center"/>
          </w:tcPr>
          <w:p w14:paraId="375FC036">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B7AFC17">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A548FB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606A3180">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1549" w:type="dxa"/>
            <w:vAlign w:val="center"/>
          </w:tcPr>
          <w:p w14:paraId="794207F5">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0AE788C7">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c>
          <w:tcPr>
            <w:tcW w:w="1407" w:type="dxa"/>
            <w:vAlign w:val="center"/>
          </w:tcPr>
          <w:p w14:paraId="30093AD7">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0.032 </w:t>
            </w:r>
          </w:p>
        </w:tc>
      </w:tr>
      <w:tr w14:paraId="21DC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65F6664D">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3BE31B35">
            <w:pPr>
              <w:widowControl/>
              <w:spacing w:line="240" w:lineRule="auto"/>
              <w:jc w:val="center"/>
              <w:textAlignment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氨氮（t/a）</w:t>
            </w:r>
          </w:p>
        </w:tc>
        <w:tc>
          <w:tcPr>
            <w:tcW w:w="1676" w:type="dxa"/>
            <w:vAlign w:val="center"/>
          </w:tcPr>
          <w:p w14:paraId="685C4F9B">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69FBD75">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46BDFB9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3B5988ED">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1549" w:type="dxa"/>
            <w:vAlign w:val="center"/>
          </w:tcPr>
          <w:p w14:paraId="630CA4A8">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023EDAE8">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c>
          <w:tcPr>
            <w:tcW w:w="1407" w:type="dxa"/>
            <w:vAlign w:val="center"/>
          </w:tcPr>
          <w:p w14:paraId="101E1FE1">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0.009 </w:t>
            </w:r>
          </w:p>
        </w:tc>
      </w:tr>
      <w:tr w14:paraId="4100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0B2D3FB2">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65E62940">
            <w:pPr>
              <w:pStyle w:val="120"/>
              <w:widowControl/>
              <w:kinsoku w:val="0"/>
              <w:autoSpaceDE w:val="0"/>
              <w:autoSpaceDN w:val="0"/>
              <w:adjustRightInd w:val="0"/>
              <w:snapToGrid w:val="0"/>
              <w:spacing w:line="240" w:lineRule="auto"/>
              <w:jc w:val="center"/>
              <w:textAlignment w:val="baseline"/>
              <w:rPr>
                <w:rFonts w:ascii="Times New Roman" w:hAnsi="Times New Roman" w:cs="Times New Roman"/>
                <w:color w:val="000000" w:themeColor="text1"/>
                <w:ker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动植物油</w:t>
            </w:r>
            <w:r>
              <w:rPr>
                <w:rFonts w:ascii="Times New Roman" w:hAnsi="Times New Roman" w:cs="Times New Roman"/>
                <w:color w:val="000000" w:themeColor="text1"/>
                <w:kern w:val="0"/>
                <w:sz w:val="21"/>
                <w:szCs w:val="21"/>
                <w:highlight w:val="none"/>
                <w:lang w:eastAsia="zh-CN"/>
                <w14:textFill>
                  <w14:solidFill>
                    <w14:schemeClr w14:val="tx1"/>
                  </w14:solidFill>
                </w14:textFill>
              </w:rPr>
              <w:t>（t/a）</w:t>
            </w:r>
          </w:p>
        </w:tc>
        <w:tc>
          <w:tcPr>
            <w:tcW w:w="1676" w:type="dxa"/>
            <w:vAlign w:val="center"/>
          </w:tcPr>
          <w:p w14:paraId="6B814A57">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52EE70A5">
            <w:pPr>
              <w:jc w:val="center"/>
              <w:rPr>
                <w:bCs/>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2E01D8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4B19C9E4">
            <w:pPr>
              <w:keepNext w:val="0"/>
              <w:keepLines w:val="0"/>
              <w:widowControl/>
              <w:suppressLineNumbers w:val="0"/>
              <w:jc w:val="center"/>
              <w:textAlignment w:val="center"/>
              <w:rPr>
                <w:rFonts w:hint="default" w:eastAsia="宋体"/>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1549" w:type="dxa"/>
            <w:vAlign w:val="center"/>
          </w:tcPr>
          <w:p w14:paraId="3DCACBF1">
            <w:pPr>
              <w:jc w:val="center"/>
              <w:rPr>
                <w:color w:val="000000" w:themeColor="text1"/>
                <w:kern w:val="0"/>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FFFFFF"/>
            <w:vAlign w:val="center"/>
          </w:tcPr>
          <w:p w14:paraId="6073ED80">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c>
          <w:tcPr>
            <w:tcW w:w="1407" w:type="dxa"/>
            <w:vAlign w:val="center"/>
          </w:tcPr>
          <w:p w14:paraId="5960317B">
            <w:pPr>
              <w:keepNext w:val="0"/>
              <w:keepLines w:val="0"/>
              <w:widowControl/>
              <w:suppressLineNumbers w:val="0"/>
              <w:jc w:val="center"/>
              <w:textAlignment w:val="center"/>
              <w:rPr>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0.023 </w:t>
            </w:r>
          </w:p>
        </w:tc>
      </w:tr>
      <w:tr w14:paraId="16EA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4" w:type="dxa"/>
            <w:vMerge w:val="restart"/>
            <w:vAlign w:val="center"/>
          </w:tcPr>
          <w:p w14:paraId="530B97A9">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废气</w:t>
            </w:r>
          </w:p>
        </w:tc>
        <w:tc>
          <w:tcPr>
            <w:tcW w:w="2085" w:type="dxa"/>
            <w:vAlign w:val="center"/>
          </w:tcPr>
          <w:p w14:paraId="5C8BE0AC">
            <w:pPr>
              <w:widowControl/>
              <w:spacing w:line="240" w:lineRule="auto"/>
              <w:jc w:val="center"/>
              <w:textAlignment w:val="center"/>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废气量（万m</w:t>
            </w:r>
            <w:r>
              <w:rPr>
                <w:color w:val="000000" w:themeColor="text1"/>
                <w:kern w:val="0"/>
                <w:sz w:val="21"/>
                <w:szCs w:val="21"/>
                <w:highlight w:val="none"/>
                <w:vertAlign w:val="superscript"/>
                <w14:textFill>
                  <w14:solidFill>
                    <w14:schemeClr w14:val="tx1"/>
                  </w14:solidFill>
                </w14:textFill>
              </w:rPr>
              <w:t>3</w:t>
            </w:r>
            <w:r>
              <w:rPr>
                <w:color w:val="000000" w:themeColor="text1"/>
                <w:kern w:val="0"/>
                <w:sz w:val="21"/>
                <w:szCs w:val="21"/>
                <w:highlight w:val="none"/>
                <w14:textFill>
                  <w14:solidFill>
                    <w14:schemeClr w14:val="tx1"/>
                  </w14:solidFill>
                </w14:textFill>
              </w:rPr>
              <w:t>/a）</w:t>
            </w:r>
          </w:p>
        </w:tc>
        <w:tc>
          <w:tcPr>
            <w:tcW w:w="1676" w:type="dxa"/>
            <w:vAlign w:val="center"/>
          </w:tcPr>
          <w:p w14:paraId="5EECDCA5">
            <w:pPr>
              <w:pStyle w:val="58"/>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3B1C6E60">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2BEFEEC9">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516548F7">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c>
          <w:tcPr>
            <w:tcW w:w="1549" w:type="dxa"/>
            <w:vAlign w:val="center"/>
          </w:tcPr>
          <w:p w14:paraId="64A8EEE1">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58340CE6">
            <w:pPr>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c>
          <w:tcPr>
            <w:tcW w:w="1407" w:type="dxa"/>
            <w:vAlign w:val="center"/>
          </w:tcPr>
          <w:p w14:paraId="5D664019">
            <w:pPr>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+5385.6</w:t>
            </w:r>
          </w:p>
        </w:tc>
      </w:tr>
      <w:tr w14:paraId="7076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538B0C54">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728E4F4C">
            <w:pPr>
              <w:widowControl/>
              <w:spacing w:line="240" w:lineRule="auto"/>
              <w:jc w:val="center"/>
              <w:textAlignment w:val="center"/>
              <w:rPr>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VOCs</w:t>
            </w:r>
            <w:r>
              <w:rPr>
                <w:rFonts w:hint="eastAsia"/>
                <w:color w:val="000000" w:themeColor="text1"/>
                <w:kern w:val="0"/>
                <w:sz w:val="21"/>
                <w:szCs w:val="21"/>
                <w:highlight w:val="none"/>
                <w14:textFill>
                  <w14:solidFill>
                    <w14:schemeClr w14:val="tx1"/>
                  </w14:solidFill>
                </w14:textFill>
              </w:rPr>
              <w:t>（t/a）</w:t>
            </w:r>
          </w:p>
        </w:tc>
        <w:tc>
          <w:tcPr>
            <w:tcW w:w="1676" w:type="dxa"/>
            <w:shd w:val="clear" w:color="auto" w:fill="auto"/>
            <w:vAlign w:val="center"/>
          </w:tcPr>
          <w:p w14:paraId="1CCFE2BA">
            <w:pPr>
              <w:pStyle w:val="58"/>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vAlign w:val="center"/>
          </w:tcPr>
          <w:p w14:paraId="6F5C47F7">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325BE7EA">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485AD591">
            <w:pPr>
              <w:keepNext w:val="0"/>
              <w:keepLines w:val="0"/>
              <w:widowControl/>
              <w:suppressLineNumbers w:val="0"/>
              <w:jc w:val="center"/>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549" w:type="dxa"/>
            <w:vAlign w:val="center"/>
          </w:tcPr>
          <w:p w14:paraId="6FC05F8D">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60A09C1C">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407" w:type="dxa"/>
            <w:vAlign w:val="center"/>
          </w:tcPr>
          <w:p w14:paraId="7296FE08">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094</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736D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7FF7EBA9">
            <w:pPr>
              <w:spacing w:line="240" w:lineRule="auto"/>
              <w:jc w:val="center"/>
              <w:rPr>
                <w:color w:val="000000" w:themeColor="text1"/>
                <w:sz w:val="21"/>
                <w:szCs w:val="21"/>
                <w:highlight w:val="none"/>
                <w14:textFill>
                  <w14:solidFill>
                    <w14:schemeClr w14:val="tx1"/>
                  </w14:solidFill>
                </w14:textFill>
              </w:rPr>
            </w:pPr>
          </w:p>
        </w:tc>
        <w:tc>
          <w:tcPr>
            <w:tcW w:w="2085" w:type="dxa"/>
            <w:vAlign w:val="center"/>
          </w:tcPr>
          <w:p w14:paraId="4C77DB87">
            <w:pPr>
              <w:widowControl/>
              <w:spacing w:line="240" w:lineRule="auto"/>
              <w:jc w:val="center"/>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臭气浓度（无量纲）</w:t>
            </w:r>
          </w:p>
        </w:tc>
        <w:tc>
          <w:tcPr>
            <w:tcW w:w="1676" w:type="dxa"/>
            <w:shd w:val="clear" w:color="auto" w:fill="auto"/>
            <w:vAlign w:val="center"/>
          </w:tcPr>
          <w:p w14:paraId="1DB240EA">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vAlign w:val="center"/>
          </w:tcPr>
          <w:p w14:paraId="264C9E4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4EA31C4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66D7C453">
            <w:pPr>
              <w:pStyle w:val="58"/>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c>
          <w:tcPr>
            <w:tcW w:w="1549" w:type="dxa"/>
            <w:vAlign w:val="center"/>
          </w:tcPr>
          <w:p w14:paraId="3CE5A57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6B938404">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c>
          <w:tcPr>
            <w:tcW w:w="1407" w:type="dxa"/>
            <w:vAlign w:val="center"/>
          </w:tcPr>
          <w:p w14:paraId="58CA65BE">
            <w:pPr>
              <w:pStyle w:val="58"/>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少量</w:t>
            </w:r>
          </w:p>
        </w:tc>
      </w:tr>
      <w:tr w14:paraId="0C7F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Align w:val="center"/>
          </w:tcPr>
          <w:p w14:paraId="34996EED">
            <w:pPr>
              <w:spacing w:line="240" w:lineRule="auto"/>
              <w:jc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生活垃圾</w:t>
            </w:r>
          </w:p>
        </w:tc>
        <w:tc>
          <w:tcPr>
            <w:tcW w:w="2085" w:type="dxa"/>
            <w:vAlign w:val="center"/>
          </w:tcPr>
          <w:p w14:paraId="49F1F01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生活垃圾</w:t>
            </w: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（t/a）</w:t>
            </w:r>
          </w:p>
        </w:tc>
        <w:tc>
          <w:tcPr>
            <w:tcW w:w="1676" w:type="dxa"/>
            <w:vAlign w:val="center"/>
          </w:tcPr>
          <w:p w14:paraId="395CE0FC">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0472C1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12D781C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2F788332">
            <w:pPr>
              <w:keepNext w:val="0"/>
              <w:keepLines w:val="0"/>
              <w:widowControl/>
              <w:suppressLineNumbers w:val="0"/>
              <w:jc w:val="center"/>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1549" w:type="dxa"/>
            <w:vAlign w:val="center"/>
          </w:tcPr>
          <w:p w14:paraId="63EE329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05E5BD23">
            <w:pPr>
              <w:keepNext w:val="0"/>
              <w:keepLines w:val="0"/>
              <w:widowControl/>
              <w:suppressLineNumbers w:val="0"/>
              <w:jc w:val="center"/>
              <w:textAlignment w:val="center"/>
              <w:rPr>
                <w:rFonts w:ascii="Times New Roman"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c>
          <w:tcPr>
            <w:tcW w:w="1407" w:type="dxa"/>
            <w:vAlign w:val="center"/>
          </w:tcPr>
          <w:p w14:paraId="279F593E">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5.28</w:t>
            </w:r>
          </w:p>
        </w:tc>
      </w:tr>
      <w:tr w14:paraId="5B3D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02F24642">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一般工业固体废物</w:t>
            </w:r>
          </w:p>
        </w:tc>
        <w:tc>
          <w:tcPr>
            <w:tcW w:w="2085" w:type="dxa"/>
            <w:shd w:val="clear" w:color="auto" w:fill="auto"/>
            <w:vAlign w:val="center"/>
          </w:tcPr>
          <w:p w14:paraId="4C082ED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废包装物（t/a）</w:t>
            </w:r>
          </w:p>
        </w:tc>
        <w:tc>
          <w:tcPr>
            <w:tcW w:w="1676" w:type="dxa"/>
            <w:shd w:val="clear" w:color="auto" w:fill="auto"/>
            <w:vAlign w:val="center"/>
          </w:tcPr>
          <w:p w14:paraId="45FFC686">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3BBE0F89">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55FB578E">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02A4B84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549" w:type="dxa"/>
            <w:shd w:val="clear" w:color="auto" w:fill="auto"/>
            <w:vAlign w:val="center"/>
          </w:tcPr>
          <w:p w14:paraId="6521DDE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4D316497">
            <w:pPr>
              <w:keepNext w:val="0"/>
              <w:keepLines w:val="0"/>
              <w:widowControl/>
              <w:suppressLineNumbers w:val="0"/>
              <w:jc w:val="center"/>
              <w:textAlignment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c>
          <w:tcPr>
            <w:tcW w:w="1407" w:type="dxa"/>
            <w:shd w:val="clear" w:color="auto" w:fill="auto"/>
            <w:vAlign w:val="center"/>
          </w:tcPr>
          <w:p w14:paraId="19E0C390">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1</w:t>
            </w:r>
          </w:p>
        </w:tc>
      </w:tr>
      <w:tr w14:paraId="78CE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44683E1A">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687598E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kern w:val="2"/>
                <w:position w:val="0"/>
                <w:sz w:val="21"/>
                <w:szCs w:val="21"/>
                <w:highlight w:val="none"/>
                <w:lang w:val="en-US" w:eastAsia="zh-CN" w:bidi="ar-SA"/>
                <w14:textFill>
                  <w14:solidFill>
                    <w14:schemeClr w14:val="tx1"/>
                  </w14:solidFill>
                </w14:textFill>
              </w:rPr>
              <w:t>废边角料及不合格品（t/a）</w:t>
            </w:r>
          </w:p>
        </w:tc>
        <w:tc>
          <w:tcPr>
            <w:tcW w:w="1676" w:type="dxa"/>
            <w:shd w:val="clear" w:color="auto" w:fill="auto"/>
            <w:vAlign w:val="center"/>
          </w:tcPr>
          <w:p w14:paraId="42238EC0">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18DB60D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56B046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2458A7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1549" w:type="dxa"/>
            <w:shd w:val="clear" w:color="auto" w:fill="auto"/>
            <w:vAlign w:val="center"/>
          </w:tcPr>
          <w:p w14:paraId="620FD48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059F4A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10</w:t>
            </w:r>
          </w:p>
        </w:tc>
        <w:tc>
          <w:tcPr>
            <w:tcW w:w="1407" w:type="dxa"/>
            <w:shd w:val="clear" w:color="auto" w:fill="auto"/>
            <w:vAlign w:val="center"/>
          </w:tcPr>
          <w:p w14:paraId="61721A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5548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restart"/>
            <w:vAlign w:val="center"/>
          </w:tcPr>
          <w:p w14:paraId="30410FB3">
            <w:pPr>
              <w:spacing w:line="240" w:lineRule="auto"/>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危险废物</w:t>
            </w:r>
          </w:p>
        </w:tc>
        <w:tc>
          <w:tcPr>
            <w:tcW w:w="2085" w:type="dxa"/>
            <w:vAlign w:val="center"/>
          </w:tcPr>
          <w:p w14:paraId="2F4966D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t>废原料桶（t/a）</w:t>
            </w:r>
          </w:p>
        </w:tc>
        <w:tc>
          <w:tcPr>
            <w:tcW w:w="1676" w:type="dxa"/>
            <w:vAlign w:val="center"/>
          </w:tcPr>
          <w:p w14:paraId="1C722CE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73E1E6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vAlign w:val="center"/>
          </w:tcPr>
          <w:p w14:paraId="585DEA0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vAlign w:val="center"/>
          </w:tcPr>
          <w:p w14:paraId="2380D961">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1549" w:type="dxa"/>
            <w:vAlign w:val="center"/>
          </w:tcPr>
          <w:p w14:paraId="139EAD4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vAlign w:val="center"/>
          </w:tcPr>
          <w:p w14:paraId="2205B8F4">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c>
          <w:tcPr>
            <w:tcW w:w="1407" w:type="dxa"/>
            <w:vAlign w:val="center"/>
          </w:tcPr>
          <w:p w14:paraId="44A097BD">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0.003 </w:t>
            </w:r>
          </w:p>
        </w:tc>
      </w:tr>
      <w:tr w14:paraId="3D12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12D7B025">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2CD9F2FF">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钢板、胶头清洗废水（t/a）</w:t>
            </w:r>
          </w:p>
        </w:tc>
        <w:tc>
          <w:tcPr>
            <w:tcW w:w="1676" w:type="dxa"/>
            <w:vAlign w:val="center"/>
          </w:tcPr>
          <w:p w14:paraId="6A5FDD19">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544" w:type="dxa"/>
            <w:shd w:val="clear" w:color="auto" w:fill="auto"/>
            <w:vAlign w:val="center"/>
          </w:tcPr>
          <w:p w14:paraId="56A5821E">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465" w:type="dxa"/>
            <w:vAlign w:val="center"/>
          </w:tcPr>
          <w:p w14:paraId="03FD8B1A">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636" w:type="dxa"/>
            <w:vAlign w:val="center"/>
          </w:tcPr>
          <w:p w14:paraId="3C1BF92F">
            <w:pPr>
              <w:keepNext w:val="0"/>
              <w:keepLines w:val="0"/>
              <w:widowControl/>
              <w:suppressLineNumbers w:val="0"/>
              <w:jc w:val="center"/>
              <w:textAlignment w:val="center"/>
              <w:rPr>
                <w:rFonts w:hint="default"/>
                <w:color w:val="000000" w:themeColor="text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1549" w:type="dxa"/>
            <w:vAlign w:val="center"/>
          </w:tcPr>
          <w:p w14:paraId="0078D02B">
            <w:pPr>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p>
        </w:tc>
        <w:tc>
          <w:tcPr>
            <w:tcW w:w="1704" w:type="dxa"/>
            <w:vAlign w:val="center"/>
          </w:tcPr>
          <w:p w14:paraId="2EB3E6CF">
            <w:pPr>
              <w:keepNext w:val="0"/>
              <w:keepLines w:val="0"/>
              <w:widowControl/>
              <w:suppressLineNumbers w:val="0"/>
              <w:jc w:val="center"/>
              <w:textAlignment w:val="center"/>
              <w:rPr>
                <w:rFonts w:hint="default" w:ascii="Times New Roman" w:cs="Times New Roman"/>
                <w:color w:val="000000" w:themeColor="text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c>
          <w:tcPr>
            <w:tcW w:w="1407" w:type="dxa"/>
            <w:vAlign w:val="center"/>
          </w:tcPr>
          <w:p w14:paraId="1CE16D91">
            <w:pPr>
              <w:keepNext w:val="0"/>
              <w:keepLines w:val="0"/>
              <w:widowControl/>
              <w:suppressLineNumbers w:val="0"/>
              <w:jc w:val="center"/>
              <w:textAlignment w:val="center"/>
              <w:rPr>
                <w:rFonts w:hint="default"/>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0.594</w:t>
            </w:r>
          </w:p>
        </w:tc>
      </w:tr>
      <w:tr w14:paraId="493A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E7A84CA">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0480DE03">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废活性炭（t/a）</w:t>
            </w:r>
          </w:p>
        </w:tc>
        <w:tc>
          <w:tcPr>
            <w:tcW w:w="1676" w:type="dxa"/>
            <w:shd w:val="clear" w:color="auto" w:fill="auto"/>
            <w:vAlign w:val="center"/>
          </w:tcPr>
          <w:p w14:paraId="226ED57A">
            <w:pPr>
              <w:jc w:val="center"/>
              <w:rPr>
                <w:rFonts w:hint="eastAsia" w:ascii="Times New Roman" w:hAnsi="Times New Roman" w:eastAsia="宋体" w:cs="Times New Roman"/>
                <w:color w:val="000000" w:themeColor="text1"/>
                <w:position w:val="-10"/>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074707C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5FCC07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0E8730E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549" w:type="dxa"/>
            <w:shd w:val="clear" w:color="auto" w:fill="auto"/>
            <w:vAlign w:val="center"/>
          </w:tcPr>
          <w:p w14:paraId="0F4BC14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6FBC90CB">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c>
          <w:tcPr>
            <w:tcW w:w="1407" w:type="dxa"/>
            <w:shd w:val="clear" w:color="auto" w:fill="auto"/>
            <w:vAlign w:val="center"/>
          </w:tcPr>
          <w:p w14:paraId="7962368D">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eastAsia" w:cs="Times New Roman"/>
                <w:i w:val="0"/>
                <w:iCs w:val="0"/>
                <w:color w:val="000000" w:themeColor="text1"/>
                <w:kern w:val="0"/>
                <w:sz w:val="21"/>
                <w:szCs w:val="21"/>
                <w:u w:val="none"/>
                <w:lang w:val="en-US" w:eastAsia="zh-CN"/>
                <w14:textFill>
                  <w14:solidFill>
                    <w14:schemeClr w14:val="tx1"/>
                  </w14:solidFill>
                </w14:textFill>
              </w:rPr>
              <w:t>4.130</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 xml:space="preserve"> </w:t>
            </w:r>
          </w:p>
        </w:tc>
      </w:tr>
      <w:tr w14:paraId="4546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CB8203B">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2D8E921E">
            <w:pPr>
              <w:keepNext w:val="0"/>
              <w:keepLines w:val="0"/>
              <w:widowControl/>
              <w:suppressLineNumbers w:val="0"/>
              <w:jc w:val="center"/>
              <w:textAlignment w:val="center"/>
              <w:rPr>
                <w:rFonts w:hint="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废机油桶</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433D3E5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2EFE64E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28AABE1E">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2F87D6AE">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1549" w:type="dxa"/>
            <w:shd w:val="clear" w:color="auto" w:fill="auto"/>
            <w:vAlign w:val="center"/>
          </w:tcPr>
          <w:p w14:paraId="7D7B7D97">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6E172D7C">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c>
          <w:tcPr>
            <w:tcW w:w="1407" w:type="dxa"/>
            <w:shd w:val="clear" w:color="auto" w:fill="auto"/>
            <w:vAlign w:val="center"/>
          </w:tcPr>
          <w:p w14:paraId="5375C6CB">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0.02</w:t>
            </w:r>
          </w:p>
        </w:tc>
      </w:tr>
      <w:tr w14:paraId="31D8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2AA7D362">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52B8D798">
            <w:pPr>
              <w:keepNext w:val="0"/>
              <w:keepLines w:val="0"/>
              <w:widowControl/>
              <w:suppressLineNumbers w:val="0"/>
              <w:jc w:val="center"/>
              <w:textAlignment w:val="center"/>
              <w:rPr>
                <w:rFonts w:hint="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废机油</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2FAA0A21">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DCC1C84">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04252727">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58330B89">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1549" w:type="dxa"/>
            <w:shd w:val="clear" w:color="auto" w:fill="auto"/>
            <w:vAlign w:val="center"/>
          </w:tcPr>
          <w:p w14:paraId="5F387CBF">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442363AF">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c>
          <w:tcPr>
            <w:tcW w:w="1407" w:type="dxa"/>
            <w:shd w:val="clear" w:color="auto" w:fill="auto"/>
            <w:vAlign w:val="center"/>
          </w:tcPr>
          <w:p w14:paraId="48222AA2">
            <w:pPr>
              <w:keepNext w:val="0"/>
              <w:keepLines w:val="0"/>
              <w:widowControl/>
              <w:suppressLineNumbers w:val="0"/>
              <w:jc w:val="center"/>
              <w:textAlignment w:val="center"/>
              <w:rPr>
                <w:rFonts w:hint="eastAsia" w:cs="Times New Roman"/>
                <w:color w:val="000000" w:themeColor="text1"/>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w:t>
            </w:r>
            <w:r>
              <w:rPr>
                <w:rFonts w:hint="eastAsia" w:cs="Times New Roman"/>
                <w:i w:val="0"/>
                <w:iCs w:val="0"/>
                <w:color w:val="000000" w:themeColor="text1"/>
                <w:kern w:val="0"/>
                <w:sz w:val="21"/>
                <w:szCs w:val="21"/>
                <w:u w:val="none"/>
                <w:lang w:val="en-US" w:eastAsia="zh-CN"/>
                <w14:textFill>
                  <w14:solidFill>
                    <w14:schemeClr w14:val="tx1"/>
                  </w14:solidFill>
                </w14:textFill>
              </w:rPr>
              <w:t>5</w:t>
            </w:r>
          </w:p>
        </w:tc>
      </w:tr>
      <w:tr w14:paraId="5DEB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4" w:type="dxa"/>
            <w:vMerge w:val="continue"/>
            <w:vAlign w:val="center"/>
          </w:tcPr>
          <w:p w14:paraId="040D7535">
            <w:pPr>
              <w:spacing w:line="240" w:lineRule="auto"/>
              <w:jc w:val="center"/>
              <w:rPr>
                <w:color w:val="000000" w:themeColor="text1"/>
                <w:sz w:val="21"/>
                <w:szCs w:val="21"/>
                <w:highlight w:val="none"/>
                <w14:textFill>
                  <w14:solidFill>
                    <w14:schemeClr w14:val="tx1"/>
                  </w14:solidFill>
                </w14:textFill>
              </w:rPr>
            </w:pPr>
          </w:p>
        </w:tc>
        <w:tc>
          <w:tcPr>
            <w:tcW w:w="2085" w:type="dxa"/>
            <w:shd w:val="clear" w:color="auto" w:fill="auto"/>
            <w:vAlign w:val="center"/>
          </w:tcPr>
          <w:p w14:paraId="66300E6A">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14:textFill>
                  <w14:solidFill>
                    <w14:schemeClr w14:val="tx1"/>
                  </w14:solidFill>
                </w14:textFill>
              </w:rPr>
              <w:t>废含油抹布手套</w:t>
            </w:r>
            <w:r>
              <w:rPr>
                <w:rFonts w:hint="eastAsia"/>
                <w:color w:val="000000" w:themeColor="text1"/>
                <w:sz w:val="21"/>
                <w:szCs w:val="21"/>
                <w:highlight w:val="none"/>
                <w:lang w:val="en-US" w:eastAsia="zh-CN"/>
                <w14:textFill>
                  <w14:solidFill>
                    <w14:schemeClr w14:val="tx1"/>
                  </w14:solidFill>
                </w14:textFill>
              </w:rPr>
              <w:t>（t/a）</w:t>
            </w:r>
          </w:p>
        </w:tc>
        <w:tc>
          <w:tcPr>
            <w:tcW w:w="1676" w:type="dxa"/>
            <w:shd w:val="clear" w:color="auto" w:fill="auto"/>
            <w:vAlign w:val="center"/>
          </w:tcPr>
          <w:p w14:paraId="30713A3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544" w:type="dxa"/>
            <w:shd w:val="clear" w:color="auto" w:fill="auto"/>
            <w:vAlign w:val="center"/>
          </w:tcPr>
          <w:p w14:paraId="42E378B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465" w:type="dxa"/>
            <w:shd w:val="clear" w:color="auto" w:fill="auto"/>
            <w:vAlign w:val="center"/>
          </w:tcPr>
          <w:p w14:paraId="3FC9F7C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636" w:type="dxa"/>
            <w:shd w:val="clear" w:color="auto" w:fill="auto"/>
            <w:vAlign w:val="center"/>
          </w:tcPr>
          <w:p w14:paraId="19440A38">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1549" w:type="dxa"/>
            <w:shd w:val="clear" w:color="auto" w:fill="auto"/>
            <w:vAlign w:val="center"/>
          </w:tcPr>
          <w:p w14:paraId="4A26CE1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p>
        </w:tc>
        <w:tc>
          <w:tcPr>
            <w:tcW w:w="1704" w:type="dxa"/>
            <w:shd w:val="clear" w:color="auto" w:fill="auto"/>
            <w:vAlign w:val="center"/>
          </w:tcPr>
          <w:p w14:paraId="5DECE83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c>
          <w:tcPr>
            <w:tcW w:w="1407" w:type="dxa"/>
            <w:shd w:val="clear" w:color="auto" w:fill="auto"/>
            <w:vAlign w:val="center"/>
          </w:tcPr>
          <w:p w14:paraId="2347584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0.05</w:t>
            </w:r>
          </w:p>
        </w:tc>
      </w:tr>
    </w:tbl>
    <w:p w14:paraId="59F8DFEE">
      <w:pPr>
        <w:spacing w:line="240" w:lineRule="auto"/>
        <w:jc w:val="left"/>
        <w:rPr>
          <w:color w:val="000000"/>
          <w:highlight w:val="none"/>
        </w:rPr>
      </w:pPr>
      <w:r>
        <w:rPr>
          <w:rFonts w:eastAsia="黑体"/>
          <w:color w:val="000000"/>
          <w:sz w:val="21"/>
          <w:szCs w:val="21"/>
          <w:highlight w:val="none"/>
        </w:rPr>
        <w:t>注：⑥=①+③+④-⑤；⑦=⑥-①。</w:t>
      </w:r>
    </w:p>
    <w:p w14:paraId="72377A1B">
      <w:pPr>
        <w:pStyle w:val="52"/>
        <w:ind w:left="0"/>
        <w:jc w:val="center"/>
        <w:rPr>
          <w:color w:val="000000"/>
          <w:highlight w:val="none"/>
        </w:rPr>
        <w:sectPr>
          <w:pgSz w:w="16838" w:h="11906" w:orient="landscape"/>
          <w:pgMar w:top="1417" w:right="1417" w:bottom="1417" w:left="1417" w:header="851" w:footer="992" w:gutter="0"/>
          <w:cols w:space="720" w:num="1"/>
          <w:docGrid w:type="lines" w:linePitch="312" w:charSpace="0"/>
        </w:sectPr>
      </w:pPr>
    </w:p>
    <w:p w14:paraId="3367A89E">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rPr>
      </w:pPr>
      <w:bookmarkStart w:id="129" w:name="_Toc32252"/>
      <w:r>
        <w:rPr>
          <w:rFonts w:hint="default" w:ascii="Times New Roman" w:hAnsi="Times New Roman" w:eastAsia="宋体" w:cs="Times New Roman"/>
          <w:b/>
          <w:bCs/>
          <w:color w:val="000000"/>
          <w:sz w:val="24"/>
          <w:szCs w:val="24"/>
          <w:highlight w:val="none"/>
        </w:rPr>
        <w:t>项目地理位置图</w:t>
      </w:r>
      <w:bookmarkEnd w:id="127"/>
      <w:bookmarkEnd w:id="128"/>
      <w:bookmarkEnd w:id="129"/>
    </w:p>
    <w:p w14:paraId="47203474">
      <w:pPr>
        <w:pStyle w:val="52"/>
        <w:jc w:val="center"/>
        <w:rPr>
          <w:rFonts w:hint="default" w:ascii="Times New Roman" w:hAnsi="Times New Roman" w:cs="Times New Roman"/>
          <w:b w:val="0"/>
          <w:bCs w:val="0"/>
          <w:color w:val="000000"/>
          <w:highlight w:val="none"/>
        </w:rPr>
      </w:pPr>
      <w:r>
        <w:rPr>
          <w:sz w:val="32"/>
        </w:rPr>
        <mc:AlternateContent>
          <mc:Choice Requires="wps">
            <w:drawing>
              <wp:anchor distT="0" distB="0" distL="0" distR="0" simplePos="0" relativeHeight="251659264" behindDoc="0" locked="0" layoutInCell="1" allowOverlap="1">
                <wp:simplePos x="0" y="0"/>
                <wp:positionH relativeFrom="column">
                  <wp:posOffset>5608320</wp:posOffset>
                </wp:positionH>
                <wp:positionV relativeFrom="paragraph">
                  <wp:posOffset>2138045</wp:posOffset>
                </wp:positionV>
                <wp:extent cx="171450" cy="152400"/>
                <wp:effectExtent l="20955" t="19050" r="36195" b="19050"/>
                <wp:wrapNone/>
                <wp:docPr id="1042" name="五角星 18"/>
                <wp:cNvGraphicFramePr/>
                <a:graphic xmlns:a="http://schemas.openxmlformats.org/drawingml/2006/main">
                  <a:graphicData uri="http://schemas.microsoft.com/office/word/2010/wordprocessingShape">
                    <wps:wsp>
                      <wps:cNvSpPr/>
                      <wps:spPr>
                        <a:xfrm>
                          <a:off x="0" y="0"/>
                          <a:ext cx="171450" cy="152400"/>
                        </a:xfrm>
                        <a:prstGeom prst="star5">
                          <a:avLst/>
                        </a:prstGeom>
                        <a:solidFill>
                          <a:srgbClr val="FF0000"/>
                        </a:solidFill>
                        <a:ln w="12700" cap="flat" cmpd="sng">
                          <a:solidFill>
                            <a:srgbClr val="FF0000"/>
                          </a:solidFill>
                          <a:prstDash val="solid"/>
                          <a:miter/>
                        </a:ln>
                      </wps:spPr>
                      <wps:bodyPr/>
                    </wps:wsp>
                  </a:graphicData>
                </a:graphic>
              </wp:anchor>
            </w:drawing>
          </mc:Choice>
          <mc:Fallback>
            <w:pict>
              <v:shape id="五角星 18" o:spid="_x0000_s1026" style="position:absolute;left:0pt;margin-left:441.6pt;margin-top:168.35pt;height:12pt;width:13.5pt;z-index:251659264;mso-width-relative:page;mso-height-relative:page;" fillcolor="#FF0000" filled="t" stroked="t" coordsize="171450,152400" o:gfxdata="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7koQNgAAAALAQAADwAAAAAA&#10;AAABACAAAAAiAAAAZHJzL2Rvd25yZXYueG1sUEsBAhQAFAAAAAgAh07iQDHNobfaAQAAxgMAAA4A&#10;AAAAAAAAAQAgAAAAJwEAAGRycy9lMm9Eb2MueG1sUEsFBgAAAAAGAAYAWQEAAHMFAAAAAA==&#10;" path="m0,58211l65488,58211,85725,0,105961,58211,171449,58211,118468,94187,138705,152399,85725,116422,32744,152399,52981,94187xe">
                <v:path o:connectlocs="85725,0;0,58211;32744,152399;138705,152399;171449,58211" o:connectangles="247,164,82,82,0"/>
                <v:fill on="t" focussize="0,0"/>
                <v:stroke weight="1pt" color="#FF0000" joinstyle="miter"/>
                <v:imagedata o:title=""/>
                <o:lock v:ext="edit" aspectratio="f"/>
              </v:shape>
            </w:pict>
          </mc:Fallback>
        </mc:AlternateContent>
      </w:r>
      <w:r>
        <w:rPr>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5114290</wp:posOffset>
                </wp:positionH>
                <wp:positionV relativeFrom="paragraph">
                  <wp:posOffset>1686560</wp:posOffset>
                </wp:positionV>
                <wp:extent cx="863600" cy="290830"/>
                <wp:effectExtent l="6350" t="6350" r="6350" b="217170"/>
                <wp:wrapNone/>
                <wp:docPr id="1043" name="矩形标注 9"/>
                <wp:cNvGraphicFramePr/>
                <a:graphic xmlns:a="http://schemas.openxmlformats.org/drawingml/2006/main">
                  <a:graphicData uri="http://schemas.microsoft.com/office/word/2010/wordprocessingShape">
                    <wps:wsp>
                      <wps:cNvSpPr/>
                      <wps:spPr>
                        <a:xfrm>
                          <a:off x="0" y="0"/>
                          <a:ext cx="863600" cy="290830"/>
                        </a:xfrm>
                        <a:prstGeom prst="wedgeRectCallout">
                          <a:avLst>
                            <a:gd name="adj1" fmla="val 16911"/>
                            <a:gd name="adj2" fmla="val 118777"/>
                          </a:avLst>
                        </a:prstGeom>
                        <a:ln w="12700" cap="flat" cmpd="sng">
                          <a:solidFill>
                            <a:srgbClr val="000000"/>
                          </a:solidFill>
                          <a:prstDash val="solid"/>
                          <a:miter/>
                        </a:ln>
                      </wps:spPr>
                      <wps:txbx>
                        <w:txbxContent>
                          <w:p w14:paraId="3A51667E">
                            <w:pPr>
                              <w:spacing w:line="240" w:lineRule="auto"/>
                              <w:jc w:val="center"/>
                              <w:rPr>
                                <w:rFonts w:hint="default" w:eastAsia="宋体"/>
                                <w:lang w:val="en-US" w:eastAsia="zh-CN"/>
                              </w:rPr>
                            </w:pPr>
                            <w:r>
                              <w:rPr>
                                <w:rFonts w:hint="eastAsia"/>
                                <w:color w:val="000000"/>
                                <w:lang w:eastAsia="zh-CN"/>
                              </w:rPr>
                              <w:t>项目位置</w:t>
                            </w:r>
                          </w:p>
                        </w:txbxContent>
                      </wps:txbx>
                      <wps:bodyPr vert="horz" wrap="square" lIns="91440" tIns="45720" rIns="91440" bIns="45720" anchor="ctr">
                        <a:noAutofit/>
                      </wps:bodyPr>
                    </wps:wsp>
                  </a:graphicData>
                </a:graphic>
              </wp:anchor>
            </w:drawing>
          </mc:Choice>
          <mc:Fallback>
            <w:pict>
              <v:shape id="矩形标注 9" o:spid="_x0000_s1026" o:spt="61" type="#_x0000_t61" style="position:absolute;left:0pt;margin-left:402.7pt;margin-top:132.8pt;height:22.9pt;width:68pt;z-index:251659264;v-text-anchor:middle;mso-width-relative:page;mso-height-relative:page;" filled="f" stroked="t" coordsize="21600,21600" o:gfxdata="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wP6dsAAAALAQAADwAAAAAAAAABACAA&#10;AAAiAAAAZHJzL2Rvd25yZXYueG1sUEsBAhQAFAAAAAgAh07iQEgKigxDAgAAcQQAAA4AAAAAAAAA&#10;AQAgAAAAKgEAAGRycy9lMm9Eb2MueG1sUEsFBgAAAAAGAAYAWQEAAN8FAAAAAA==&#10;" adj="14453,36456">
                <v:fill on="f" focussize="0,0"/>
                <v:stroke weight="1pt" color="#000000" joinstyle="miter"/>
                <v:imagedata o:title=""/>
                <o:lock v:ext="edit" aspectratio="f"/>
                <v:textbox>
                  <w:txbxContent>
                    <w:p w14:paraId="3A51667E">
                      <w:pPr>
                        <w:spacing w:line="240" w:lineRule="auto"/>
                        <w:jc w:val="center"/>
                        <w:rPr>
                          <w:rFonts w:hint="default" w:eastAsia="宋体"/>
                          <w:lang w:val="en-US" w:eastAsia="zh-CN"/>
                        </w:rPr>
                      </w:pPr>
                      <w:r>
                        <w:rPr>
                          <w:rFonts w:hint="eastAsia"/>
                          <w:color w:val="000000"/>
                          <w:lang w:eastAsia="zh-CN"/>
                        </w:rPr>
                        <w:t>项目位置</w:t>
                      </w:r>
                    </w:p>
                  </w:txbxContent>
                </v:textbox>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8108315</wp:posOffset>
            </wp:positionH>
            <wp:positionV relativeFrom="paragraph">
              <wp:posOffset>77470</wp:posOffset>
            </wp:positionV>
            <wp:extent cx="802640" cy="819150"/>
            <wp:effectExtent l="0" t="0" r="16510" b="0"/>
            <wp:wrapNone/>
            <wp:docPr id="1044" name="图片 2"/>
            <wp:cNvGraphicFramePr/>
            <a:graphic xmlns:a="http://schemas.openxmlformats.org/drawingml/2006/main">
              <a:graphicData uri="http://schemas.openxmlformats.org/drawingml/2006/picture">
                <pic:pic xmlns:pic="http://schemas.openxmlformats.org/drawingml/2006/picture">
                  <pic:nvPicPr>
                    <pic:cNvPr id="1044"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drawing>
          <wp:inline distT="0" distB="0" distL="0" distR="0">
            <wp:extent cx="8800465" cy="5219065"/>
            <wp:effectExtent l="9525" t="9525" r="10160" b="10160"/>
            <wp:docPr id="1045" name="图片 6"/>
            <wp:cNvGraphicFramePr/>
            <a:graphic xmlns:a="http://schemas.openxmlformats.org/drawingml/2006/main">
              <a:graphicData uri="http://schemas.openxmlformats.org/drawingml/2006/picture">
                <pic:pic xmlns:pic="http://schemas.openxmlformats.org/drawingml/2006/picture">
                  <pic:nvPicPr>
                    <pic:cNvPr id="1045" name="图片 6"/>
                    <pic:cNvPicPr/>
                  </pic:nvPicPr>
                  <pic:blipFill>
                    <a:blip r:embed="rId28" cstate="print"/>
                    <a:srcRect/>
                    <a:stretch>
                      <a:fillRect/>
                    </a:stretch>
                  </pic:blipFill>
                  <pic:spPr>
                    <a:xfrm>
                      <a:off x="0" y="0"/>
                      <a:ext cx="8800465" cy="5219065"/>
                    </a:xfrm>
                    <a:prstGeom prst="rect">
                      <a:avLst/>
                    </a:prstGeom>
                    <a:ln>
                      <a:solidFill>
                        <a:schemeClr val="tx1"/>
                      </a:solidFill>
                    </a:ln>
                  </pic:spPr>
                </pic:pic>
              </a:graphicData>
            </a:graphic>
          </wp:inline>
        </w:drawing>
      </w:r>
    </w:p>
    <w:p w14:paraId="7B10CBCB">
      <w:pP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F7A5F3A">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rPr>
      </w:pPr>
      <w:bookmarkStart w:id="130" w:name="_Toc17352"/>
      <w:bookmarkStart w:id="131" w:name="_Toc21461"/>
      <w:bookmarkStart w:id="132" w:name="_Toc21251"/>
      <w:r>
        <w:rPr>
          <w:rFonts w:hint="default" w:ascii="Times New Roman" w:hAnsi="Times New Roman" w:eastAsia="宋体" w:cs="Times New Roman"/>
          <w:b/>
          <w:bCs/>
          <w:color w:val="000000"/>
          <w:sz w:val="24"/>
          <w:szCs w:val="24"/>
          <w:highlight w:val="none"/>
        </w:rPr>
        <w:t>项目四至情况</w:t>
      </w:r>
      <w:bookmarkEnd w:id="130"/>
      <w:r>
        <w:rPr>
          <w:rFonts w:hint="default" w:ascii="Times New Roman" w:hAnsi="Times New Roman" w:cs="Times New Roman"/>
          <w:b/>
          <w:bCs/>
          <w:color w:val="000000"/>
          <w:sz w:val="24"/>
          <w:szCs w:val="24"/>
          <w:highlight w:val="none"/>
          <w:lang w:val="en-US" w:eastAsia="zh-CN"/>
        </w:rPr>
        <w:t>卫星图</w:t>
      </w:r>
      <w:bookmarkEnd w:id="131"/>
      <w:r>
        <w:rPr>
          <w:rFonts w:hint="eastAsia" w:cs="Times New Roman"/>
          <w:b/>
          <w:bCs/>
          <w:color w:val="000000"/>
          <w:sz w:val="24"/>
          <w:szCs w:val="24"/>
          <w:highlight w:val="none"/>
          <w:lang w:val="en-US" w:eastAsia="zh-CN"/>
        </w:rPr>
        <w:t>及环保措施图</w:t>
      </w:r>
      <w:bookmarkEnd w:id="132"/>
    </w:p>
    <w:p w14:paraId="121D1F3E">
      <w:pPr>
        <w:jc w:val="center"/>
        <w:rPr>
          <w:rFonts w:hint="eastAsia" w:ascii="Times New Roman" w:hAnsi="Times New Roman" w:eastAsia="宋体" w:cs="Times New Roman"/>
          <w:color w:val="000000"/>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g">
            <w:drawing>
              <wp:anchor distT="0" distB="0" distL="0" distR="0" simplePos="0" relativeHeight="251659264" behindDoc="0" locked="0" layoutInCell="1" allowOverlap="1">
                <wp:simplePos x="0" y="0"/>
                <wp:positionH relativeFrom="column">
                  <wp:posOffset>2540</wp:posOffset>
                </wp:positionH>
                <wp:positionV relativeFrom="paragraph">
                  <wp:posOffset>3108960</wp:posOffset>
                </wp:positionV>
                <wp:extent cx="1666240" cy="2171700"/>
                <wp:effectExtent l="0" t="0" r="0" b="0"/>
                <wp:wrapNone/>
                <wp:docPr id="1046" name="组合 23"/>
                <wp:cNvGraphicFramePr/>
                <a:graphic xmlns:a="http://schemas.openxmlformats.org/drawingml/2006/main">
                  <a:graphicData uri="http://schemas.microsoft.com/office/word/2010/wordprocessingGroup">
                    <wpg:wgp>
                      <wpg:cNvGrpSpPr/>
                      <wpg:grpSpPr>
                        <a:xfrm rot="0">
                          <a:off x="0" y="0"/>
                          <a:ext cx="1666240" cy="2171699"/>
                          <a:chOff x="12893" y="1564697"/>
                          <a:chExt cx="2624" cy="3420"/>
                        </a:xfrm>
                      </wpg:grpSpPr>
                      <wps:wsp>
                        <wps:cNvPr id="1" name="矩形 1"/>
                        <wps:cNvSpPr/>
                        <wps:spPr>
                          <a:xfrm>
                            <a:off x="12893" y="1564697"/>
                            <a:ext cx="2625" cy="3420"/>
                          </a:xfrm>
                          <a:prstGeom prst="rect">
                            <a:avLst/>
                          </a:prstGeom>
                          <a:solidFill>
                            <a:srgbClr val="FFFFFF"/>
                          </a:solidFill>
                          <a:ln w="6350" cap="flat" cmpd="sng">
                            <a:solidFill>
                              <a:srgbClr val="000000"/>
                            </a:solidFill>
                            <a:prstDash val="solid"/>
                            <a:round/>
                          </a:ln>
                        </wps:spPr>
                        <wps:txbx>
                          <w:txbxContent>
                            <w:p w14:paraId="77A0C857">
                              <w:pPr>
                                <w:jc w:val="center"/>
                                <w:rPr>
                                  <w:rFonts w:hint="eastAsia"/>
                                  <w:b/>
                                  <w:bCs/>
                                  <w:lang w:val="en-US" w:eastAsia="zh-CN"/>
                                </w:rPr>
                              </w:pPr>
                              <w:r>
                                <w:rPr>
                                  <w:rFonts w:hint="eastAsia"/>
                                  <w:b/>
                                  <w:bCs/>
                                  <w:lang w:val="en-US" w:eastAsia="zh-CN"/>
                                </w:rPr>
                                <w:t>图例</w:t>
                              </w:r>
                            </w:p>
                            <w:p w14:paraId="509911AE">
                              <w:pPr>
                                <w:rPr>
                                  <w:rFonts w:hint="eastAsia"/>
                                  <w:lang w:val="en-US" w:eastAsia="zh-CN"/>
                                </w:rPr>
                              </w:pPr>
                            </w:p>
                            <w:p w14:paraId="7E9A422B">
                              <w:pPr>
                                <w:rPr>
                                  <w:rFonts w:hint="default"/>
                                  <w:lang w:val="en-US" w:eastAsia="zh-CN"/>
                                </w:rPr>
                              </w:pPr>
                              <w:r>
                                <w:rPr>
                                  <w:rFonts w:hint="eastAsia"/>
                                  <w:lang w:val="en-US" w:eastAsia="zh-CN"/>
                                </w:rPr>
                                <w:t>本项目范围</w:t>
                              </w:r>
                            </w:p>
                            <w:p w14:paraId="078F5B89">
                              <w:pPr>
                                <w:rPr>
                                  <w:rFonts w:hint="default"/>
                                  <w:lang w:val="en-US" w:eastAsia="zh-CN"/>
                                </w:rPr>
                              </w:pPr>
                              <w:r>
                                <w:rPr>
                                  <w:rFonts w:hint="eastAsia"/>
                                  <w:lang w:val="en-US" w:eastAsia="zh-CN"/>
                                </w:rPr>
                                <w:t>排气筒DA001</w:t>
                              </w:r>
                            </w:p>
                            <w:p w14:paraId="035E9786">
                              <w:pPr>
                                <w:rPr>
                                  <w:rFonts w:hint="default"/>
                                  <w:lang w:val="en-US" w:eastAsia="zh-CN"/>
                                </w:rPr>
                              </w:pPr>
                              <w:r>
                                <w:rPr>
                                  <w:rFonts w:hint="eastAsia"/>
                                  <w:lang w:val="en-US" w:eastAsia="zh-CN"/>
                                </w:rPr>
                                <w:t>排水口DW001</w:t>
                              </w:r>
                            </w:p>
                            <w:p w14:paraId="595123B0">
                              <w:pPr>
                                <w:rPr>
                                  <w:rFonts w:hint="eastAsia"/>
                                  <w:lang w:val="en-US" w:eastAsia="zh-CN"/>
                                </w:rPr>
                              </w:pPr>
                              <w:r>
                                <w:rPr>
                                  <w:rFonts w:hint="eastAsia"/>
                                  <w:lang w:val="en-US" w:eastAsia="zh-CN"/>
                                </w:rPr>
                                <w:t>一般固废间</w:t>
                              </w:r>
                            </w:p>
                            <w:p w14:paraId="435B73A3">
                              <w:pPr>
                                <w:rPr>
                                  <w:rFonts w:hint="default"/>
                                  <w:lang w:val="en-US" w:eastAsia="zh-CN"/>
                                </w:rPr>
                              </w:pPr>
                              <w:r>
                                <w:rPr>
                                  <w:rFonts w:hint="eastAsia"/>
                                  <w:lang w:val="en-US" w:eastAsia="zh-CN"/>
                                </w:rPr>
                                <w:t>危废间</w:t>
                              </w:r>
                            </w:p>
                          </w:txbxContent>
                        </wps:txbx>
                        <wps:bodyPr vert="horz" wrap="square" lIns="91440" tIns="45720" rIns="91440" bIns="45720" anchor="t">
                          <a:noAutofit/>
                        </wps:bodyPr>
                      </wps:wsp>
                      <wps:wsp>
                        <wps:cNvPr id="2" name="图文框 2"/>
                        <wps:cNvSpPr/>
                        <wps:spPr>
                          <a:xfrm>
                            <a:off x="14693" y="1566752"/>
                            <a:ext cx="255" cy="300"/>
                          </a:xfrm>
                          <a:prstGeom prst="frame">
                            <a:avLst/>
                          </a:prstGeom>
                          <a:solidFill>
                            <a:srgbClr val="5B9BD5"/>
                          </a:solidFill>
                          <a:ln w="12700" cap="flat" cmpd="sng">
                            <a:solidFill>
                              <a:srgbClr val="2E75B5"/>
                            </a:solidFill>
                            <a:prstDash val="solid"/>
                            <a:miter/>
                          </a:ln>
                        </wps:spPr>
                        <wps:bodyPr/>
                      </wps:wsp>
                      <wps:wsp>
                        <wps:cNvPr id="3" name="同心圆 3"/>
                        <wps:cNvSpPr/>
                        <wps:spPr>
                          <a:xfrm>
                            <a:off x="14753" y="1566311"/>
                            <a:ext cx="180" cy="195"/>
                          </a:xfrm>
                          <a:prstGeom prst="donut">
                            <a:avLst/>
                          </a:prstGeom>
                          <a:solidFill>
                            <a:srgbClr val="5B9BD5"/>
                          </a:solidFill>
                          <a:ln w="12700" cap="flat" cmpd="sng">
                            <a:solidFill>
                              <a:srgbClr val="FF0000"/>
                            </a:solidFill>
                            <a:prstDash val="solid"/>
                            <a:miter/>
                          </a:ln>
                        </wps:spPr>
                        <wps:bodyPr/>
                      </wps:wsp>
                      <wps:wsp>
                        <wps:cNvPr id="4" name="矩形 4"/>
                        <wps:cNvSpPr/>
                        <wps:spPr>
                          <a:xfrm>
                            <a:off x="14598" y="1565848"/>
                            <a:ext cx="375" cy="210"/>
                          </a:xfrm>
                          <a:prstGeom prst="rect">
                            <a:avLst/>
                          </a:prstGeom>
                          <a:ln w="12700" cap="flat" cmpd="sng">
                            <a:solidFill>
                              <a:srgbClr val="FF0000"/>
                            </a:solidFill>
                            <a:prstDash val="solid"/>
                            <a:miter/>
                          </a:ln>
                        </wps:spPr>
                        <wps:bodyPr/>
                      </wps:wsp>
                      <wps:wsp>
                        <wps:cNvPr id="5" name="图文框 5"/>
                        <wps:cNvSpPr/>
                        <wps:spPr>
                          <a:xfrm>
                            <a:off x="14723" y="1567712"/>
                            <a:ext cx="255" cy="300"/>
                          </a:xfrm>
                          <a:prstGeom prst="frame">
                            <a:avLst/>
                          </a:prstGeom>
                          <a:solidFill>
                            <a:srgbClr val="5B9BD5"/>
                          </a:solidFill>
                          <a:ln w="12700" cap="flat" cmpd="sng">
                            <a:solidFill>
                              <a:srgbClr val="ED7D31"/>
                            </a:solidFill>
                            <a:prstDash val="solid"/>
                            <a:miter/>
                          </a:ln>
                        </wps:spPr>
                        <wps:bodyPr/>
                      </wps:wsp>
                      <wps:wsp>
                        <wps:cNvPr id="6" name="图文框 6"/>
                        <wps:cNvSpPr/>
                        <wps:spPr>
                          <a:xfrm>
                            <a:off x="14708" y="1567232"/>
                            <a:ext cx="255" cy="300"/>
                          </a:xfrm>
                          <a:prstGeom prst="frame">
                            <a:avLst/>
                          </a:prstGeom>
                          <a:solidFill>
                            <a:srgbClr val="5B9BD5"/>
                          </a:solidFill>
                          <a:ln w="12700" cap="flat" cmpd="sng">
                            <a:solidFill>
                              <a:srgbClr val="00B050"/>
                            </a:solidFill>
                            <a:prstDash val="solid"/>
                            <a:miter/>
                          </a:ln>
                        </wps:spPr>
                        <wps:bodyPr/>
                      </wps:wsp>
                    </wpg:wgp>
                  </a:graphicData>
                </a:graphic>
              </wp:anchor>
            </w:drawing>
          </mc:Choice>
          <mc:Fallback>
            <w:pict>
              <v:group id="组合 23" o:spid="_x0000_s1026" o:spt="203" style="position:absolute;left:0pt;margin-left:0.2pt;margin-top:244.8pt;height:171pt;width:131.2pt;z-index:251659264;mso-width-relative:page;mso-height-relative:page;" coordorigin="12893,1564697" coordsize="2624,3420" o:gfxdata="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JGnuuPZAAAACAEAAA8AAAAAAAAAAQAgAAAAIgAAAGRycy9kb3ducmV2LnhtbFBLAQIUABQA&#10;AAAIAIdO4kDQQ1SLtwMAANIOAAAOAAAAAAAAAAEAIAAAACgBAABkcnMvZTJvRG9jLnhtbFBLBQYA&#10;AAAABgAGAFkBAABRBwAAAAA=&#10;">
                <o:lock v:ext="edit" aspectratio="f"/>
                <v:rect id="_x0000_s1026" o:spid="_x0000_s1026" o:spt="1" style="position:absolute;left:12893;top:1564697;height:3420;width:2625;" fillcolor="#FFFFFF" filled="t" stroked="t" coordsize="21600,21600" o:gfxdata="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c4isy5AAAA2gAA&#10;AA8AAAAAAAAAAQAgAAAAIgAAAGRycy9kb3ducmV2LnhtbFBLAQIUABQAAAAIAIdO4kAzLwWeOwAA&#10;ADkAAAAQAAAAAAAAAAEAIAAAAAgBAABkcnMvc2hhcGV4bWwueG1sUEsFBgAAAAAGAAYAWwEAALID&#10;AAAAAA==&#10;">
                  <v:fill on="t" focussize="0,0"/>
                  <v:stroke weight="0.5pt" color="#000000" joinstyle="round"/>
                  <v:imagedata o:title=""/>
                  <o:lock v:ext="edit" aspectratio="f"/>
                  <v:textbox>
                    <w:txbxContent>
                      <w:p w14:paraId="77A0C857">
                        <w:pPr>
                          <w:jc w:val="center"/>
                          <w:rPr>
                            <w:rFonts w:hint="eastAsia"/>
                            <w:b/>
                            <w:bCs/>
                            <w:lang w:val="en-US" w:eastAsia="zh-CN"/>
                          </w:rPr>
                        </w:pPr>
                        <w:r>
                          <w:rPr>
                            <w:rFonts w:hint="eastAsia"/>
                            <w:b/>
                            <w:bCs/>
                            <w:lang w:val="en-US" w:eastAsia="zh-CN"/>
                          </w:rPr>
                          <w:t>图例</w:t>
                        </w:r>
                      </w:p>
                      <w:p w14:paraId="509911AE">
                        <w:pPr>
                          <w:rPr>
                            <w:rFonts w:hint="eastAsia"/>
                            <w:lang w:val="en-US" w:eastAsia="zh-CN"/>
                          </w:rPr>
                        </w:pPr>
                      </w:p>
                      <w:p w14:paraId="7E9A422B">
                        <w:pPr>
                          <w:rPr>
                            <w:rFonts w:hint="default"/>
                            <w:lang w:val="en-US" w:eastAsia="zh-CN"/>
                          </w:rPr>
                        </w:pPr>
                        <w:r>
                          <w:rPr>
                            <w:rFonts w:hint="eastAsia"/>
                            <w:lang w:val="en-US" w:eastAsia="zh-CN"/>
                          </w:rPr>
                          <w:t>本项目范围</w:t>
                        </w:r>
                      </w:p>
                      <w:p w14:paraId="078F5B89">
                        <w:pPr>
                          <w:rPr>
                            <w:rFonts w:hint="default"/>
                            <w:lang w:val="en-US" w:eastAsia="zh-CN"/>
                          </w:rPr>
                        </w:pPr>
                        <w:r>
                          <w:rPr>
                            <w:rFonts w:hint="eastAsia"/>
                            <w:lang w:val="en-US" w:eastAsia="zh-CN"/>
                          </w:rPr>
                          <w:t>排气筒DA001</w:t>
                        </w:r>
                      </w:p>
                      <w:p w14:paraId="035E9786">
                        <w:pPr>
                          <w:rPr>
                            <w:rFonts w:hint="default"/>
                            <w:lang w:val="en-US" w:eastAsia="zh-CN"/>
                          </w:rPr>
                        </w:pPr>
                        <w:r>
                          <w:rPr>
                            <w:rFonts w:hint="eastAsia"/>
                            <w:lang w:val="en-US" w:eastAsia="zh-CN"/>
                          </w:rPr>
                          <w:t>排水口DW001</w:t>
                        </w:r>
                      </w:p>
                      <w:p w14:paraId="595123B0">
                        <w:pPr>
                          <w:rPr>
                            <w:rFonts w:hint="eastAsia"/>
                            <w:lang w:val="en-US" w:eastAsia="zh-CN"/>
                          </w:rPr>
                        </w:pPr>
                        <w:r>
                          <w:rPr>
                            <w:rFonts w:hint="eastAsia"/>
                            <w:lang w:val="en-US" w:eastAsia="zh-CN"/>
                          </w:rPr>
                          <w:t>一般固废间</w:t>
                        </w:r>
                      </w:p>
                      <w:p w14:paraId="435B73A3">
                        <w:pPr>
                          <w:rPr>
                            <w:rFonts w:hint="default"/>
                            <w:lang w:val="en-US" w:eastAsia="zh-CN"/>
                          </w:rPr>
                        </w:pPr>
                        <w:r>
                          <w:rPr>
                            <w:rFonts w:hint="eastAsia"/>
                            <w:lang w:val="en-US" w:eastAsia="zh-CN"/>
                          </w:rPr>
                          <w:t>危废间</w:t>
                        </w:r>
                      </w:p>
                    </w:txbxContent>
                  </v:textbox>
                </v:rect>
                <v:shape id="_x0000_s1026" o:spid="_x0000_s1026" style="position:absolute;left:14693;top:1566752;height:300;width:255;" fillcolor="#5B9BD5" filled="t" stroked="t" coordsize="255,300" o:gfxdata="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3bfLrsAAADa&#10;AAAADwAAAAAAAAABACAAAAAiAAAAZHJzL2Rvd25yZXYueG1sUEsBAhQAFAAAAAgAh07iQDMvBZ47&#10;AAAAOQAAABAAAAAAAAAAAQAgAAAACgEAAGRycy9zaGFwZXhtbC54bWxQSwUGAAAAAAYABgBbAQAA&#10;tAMAAAAA&#10;" path="m0,0l255,0,255,300,0,300xm31,31l31,268,223,268,223,31xe">
                  <v:path o:connectlocs="127,0;0,150;127,300;255,150" o:connectangles="247,164,82,0"/>
                  <v:fill on="t" focussize="0,0"/>
                  <v:stroke weight="1pt" color="#2E75B5" joinstyle="miter"/>
                  <v:imagedata o:title=""/>
                  <o:lock v:ext="edit" aspectratio="f"/>
                </v:shape>
                <v:shape id="_x0000_s1026" o:spid="_x0000_s1026" o:spt="23" type="#_x0000_t23" style="position:absolute;left:14753;top:1566311;height:195;width:180;" fillcolor="#5B9BD5" filled="t" stroked="t" coordsize="21600,21600" o:gfxdata="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t6l28AAAA&#10;2gAAAA8AAAAAAAAAAQAgAAAAIgAAAGRycy9kb3ducmV2LnhtbFBLAQIUABQAAAAIAIdO4kAzLwWe&#10;OwAAADkAAAAQAAAAAAAAAAEAIAAAAAsBAABkcnMvc2hhcGV4bWwueG1sUEsFBgAAAAAGAAYAWwEA&#10;ALUDAAAAAA==&#10;" adj="5400">
                  <v:fill on="t" focussize="0,0"/>
                  <v:stroke weight="1pt" color="#FF0000" joinstyle="miter"/>
                  <v:imagedata o:title=""/>
                  <o:lock v:ext="edit" aspectratio="f"/>
                </v:shape>
                <v:rect id="_x0000_s1026" o:spid="_x0000_s1026" o:spt="1" style="position:absolute;left:14598;top:1565848;height:210;width:375;" filled="f" stroked="t" coordsize="21600,21600" o:gfxdata="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Y3jL4A&#10;AADaAAAADwAAAAAAAAABACAAAAAiAAAAZHJzL2Rvd25yZXYueG1sUEsBAhQAFAAAAAgAh07iQDMv&#10;BZ47AAAAOQAAABAAAAAAAAAAAQAgAAAADQEAAGRycy9zaGFwZXhtbC54bWxQSwUGAAAAAAYABgBb&#10;AQAAtwMAAAAA&#10;">
                  <v:fill on="f" focussize="0,0"/>
                  <v:stroke weight="1pt" color="#FF0000" joinstyle="miter"/>
                  <v:imagedata o:title=""/>
                  <o:lock v:ext="edit" aspectratio="f"/>
                </v:rect>
                <v:shape id="_x0000_s1026" o:spid="_x0000_s1026" style="position:absolute;left:14723;top:1567712;height:300;width:255;" fillcolor="#5B9BD5" filled="t" stroked="t" coordsize="255,300" o:gfxdata="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CeVNugAAANoA&#10;AAAPAAAAAAAAAAEAIAAAACIAAABkcnMvZG93bnJldi54bWxQSwECFAAUAAAACACHTuJAMy8FnjsA&#10;AAA5AAAAEAAAAAAAAAABACAAAAAJAQAAZHJzL3NoYXBleG1sLnhtbFBLBQYAAAAABgAGAFsBAACz&#10;AwAAAAA=&#10;" path="m0,0l255,0,255,300,0,300xm31,31l31,268,223,268,223,31xe">
                  <v:path o:connectlocs="127,0;0,150;127,300;255,150" o:connectangles="247,164,82,0"/>
                  <v:fill on="t" focussize="0,0"/>
                  <v:stroke weight="1pt" color="#ED7D31" joinstyle="miter"/>
                  <v:imagedata o:title=""/>
                  <o:lock v:ext="edit" aspectratio="f"/>
                </v:shape>
                <v:shape id="_x0000_s1026" o:spid="_x0000_s1026" style="position:absolute;left:14708;top:1567232;height:300;width:255;" fillcolor="#5B9BD5" filled="t" stroked="t" coordsize="255,300" o:gfxdata="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D7hYvQAA&#10;ANoAAAAPAAAAAAAAAAEAIAAAACIAAABkcnMvZG93bnJldi54bWxQSwECFAAUAAAACACHTuJAMy8F&#10;njsAAAA5AAAAEAAAAAAAAAABACAAAAAMAQAAZHJzL3NoYXBleG1sLnhtbFBLBQYAAAAABgAGAFsB&#10;AAC2AwAAAAA=&#10;" path="m0,0l255,0,255,300,0,300xm31,31l31,268,223,268,223,31xe">
                  <v:path o:connectlocs="127,0;0,150;127,300;255,150" o:connectangles="247,164,82,0"/>
                  <v:fill on="t" focussize="0,0"/>
                  <v:stroke weight="1pt" color="#00B050" joinstyle="miter"/>
                  <v:imagedata o:title=""/>
                  <o:lock v:ext="edit" aspectratio="f"/>
                </v:shape>
              </v:group>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7980680</wp:posOffset>
            </wp:positionH>
            <wp:positionV relativeFrom="paragraph">
              <wp:posOffset>62865</wp:posOffset>
            </wp:positionV>
            <wp:extent cx="802640" cy="819150"/>
            <wp:effectExtent l="0" t="0" r="6985" b="1270"/>
            <wp:wrapNone/>
            <wp:docPr id="1053" name="图片 2"/>
            <wp:cNvGraphicFramePr/>
            <a:graphic xmlns:a="http://schemas.openxmlformats.org/drawingml/2006/main">
              <a:graphicData uri="http://schemas.openxmlformats.org/drawingml/2006/picture">
                <pic:pic xmlns:pic="http://schemas.openxmlformats.org/drawingml/2006/picture">
                  <pic:nvPicPr>
                    <pic:cNvPr id="1053"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2117725</wp:posOffset>
                </wp:positionH>
                <wp:positionV relativeFrom="paragraph">
                  <wp:posOffset>2786380</wp:posOffset>
                </wp:positionV>
                <wp:extent cx="1981835" cy="492125"/>
                <wp:effectExtent l="0" t="0" r="0" b="0"/>
                <wp:wrapNone/>
                <wp:docPr id="1054" name="文本框 22"/>
                <wp:cNvGraphicFramePr/>
                <a:graphic xmlns:a="http://schemas.openxmlformats.org/drawingml/2006/main">
                  <a:graphicData uri="http://schemas.microsoft.com/office/word/2010/wordprocessingShape">
                    <wps:wsp>
                      <wps:cNvSpPr/>
                      <wps:spPr>
                        <a:xfrm>
                          <a:off x="0" y="0"/>
                          <a:ext cx="1981834" cy="492124"/>
                        </a:xfrm>
                        <a:prstGeom prst="rect">
                          <a:avLst/>
                        </a:prstGeom>
                        <a:ln>
                          <a:noFill/>
                        </a:ln>
                      </wps:spPr>
                      <wps:txbx>
                        <w:txbxContent>
                          <w:p w14:paraId="672F93D5">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22" o:spid="_x0000_s1026" o:spt="1" style="position:absolute;left:0pt;margin-left:166.75pt;margin-top:219.4pt;height:38.75pt;width:156.05pt;z-index:251659264;mso-width-relative:page;mso-height-relative:page;" filled="f" stroked="f" coordsize="21600,21600" o:gfxdata="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NwjtI2wAAAAsBAAAPAAAA&#10;AAAAAAEAIAAAACIAAABkcnMvZG93bnJldi54bWxQSwECFAAUAAAACACHTuJAPhKdxNkBAACkAwAA&#10;DgAAAAAAAAABACAAAAAqAQAAZHJzL2Uyb0RvYy54bWxQSwUGAAAAAAYABgBZAQAAdQUAAAAA&#10;">
                <v:fill on="f" focussize="0,0"/>
                <v:stroke on="f"/>
                <v:imagedata o:title=""/>
                <o:lock v:ext="edit" aspectratio="f"/>
                <v:textbox>
                  <w:txbxContent>
                    <w:p w14:paraId="672F93D5">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3583940</wp:posOffset>
                </wp:positionH>
                <wp:positionV relativeFrom="paragraph">
                  <wp:posOffset>3146425</wp:posOffset>
                </wp:positionV>
                <wp:extent cx="2161540" cy="510540"/>
                <wp:effectExtent l="0" t="0" r="0" b="0"/>
                <wp:wrapNone/>
                <wp:docPr id="1055" name="文本框 166"/>
                <wp:cNvGraphicFramePr/>
                <a:graphic xmlns:a="http://schemas.openxmlformats.org/drawingml/2006/main">
                  <a:graphicData uri="http://schemas.microsoft.com/office/word/2010/wordprocessingShape">
                    <wps:wsp>
                      <wps:cNvSpPr/>
                      <wps:spPr>
                        <a:xfrm rot="21180000">
                          <a:off x="0" y="0"/>
                          <a:ext cx="2161540" cy="510540"/>
                        </a:xfrm>
                        <a:prstGeom prst="rect">
                          <a:avLst/>
                        </a:prstGeom>
                        <a:ln>
                          <a:noFill/>
                        </a:ln>
                      </wps:spPr>
                      <wps:txbx>
                        <w:txbxContent>
                          <w:p w14:paraId="5550FFA0">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6" o:spid="_x0000_s1026" o:spt="1" style="position:absolute;left:0pt;margin-left:282.2pt;margin-top:247.75pt;height:40.2pt;width:170.2pt;rotation:-458752f;z-index:251659264;mso-width-relative:page;mso-height-relative:page;" filled="f" stroked="f" coordsize="21600,21600" o:gfxdata="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G7DrPXAAAACwEA&#10;AA8AAAAAAAAAAQAgAAAAIgAAAGRycy9kb3ducmV2LnhtbFBLAQIUABQAAAAIAIdO4kAx5whQ4gEA&#10;ALQDAAAOAAAAAAAAAAEAIAAAACYBAABkcnMvZTJvRG9jLnhtbFBLBQYAAAAABgAGAFkBAAB6BQAA&#10;AAA=&#10;">
                <v:fill on="f" focussize="0,0"/>
                <v:stroke on="f"/>
                <v:imagedata o:title=""/>
                <o:lock v:ext="edit" aspectratio="f"/>
                <v:textbox>
                  <w:txbxContent>
                    <w:p w14:paraId="5550FFA0">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3625850</wp:posOffset>
                </wp:positionH>
                <wp:positionV relativeFrom="paragraph">
                  <wp:posOffset>2514600</wp:posOffset>
                </wp:positionV>
                <wp:extent cx="161925" cy="190500"/>
                <wp:effectExtent l="6350" t="6350" r="22225" b="12700"/>
                <wp:wrapNone/>
                <wp:docPr id="1056" name="图文框 69"/>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2E75B5"/>
                          </a:solidFill>
                          <a:prstDash val="solid"/>
                          <a:miter/>
                        </a:ln>
                      </wps:spPr>
                      <wps:bodyPr/>
                    </wps:wsp>
                  </a:graphicData>
                </a:graphic>
              </wp:anchor>
            </w:drawing>
          </mc:Choice>
          <mc:Fallback>
            <w:pict>
              <v:shape id="图文框 69" o:spid="_x0000_s1026" style="position:absolute;left:0pt;margin-left:285.5pt;margin-top:198pt;height:15pt;width:12.75pt;z-index:251659264;mso-width-relative:page;mso-height-relative:page;" fillcolor="#5B9BD5" filled="t" stroked="t" coordsize="161925,190500" o:gfxdata="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gCn1dwA&#10;AAALAQAADwAAAAAAAAABACAAAAAiAAAAZHJzL2Rvd25yZXYueG1sUEsBAhQAFAAAAAgAh07iQFn+&#10;If7iAQAAxgMAAA4AAAAAAAAAAQAgAAAAKwEAAGRycy9lMm9Eb2MueG1sUEsFBgAAAAAGAAYAWQEA&#10;AH8FAAAAAA==&#10;" path="m0,0l161925,0,161925,190500,0,190500xm20240,20240l20240,170259,141684,170259,141684,20240xe">
                <v:path o:connectlocs="80962,0;0,95250;80962,190500;161925,95250" o:connectangles="247,164,82,0"/>
                <v:fill on="t" focussize="0,0"/>
                <v:stroke weight="1pt" color="#2E75B5"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3601720</wp:posOffset>
                </wp:positionH>
                <wp:positionV relativeFrom="paragraph">
                  <wp:posOffset>2308860</wp:posOffset>
                </wp:positionV>
                <wp:extent cx="161925" cy="190500"/>
                <wp:effectExtent l="6350" t="6350" r="22225" b="12700"/>
                <wp:wrapNone/>
                <wp:docPr id="1057" name="图文框 77"/>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ED7D31"/>
                          </a:solidFill>
                          <a:prstDash val="solid"/>
                          <a:miter/>
                        </a:ln>
                      </wps:spPr>
                      <wps:bodyPr/>
                    </wps:wsp>
                  </a:graphicData>
                </a:graphic>
              </wp:anchor>
            </w:drawing>
          </mc:Choice>
          <mc:Fallback>
            <w:pict>
              <v:shape id="图文框 77" o:spid="_x0000_s1026" style="position:absolute;left:0pt;margin-left:283.6pt;margin-top:181.8pt;height:15pt;width:12.75pt;z-index:251659264;mso-width-relative:page;mso-height-relative:page;" fillcolor="#5B9BD5" filled="t" stroked="t" coordsize="161925,190500" o:gfxdata="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gGukrb&#10;AAAACwEAAA8AAAAAAAAAAQAgAAAAIgAAAGRycy9kb3ducmV2LnhtbFBLAQIUABQAAAAIAIdO4kAs&#10;b7ZL5AEAAMYDAAAOAAAAAAAAAAEAIAAAACoBAABkcnMvZTJvRG9jLnhtbFBLBQYAAAAABgAGAFkB&#10;AACABQAAAAA=&#10;" path="m0,0l161925,0,161925,190500,0,190500xm20240,20240l20240,170259,141684,170259,141684,20240xe">
                <v:path o:connectlocs="80962,0;0,95250;80962,190500;161925,95250" o:connectangles="247,164,82,0"/>
                <v:fill on="t" focussize="0,0"/>
                <v:stroke weight="1pt" color="#ED7D31"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3599180</wp:posOffset>
                </wp:positionH>
                <wp:positionV relativeFrom="paragraph">
                  <wp:posOffset>2097405</wp:posOffset>
                </wp:positionV>
                <wp:extent cx="161925" cy="190500"/>
                <wp:effectExtent l="6350" t="6350" r="22225" b="12700"/>
                <wp:wrapNone/>
                <wp:docPr id="1058" name="图文框 78"/>
                <wp:cNvGraphicFramePr/>
                <a:graphic xmlns:a="http://schemas.openxmlformats.org/drawingml/2006/main">
                  <a:graphicData uri="http://schemas.microsoft.com/office/word/2010/wordprocessingShape">
                    <wps:wsp>
                      <wps:cNvSpPr/>
                      <wps:spPr>
                        <a:xfrm>
                          <a:off x="0" y="0"/>
                          <a:ext cx="161925" cy="190500"/>
                        </a:xfrm>
                        <a:prstGeom prst="frame">
                          <a:avLst/>
                        </a:prstGeom>
                        <a:solidFill>
                          <a:srgbClr val="5B9BD5"/>
                        </a:solidFill>
                        <a:ln w="12700" cap="flat" cmpd="sng">
                          <a:solidFill>
                            <a:srgbClr val="00B050"/>
                          </a:solidFill>
                          <a:prstDash val="solid"/>
                          <a:miter/>
                        </a:ln>
                      </wps:spPr>
                      <wps:bodyPr/>
                    </wps:wsp>
                  </a:graphicData>
                </a:graphic>
              </wp:anchor>
            </w:drawing>
          </mc:Choice>
          <mc:Fallback>
            <w:pict>
              <v:shape id="图文框 78" o:spid="_x0000_s1026" style="position:absolute;left:0pt;margin-left:283.4pt;margin-top:165.15pt;height:15pt;width:12.75pt;z-index:251659264;mso-width-relative:page;mso-height-relative:page;" fillcolor="#5B9BD5" filled="t" stroked="t" coordsize="161925,190500" o:gfxdata="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klAcbZAAAA&#10;CwEAAA8AAAAAAAAAAQAgAAAAIgAAAGRycy9kb3ducmV2LnhtbFBLAQIUABQAAAAIAIdO4kD4J1xp&#10;4wEAAMYDAAAOAAAAAAAAAAEAIAAAACgBAABkcnMvZTJvRG9jLnhtbFBLBQYAAAAABgAGAFkBAAB9&#10;BQAAAAA=&#10;" path="m0,0l161925,0,161925,190500,0,190500xm20240,20240l20240,170259,141684,170259,141684,20240xe">
                <v:path o:connectlocs="80962,0;0,95250;80962,190500;161925,95250" o:connectangles="247,164,82,0"/>
                <v:fill on="t" focussize="0,0"/>
                <v:stroke weight="1pt" color="#00B050" joinstyle="miter"/>
                <v:imagedata o:title=""/>
                <o:lock v:ext="edit" aspectratio="f"/>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4403090</wp:posOffset>
                </wp:positionH>
                <wp:positionV relativeFrom="paragraph">
                  <wp:posOffset>2075815</wp:posOffset>
                </wp:positionV>
                <wp:extent cx="114300" cy="123825"/>
                <wp:effectExtent l="6350" t="6350" r="12700" b="22225"/>
                <wp:wrapNone/>
                <wp:docPr id="1059" name="同心圆 21"/>
                <wp:cNvGraphicFramePr/>
                <a:graphic xmlns:a="http://schemas.openxmlformats.org/drawingml/2006/main">
                  <a:graphicData uri="http://schemas.microsoft.com/office/word/2010/wordprocessingShape">
                    <wps:wsp>
                      <wps:cNvSpPr/>
                      <wps:spPr>
                        <a:xfrm>
                          <a:off x="0" y="0"/>
                          <a:ext cx="114300" cy="123825"/>
                        </a:xfrm>
                        <a:prstGeom prst="donut">
                          <a:avLst/>
                        </a:prstGeom>
                        <a:solidFill>
                          <a:srgbClr val="5B9BD5"/>
                        </a:solidFill>
                        <a:ln w="12700" cap="flat" cmpd="sng">
                          <a:solidFill>
                            <a:srgbClr val="FF0000"/>
                          </a:solidFill>
                          <a:prstDash val="solid"/>
                          <a:miter/>
                        </a:ln>
                      </wps:spPr>
                      <wps:bodyPr/>
                    </wps:wsp>
                  </a:graphicData>
                </a:graphic>
              </wp:anchor>
            </w:drawing>
          </mc:Choice>
          <mc:Fallback>
            <w:pict>
              <v:shape id="同心圆 21" o:spid="_x0000_s1026" o:spt="23" type="#_x0000_t23" style="position:absolute;left:0pt;margin-left:346.7pt;margin-top:163.45pt;height:9.75pt;width:9pt;z-index:251659264;mso-width-relative:page;mso-height-relative:page;" fillcolor="#5B9BD5" filled="t" stroked="t" coordsize="21600,21600" o:gfxdata="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3MXFj2gAAAAsB&#10;AAAPAAAAAAAAAAEAIAAAACIAAABkcnMvZG93bnJldi54bWxQSwECFAAUAAAACACHTuJAJQx2G+AB&#10;AADGAwAADgAAAAAAAAABACAAAAApAQAAZHJzL2Uyb0RvYy54bWxQSwUGAAAAAAYABgBZAQAAewUA&#10;AAAA&#10;" adj="54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3714750</wp:posOffset>
                </wp:positionH>
                <wp:positionV relativeFrom="paragraph">
                  <wp:posOffset>4073525</wp:posOffset>
                </wp:positionV>
                <wp:extent cx="1304925" cy="344170"/>
                <wp:effectExtent l="0" t="0" r="0" b="0"/>
                <wp:wrapNone/>
                <wp:docPr id="1060" name="文本框 129"/>
                <wp:cNvGraphicFramePr/>
                <a:graphic xmlns:a="http://schemas.openxmlformats.org/drawingml/2006/main">
                  <a:graphicData uri="http://schemas.microsoft.com/office/word/2010/wordprocessingShape">
                    <wps:wsp>
                      <wps:cNvSpPr/>
                      <wps:spPr>
                        <a:xfrm>
                          <a:off x="0" y="0"/>
                          <a:ext cx="1304925" cy="344170"/>
                        </a:xfrm>
                        <a:prstGeom prst="rect">
                          <a:avLst/>
                        </a:prstGeom>
                        <a:ln>
                          <a:noFill/>
                        </a:ln>
                      </wps:spPr>
                      <wps:txbx>
                        <w:txbxContent>
                          <w:p w14:paraId="59E91D67">
                            <w:pPr>
                              <w:rPr>
                                <w:rFonts w:hint="eastAsia" w:eastAsia="宋体"/>
                                <w:b/>
                                <w:bCs/>
                                <w:color w:val="FFFF00"/>
                                <w:lang w:eastAsia="zh-CN"/>
                              </w:rPr>
                            </w:pPr>
                            <w:r>
                              <w:rPr>
                                <w:rFonts w:hint="eastAsia"/>
                                <w:b/>
                                <w:bCs/>
                                <w:color w:val="FFFF00"/>
                                <w:lang w:val="en-US" w:eastAsia="zh-CN"/>
                              </w:rPr>
                              <w:t>园区道</w:t>
                            </w:r>
                            <w:r>
                              <w:rPr>
                                <w:rFonts w:hint="eastAsia"/>
                                <w:b/>
                                <w:bCs/>
                                <w:color w:val="FFFF00"/>
                                <w:lang w:eastAsia="zh-CN"/>
                              </w:rPr>
                              <w:t>路</w:t>
                            </w:r>
                          </w:p>
                        </w:txbxContent>
                      </wps:txbx>
                      <wps:bodyPr vert="horz" wrap="square" lIns="91440" tIns="45720" rIns="91440" bIns="45720" anchor="t">
                        <a:noAutofit/>
                      </wps:bodyPr>
                    </wps:wsp>
                  </a:graphicData>
                </a:graphic>
              </wp:anchor>
            </w:drawing>
          </mc:Choice>
          <mc:Fallback>
            <w:pict>
              <v:rect id="文本框 129" o:spid="_x0000_s1026" o:spt="1" style="position:absolute;left:0pt;margin-left:292.5pt;margin-top:320.75pt;height:27.1pt;width:102.75pt;z-index:251659264;mso-width-relative:page;mso-height-relative:page;" filled="f" stroked="f" coordsize="21600,21600" o:gfxdata="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i4hy3QAAAAsB&#10;AAAPAAAAAAAAAAEAIAAAACIAAABkcnMvZG93bnJldi54bWxQSwECFAAUAAAACACHTuJAKayIat0B&#10;AAClAwAADgAAAAAAAAABACAAAAAsAQAAZHJzL2Uyb0RvYy54bWxQSwUGAAAAAAYABgBZAQAAewUA&#10;AAAA&#10;">
                <v:fill on="f" focussize="0,0"/>
                <v:stroke on="f"/>
                <v:imagedata o:title=""/>
                <o:lock v:ext="edit" aspectratio="f"/>
                <v:textbox>
                  <w:txbxContent>
                    <w:p w14:paraId="59E91D67">
                      <w:pPr>
                        <w:rPr>
                          <w:rFonts w:hint="eastAsia" w:eastAsia="宋体"/>
                          <w:b/>
                          <w:bCs/>
                          <w:color w:val="FFFF00"/>
                          <w:lang w:eastAsia="zh-CN"/>
                        </w:rPr>
                      </w:pPr>
                      <w:r>
                        <w:rPr>
                          <w:rFonts w:hint="eastAsia"/>
                          <w:b/>
                          <w:bCs/>
                          <w:color w:val="FFFF00"/>
                          <w:lang w:val="en-US" w:eastAsia="zh-CN"/>
                        </w:rPr>
                        <w:t>园区道</w:t>
                      </w:r>
                      <w:r>
                        <w:rPr>
                          <w:rFonts w:hint="eastAsia"/>
                          <w:b/>
                          <w:bCs/>
                          <w:color w:val="FFFF00"/>
                          <w:lang w:eastAsia="zh-CN"/>
                        </w:rPr>
                        <w:t>路</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4212590</wp:posOffset>
                </wp:positionH>
                <wp:positionV relativeFrom="paragraph">
                  <wp:posOffset>2179955</wp:posOffset>
                </wp:positionV>
                <wp:extent cx="1114425" cy="438150"/>
                <wp:effectExtent l="0" t="0" r="0" b="0"/>
                <wp:wrapNone/>
                <wp:docPr id="1061" name="文本框 124"/>
                <wp:cNvGraphicFramePr/>
                <a:graphic xmlns:a="http://schemas.openxmlformats.org/drawingml/2006/main">
                  <a:graphicData uri="http://schemas.microsoft.com/office/word/2010/wordprocessingShape">
                    <wps:wsp>
                      <wps:cNvSpPr/>
                      <wps:spPr>
                        <a:xfrm>
                          <a:off x="0" y="0"/>
                          <a:ext cx="1114425" cy="438150"/>
                        </a:xfrm>
                        <a:prstGeom prst="rect">
                          <a:avLst/>
                        </a:prstGeom>
                        <a:ln>
                          <a:noFill/>
                        </a:ln>
                      </wps:spPr>
                      <wps:txbx>
                        <w:txbxContent>
                          <w:p w14:paraId="62B21780">
                            <w:pPr>
                              <w:rPr>
                                <w:rFonts w:hint="eastAsia" w:eastAsia="宋体"/>
                                <w:b/>
                                <w:bCs/>
                                <w:color w:val="FFFF00"/>
                                <w:lang w:eastAsia="zh-CN"/>
                              </w:rPr>
                            </w:pPr>
                            <w:r>
                              <w:rPr>
                                <w:rFonts w:hint="eastAsia"/>
                                <w:b/>
                                <w:bCs/>
                                <w:color w:val="FFFF00"/>
                                <w:lang w:val="en-US" w:eastAsia="zh-CN"/>
                              </w:rPr>
                              <w:t>本</w:t>
                            </w:r>
                            <w:r>
                              <w:rPr>
                                <w:rFonts w:hint="eastAsia"/>
                                <w:b/>
                                <w:bCs/>
                                <w:color w:val="FFFF00"/>
                                <w:lang w:eastAsia="zh-CN"/>
                              </w:rPr>
                              <w:t>项目位置</w:t>
                            </w:r>
                          </w:p>
                        </w:txbxContent>
                      </wps:txbx>
                      <wps:bodyPr vert="horz" wrap="square" lIns="91440" tIns="45720" rIns="91440" bIns="45720" anchor="t">
                        <a:noAutofit/>
                      </wps:bodyPr>
                    </wps:wsp>
                  </a:graphicData>
                </a:graphic>
              </wp:anchor>
            </w:drawing>
          </mc:Choice>
          <mc:Fallback>
            <w:pict>
              <v:rect id="文本框 124" o:spid="_x0000_s1026" o:spt="1" style="position:absolute;left:0pt;margin-left:331.7pt;margin-top:171.65pt;height:34.5pt;width:87.75pt;z-index:251659264;mso-width-relative:page;mso-height-relative:page;" filled="f" stroked="f" coordsize="21600,21600" o:gfxdata="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tHCbncAAAACwEAAA8A&#10;AAAAAAAAAQAgAAAAIgAAAGRycy9kb3ducmV2LnhtbFBLAQIUABQAAAAIAIdO4kDma0N82gEAAKUD&#10;AAAOAAAAAAAAAAEAIAAAACsBAABkcnMvZTJvRG9jLnhtbFBLBQYAAAAABgAGAFkBAAB3BQAAAAA=&#10;">
                <v:fill on="f" focussize="0,0"/>
                <v:stroke on="f"/>
                <v:imagedata o:title=""/>
                <o:lock v:ext="edit" aspectratio="f"/>
                <v:textbox>
                  <w:txbxContent>
                    <w:p w14:paraId="62B21780">
                      <w:pPr>
                        <w:rPr>
                          <w:rFonts w:hint="eastAsia" w:eastAsia="宋体"/>
                          <w:b/>
                          <w:bCs/>
                          <w:color w:val="FFFF00"/>
                          <w:lang w:eastAsia="zh-CN"/>
                        </w:rPr>
                      </w:pPr>
                      <w:r>
                        <w:rPr>
                          <w:rFonts w:hint="eastAsia"/>
                          <w:b/>
                          <w:bCs/>
                          <w:color w:val="FFFF00"/>
                          <w:lang w:val="en-US" w:eastAsia="zh-CN"/>
                        </w:rPr>
                        <w:t>本</w:t>
                      </w:r>
                      <w:r>
                        <w:rPr>
                          <w:rFonts w:hint="eastAsia"/>
                          <w:b/>
                          <w:bCs/>
                          <w:color w:val="FFFF00"/>
                          <w:lang w:eastAsia="zh-CN"/>
                        </w:rPr>
                        <w:t>项目位置</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5866130</wp:posOffset>
                </wp:positionH>
                <wp:positionV relativeFrom="paragraph">
                  <wp:posOffset>1664970</wp:posOffset>
                </wp:positionV>
                <wp:extent cx="1071880" cy="461010"/>
                <wp:effectExtent l="0" t="0" r="0" b="0"/>
                <wp:wrapNone/>
                <wp:docPr id="1062" name="文本框 164"/>
                <wp:cNvGraphicFramePr/>
                <a:graphic xmlns:a="http://schemas.openxmlformats.org/drawingml/2006/main">
                  <a:graphicData uri="http://schemas.microsoft.com/office/word/2010/wordprocessingShape">
                    <wps:wsp>
                      <wps:cNvSpPr/>
                      <wps:spPr>
                        <a:xfrm>
                          <a:off x="0" y="0"/>
                          <a:ext cx="1071880" cy="461010"/>
                        </a:xfrm>
                        <a:prstGeom prst="rect">
                          <a:avLst/>
                        </a:prstGeom>
                        <a:ln>
                          <a:noFill/>
                        </a:ln>
                      </wps:spPr>
                      <wps:txbx>
                        <w:txbxContent>
                          <w:p w14:paraId="79F37F39">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4" o:spid="_x0000_s1026" o:spt="1" style="position:absolute;left:0pt;margin-left:461.9pt;margin-top:131.1pt;height:36.3pt;width:84.4pt;z-index:251659264;mso-width-relative:page;mso-height-relative:page;" filled="f" stroked="f" coordsize="21600,21600" o:gfxdata="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hMAfvcAAAADAEAAA8A&#10;AAAAAAAAAQAgAAAAIgAAAGRycy9kb3ducmV2LnhtbFBLAQIUABQAAAAIAIdO4kDfvR9A2gEAAKUD&#10;AAAOAAAAAAAAAAEAIAAAACsBAABkcnMvZTJvRG9jLnhtbFBLBQYAAAAABgAGAFkBAAB3BQAAAAA=&#10;">
                <v:fill on="f" focussize="0,0"/>
                <v:stroke on="f"/>
                <v:imagedata o:title=""/>
                <o:lock v:ext="edit" aspectratio="f"/>
                <v:textbox>
                  <w:txbxContent>
                    <w:p w14:paraId="79F37F39">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3365500</wp:posOffset>
                </wp:positionH>
                <wp:positionV relativeFrom="paragraph">
                  <wp:posOffset>1157605</wp:posOffset>
                </wp:positionV>
                <wp:extent cx="1981835" cy="492125"/>
                <wp:effectExtent l="0" t="0" r="0" b="0"/>
                <wp:wrapNone/>
                <wp:docPr id="1063" name="文本框 162"/>
                <wp:cNvGraphicFramePr/>
                <a:graphic xmlns:a="http://schemas.openxmlformats.org/drawingml/2006/main">
                  <a:graphicData uri="http://schemas.microsoft.com/office/word/2010/wordprocessingShape">
                    <wps:wsp>
                      <wps:cNvSpPr/>
                      <wps:spPr>
                        <a:xfrm>
                          <a:off x="0" y="0"/>
                          <a:ext cx="1981834" cy="492124"/>
                        </a:xfrm>
                        <a:prstGeom prst="rect">
                          <a:avLst/>
                        </a:prstGeom>
                        <a:ln>
                          <a:noFill/>
                        </a:ln>
                      </wps:spPr>
                      <wps:txbx>
                        <w:txbxContent>
                          <w:p w14:paraId="4261F532">
                            <w:pPr>
                              <w:rPr>
                                <w:rFonts w:hint="default"/>
                                <w:b/>
                                <w:bCs/>
                                <w:color w:val="FFFF00"/>
                                <w:lang w:val="en-US" w:eastAsia="zh-CN"/>
                              </w:rPr>
                            </w:pPr>
                            <w:r>
                              <w:rPr>
                                <w:rFonts w:hint="eastAsia"/>
                                <w:b/>
                                <w:bCs/>
                                <w:color w:val="FFFF00"/>
                                <w:lang w:val="en-US" w:eastAsia="zh-CN"/>
                              </w:rPr>
                              <w:t>闲置厂房</w:t>
                            </w:r>
                          </w:p>
                        </w:txbxContent>
                      </wps:txbx>
                      <wps:bodyPr vert="horz" wrap="square" lIns="91440" tIns="45720" rIns="91440" bIns="45720" anchor="t">
                        <a:noAutofit/>
                      </wps:bodyPr>
                    </wps:wsp>
                  </a:graphicData>
                </a:graphic>
              </wp:anchor>
            </w:drawing>
          </mc:Choice>
          <mc:Fallback>
            <w:pict>
              <v:rect id="文本框 162" o:spid="_x0000_s1026" o:spt="1" style="position:absolute;left:0pt;margin-left:265pt;margin-top:91.15pt;height:38.75pt;width:156.05pt;z-index:251659264;mso-width-relative:page;mso-height-relative:page;" filled="f" stroked="f" coordsize="21600,21600" o:gfxdata="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H0hd/3AAAAAsBAAAP&#10;AAAAAAAAAAEAIAAAACIAAABkcnMvZG93bnJldi54bWxQSwECFAAUAAAACACHTuJA6P13ANsBAACl&#10;AwAADgAAAAAAAAABACAAAAArAQAAZHJzL2Uyb0RvYy54bWxQSwUGAAAAAAYABgBZAQAAeAUAAAAA&#10;">
                <v:fill on="f" focussize="0,0"/>
                <v:stroke on="f"/>
                <v:imagedata o:title=""/>
                <o:lock v:ext="edit" aspectratio="f"/>
                <v:textbox>
                  <w:txbxContent>
                    <w:p w14:paraId="4261F532">
                      <w:pPr>
                        <w:rPr>
                          <w:rFonts w:hint="default"/>
                          <w:b/>
                          <w:bCs/>
                          <w:color w:val="FFFF00"/>
                          <w:lang w:val="en-US" w:eastAsia="zh-CN"/>
                        </w:rPr>
                      </w:pPr>
                      <w:r>
                        <w:rPr>
                          <w:rFonts w:hint="eastAsia"/>
                          <w:b/>
                          <w:bCs/>
                          <w:color w:val="FFFF00"/>
                          <w:lang w:val="en-US" w:eastAsia="zh-CN"/>
                        </w:rPr>
                        <w:t>闲置厂房</w:t>
                      </w:r>
                    </w:p>
                  </w:txbxContent>
                </v:textbox>
              </v:rect>
            </w:pict>
          </mc:Fallback>
        </mc:AlternateContent>
      </w:r>
      <w:r>
        <w:drawing>
          <wp:inline distT="0" distB="0" distL="0" distR="0">
            <wp:extent cx="8801100" cy="5258435"/>
            <wp:effectExtent l="0" t="0" r="0" b="18415"/>
            <wp:docPr id="1064" name="图片 7"/>
            <wp:cNvGraphicFramePr/>
            <a:graphic xmlns:a="http://schemas.openxmlformats.org/drawingml/2006/main">
              <a:graphicData uri="http://schemas.openxmlformats.org/drawingml/2006/picture">
                <pic:pic xmlns:pic="http://schemas.openxmlformats.org/drawingml/2006/picture">
                  <pic:nvPicPr>
                    <pic:cNvPr id="1064" name="图片 7"/>
                    <pic:cNvPicPr/>
                  </pic:nvPicPr>
                  <pic:blipFill>
                    <a:blip r:embed="rId29" cstate="print"/>
                    <a:srcRect/>
                    <a:stretch>
                      <a:fillRect/>
                    </a:stretch>
                  </pic:blipFill>
                  <pic:spPr>
                    <a:xfrm>
                      <a:off x="0" y="0"/>
                      <a:ext cx="8801100" cy="5258435"/>
                    </a:xfrm>
                    <a:prstGeom prst="rect">
                      <a:avLst/>
                    </a:prstGeom>
                    <a:ln>
                      <a:noFill/>
                    </a:ln>
                  </pic:spPr>
                </pic:pic>
              </a:graphicData>
            </a:graphic>
          </wp:inline>
        </w:drawing>
      </w:r>
    </w:p>
    <w:p w14:paraId="190E0971">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3" w:name="_Toc4699"/>
      <w:bookmarkStart w:id="134" w:name="_Toc21909"/>
      <w:bookmarkStart w:id="135" w:name="_Toc15681"/>
      <w:r>
        <w:rPr>
          <w:rFonts w:hint="default" w:ascii="Times New Roman" w:hAnsi="Times New Roman" w:cs="Times New Roman"/>
          <w:b/>
          <w:bCs/>
          <w:color w:val="000000"/>
          <w:sz w:val="24"/>
          <w:szCs w:val="24"/>
          <w:highlight w:val="none"/>
          <w:lang w:eastAsia="zh-CN"/>
        </w:rPr>
        <w:t>车间</w:t>
      </w:r>
      <w:r>
        <w:rPr>
          <w:rFonts w:hint="default" w:ascii="Times New Roman" w:hAnsi="Times New Roman" w:eastAsia="宋体" w:cs="Times New Roman"/>
          <w:b/>
          <w:bCs/>
          <w:color w:val="000000"/>
          <w:sz w:val="24"/>
          <w:szCs w:val="24"/>
          <w:highlight w:val="none"/>
          <w:lang w:eastAsia="zh-CN"/>
        </w:rPr>
        <w:t>平面布置图</w:t>
      </w:r>
      <w:bookmarkEnd w:id="133"/>
      <w:bookmarkEnd w:id="134"/>
    </w:p>
    <w:p w14:paraId="17A6BB26">
      <w:pPr>
        <w:pStyle w:val="44"/>
        <w:rPr>
          <w:rFonts w:hint="default"/>
          <w:lang w:eastAsia="zh-CN"/>
        </w:rPr>
      </w:pPr>
      <w:r>
        <w:drawing>
          <wp:inline distT="0" distB="0" distL="114300" distR="114300">
            <wp:extent cx="8134350" cy="4886325"/>
            <wp:effectExtent l="9525" t="9525" r="9525" b="19050"/>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30"/>
                    <a:stretch>
                      <a:fillRect/>
                    </a:stretch>
                  </pic:blipFill>
                  <pic:spPr>
                    <a:xfrm>
                      <a:off x="0" y="0"/>
                      <a:ext cx="8134350" cy="4886325"/>
                    </a:xfrm>
                    <a:prstGeom prst="rect">
                      <a:avLst/>
                    </a:prstGeom>
                    <a:noFill/>
                    <a:ln>
                      <a:solidFill>
                        <a:schemeClr val="tx1"/>
                      </a:solidFill>
                    </a:ln>
                  </pic:spPr>
                </pic:pic>
              </a:graphicData>
            </a:graphic>
          </wp:inline>
        </w:drawing>
      </w:r>
    </w:p>
    <w:p w14:paraId="051BE347">
      <w:pPr>
        <w:pStyle w:val="44"/>
        <w:jc w:val="center"/>
        <w:rPr>
          <w:rFonts w:hint="eastAsia" w:ascii="Times New Roman" w:hAnsi="Times New Roman" w:eastAsia="宋体" w:cs="Times New Roman"/>
          <w:color w:val="000000"/>
          <w:highlight w:val="none"/>
          <w:lang w:eastAsia="zh-CN"/>
        </w:rPr>
      </w:pPr>
    </w:p>
    <w:p w14:paraId="3B6CFD44">
      <w:pP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135"/>
    <w:p w14:paraId="0BF3AC24">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6" w:name="_Toc23056"/>
      <w:bookmarkStart w:id="137" w:name="_Toc22812"/>
      <w:bookmarkStart w:id="138" w:name="_Toc31546"/>
      <w:r>
        <w:rPr>
          <w:rFonts w:hint="default" w:ascii="Times New Roman" w:hAnsi="Times New Roman" w:eastAsia="宋体" w:cs="Times New Roman"/>
          <w:b/>
          <w:bCs/>
          <w:color w:val="000000"/>
          <w:sz w:val="24"/>
          <w:szCs w:val="24"/>
          <w:highlight w:val="none"/>
          <w:lang w:eastAsia="zh-CN"/>
        </w:rPr>
        <w:t>环境保护目标分布图</w:t>
      </w:r>
      <w:bookmarkEnd w:id="136"/>
      <w:bookmarkEnd w:id="137"/>
      <w:bookmarkEnd w:id="138"/>
    </w:p>
    <w:p w14:paraId="1879FD59">
      <w:pPr>
        <w:pStyle w:val="2"/>
        <w:jc w:val="center"/>
        <w:rPr>
          <w:rFonts w:hint="default" w:ascii="Times New Roman" w:hAnsi="Times New Roman" w:cs="Times New Roman"/>
          <w:color w:val="000000"/>
          <w:sz w:val="21"/>
          <w:highlight w:val="none"/>
        </w:rPr>
      </w:pPr>
      <w:r>
        <w:rPr>
          <w:color w:val="000000"/>
          <w:sz w:val="24"/>
          <w:highlight w:val="none"/>
        </w:rPr>
        <mc:AlternateContent>
          <mc:Choice Requires="wps">
            <w:drawing>
              <wp:anchor distT="0" distB="0" distL="0" distR="0" simplePos="0" relativeHeight="251662336" behindDoc="0" locked="0" layoutInCell="1" allowOverlap="1">
                <wp:simplePos x="0" y="0"/>
                <wp:positionH relativeFrom="column">
                  <wp:posOffset>4569460</wp:posOffset>
                </wp:positionH>
                <wp:positionV relativeFrom="paragraph">
                  <wp:posOffset>3107690</wp:posOffset>
                </wp:positionV>
                <wp:extent cx="1014730" cy="429895"/>
                <wp:effectExtent l="127635" t="6350" r="19685" b="20955"/>
                <wp:wrapNone/>
                <wp:docPr id="34" name="圆角矩形标注 132"/>
                <wp:cNvGraphicFramePr/>
                <a:graphic xmlns:a="http://schemas.openxmlformats.org/drawingml/2006/main">
                  <a:graphicData uri="http://schemas.microsoft.com/office/word/2010/wordprocessingShape">
                    <wps:wsp>
                      <wps:cNvSpPr/>
                      <wps:spPr>
                        <a:xfrm>
                          <a:off x="0" y="0"/>
                          <a:ext cx="1014730" cy="429895"/>
                        </a:xfrm>
                        <a:prstGeom prst="wedgeRoundRectCallout">
                          <a:avLst>
                            <a:gd name="adj1" fmla="val -61024"/>
                            <a:gd name="adj2" fmla="val 32570"/>
                            <a:gd name="adj3" fmla="val 16667"/>
                          </a:avLst>
                        </a:prstGeom>
                        <a:solidFill>
                          <a:srgbClr val="FFFFFF"/>
                        </a:solidFill>
                        <a:ln w="12700" cap="flat" cmpd="sng">
                          <a:solidFill>
                            <a:srgbClr val="FFFFFF"/>
                          </a:solidFill>
                          <a:prstDash val="solid"/>
                          <a:miter/>
                        </a:ln>
                      </wps:spPr>
                      <wps:txbx>
                        <w:txbxContent>
                          <w:p w14:paraId="1FA3E242">
                            <w:pPr>
                              <w:jc w:val="center"/>
                              <w:rPr>
                                <w:rFonts w:hint="default" w:eastAsia="宋体"/>
                                <w:color w:val="000000"/>
                                <w:lang w:val="en-US" w:eastAsia="zh-CN"/>
                              </w:rPr>
                            </w:pPr>
                            <w:r>
                              <w:rPr>
                                <w:rFonts w:hint="eastAsia"/>
                                <w:color w:val="000000"/>
                                <w:lang w:val="en-US" w:eastAsia="zh-CN"/>
                              </w:rPr>
                              <w:t>距离490m</w:t>
                            </w:r>
                          </w:p>
                        </w:txbxContent>
                      </wps:txbx>
                      <wps:bodyPr vert="horz" wrap="square" lIns="91440" tIns="45720" rIns="91440" bIns="45720" anchor="ctr">
                        <a:noAutofit/>
                      </wps:bodyPr>
                    </wps:wsp>
                  </a:graphicData>
                </a:graphic>
              </wp:anchor>
            </w:drawing>
          </mc:Choice>
          <mc:Fallback>
            <w:pict>
              <v:shape id="圆角矩形标注 132" o:spid="_x0000_s1026" o:spt="62" type="#_x0000_t62" style="position:absolute;left:0pt;margin-left:359.8pt;margin-top:244.7pt;height:33.85pt;width:79.9pt;z-index:251662336;v-text-anchor:middle;mso-width-relative:page;mso-height-relative:page;" fillcolor="#FFFFFF" filled="t" stroked="t" coordsize="21600,21600" o:gfxdata="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eqFCc2wAAAAsBAAAPAAAAAAAAAAEAIAAAACIAAABkcnMvZG93bnJldi54bWxQ&#10;SwECFAAUAAAACACHTuJA7xo1VmYCAADVBAAADgAAAAAAAAABACAAAAAqAQAAZHJzL2Uyb0RvYy54&#10;bWxQSwUGAAAAAAYABgBZAQAAAgYAAAAA&#10;" adj="-2381,17835,14400">
                <v:fill on="t" focussize="0,0"/>
                <v:stroke weight="1pt" color="#FFFFFF" joinstyle="miter"/>
                <v:imagedata o:title=""/>
                <o:lock v:ext="edit" aspectratio="f"/>
                <v:textbox>
                  <w:txbxContent>
                    <w:p w14:paraId="1FA3E242">
                      <w:pPr>
                        <w:jc w:val="center"/>
                        <w:rPr>
                          <w:rFonts w:hint="default" w:eastAsia="宋体"/>
                          <w:color w:val="000000"/>
                          <w:lang w:val="en-US" w:eastAsia="zh-CN"/>
                        </w:rPr>
                      </w:pPr>
                      <w:r>
                        <w:rPr>
                          <w:rFonts w:hint="eastAsia"/>
                          <w:color w:val="000000"/>
                          <w:lang w:val="en-US" w:eastAsia="zh-CN"/>
                        </w:rPr>
                        <w:t>距离490m</w:t>
                      </w:r>
                    </w:p>
                  </w:txbxContent>
                </v:textbox>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4361180</wp:posOffset>
                </wp:positionH>
                <wp:positionV relativeFrom="paragraph">
                  <wp:posOffset>2487930</wp:posOffset>
                </wp:positionV>
                <wp:extent cx="137160" cy="1784985"/>
                <wp:effectExtent l="12700" t="1270" r="59690" b="4445"/>
                <wp:wrapNone/>
                <wp:docPr id="33" name="直接箭头连接符 33"/>
                <wp:cNvGraphicFramePr/>
                <a:graphic xmlns:a="http://schemas.openxmlformats.org/drawingml/2006/main">
                  <a:graphicData uri="http://schemas.microsoft.com/office/word/2010/wordprocessingShape">
                    <wps:wsp>
                      <wps:cNvCnPr/>
                      <wps:spPr>
                        <a:xfrm>
                          <a:off x="5361305" y="3871595"/>
                          <a:ext cx="137160" cy="1784985"/>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43.4pt;margin-top:195.9pt;height:140.55pt;width:10.8pt;z-index:251661312;mso-width-relative:page;mso-height-relative:page;" filled="f" stroked="t" coordsize="21600,21600" o:gfxdata="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Os3f9oAAAALAQAADwAAAAAAAAAB&#10;ACAAAAAiAAAAZHJzL2Rvd25yZXYueG1sUEsBAhQAFAAAAAgAh07iQLWykQoOAgAA2wMAAA4AAAAA&#10;AAAAAQAgAAAAKQEAAGRycy9lMm9Eb2MueG1sUEsFBgAAAAAGAAYAWQEAAKkFAAAAAA==&#10;">
                <v:fill on="f" focussize="0,0"/>
                <v:stroke weight="2pt" color="#FFFF00 [3204]" joinstyle="round"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7840345</wp:posOffset>
            </wp:positionH>
            <wp:positionV relativeFrom="paragraph">
              <wp:posOffset>97155</wp:posOffset>
            </wp:positionV>
            <wp:extent cx="958215" cy="977900"/>
            <wp:effectExtent l="0" t="0" r="13334" b="12700"/>
            <wp:wrapNone/>
            <wp:docPr id="1066" name="图片 2"/>
            <wp:cNvGraphicFramePr/>
            <a:graphic xmlns:a="http://schemas.openxmlformats.org/drawingml/2006/main">
              <a:graphicData uri="http://schemas.openxmlformats.org/drawingml/2006/picture">
                <pic:pic xmlns:pic="http://schemas.openxmlformats.org/drawingml/2006/picture">
                  <pic:nvPicPr>
                    <pic:cNvPr id="1066" name="图片 2"/>
                    <pic:cNvPicPr/>
                  </pic:nvPicPr>
                  <pic:blipFill>
                    <a:blip r:embed="rId27" cstate="print"/>
                    <a:srcRect/>
                    <a:stretch>
                      <a:fillRect/>
                    </a:stretch>
                  </pic:blipFill>
                  <pic:spPr>
                    <a:xfrm>
                      <a:off x="0" y="0"/>
                      <a:ext cx="958215" cy="977900"/>
                    </a:xfrm>
                    <a:prstGeom prst="rect">
                      <a:avLst/>
                    </a:prstGeom>
                    <a:ln>
                      <a:noFill/>
                    </a:ln>
                  </pic:spPr>
                </pic:pic>
              </a:graphicData>
            </a:graphic>
          </wp:anchor>
        </w:drawing>
      </w:r>
      <w:r>
        <w:rPr>
          <w:color w:val="000000"/>
          <w:sz w:val="24"/>
          <w:highlight w:val="none"/>
        </w:rPr>
        <mc:AlternateContent>
          <mc:Choice Requires="wps">
            <w:drawing>
              <wp:anchor distT="0" distB="0" distL="0" distR="0" simplePos="0" relativeHeight="251660288" behindDoc="0" locked="0" layoutInCell="1" allowOverlap="1">
                <wp:simplePos x="0" y="0"/>
                <wp:positionH relativeFrom="column">
                  <wp:posOffset>2157095</wp:posOffset>
                </wp:positionH>
                <wp:positionV relativeFrom="paragraph">
                  <wp:posOffset>3996690</wp:posOffset>
                </wp:positionV>
                <wp:extent cx="898525" cy="429895"/>
                <wp:effectExtent l="6350" t="6350" r="447675" b="20955"/>
                <wp:wrapNone/>
                <wp:docPr id="32" name="圆角矩形标注 132"/>
                <wp:cNvGraphicFramePr/>
                <a:graphic xmlns:a="http://schemas.openxmlformats.org/drawingml/2006/main">
                  <a:graphicData uri="http://schemas.microsoft.com/office/word/2010/wordprocessingShape">
                    <wps:wsp>
                      <wps:cNvSpPr/>
                      <wps:spPr>
                        <a:xfrm>
                          <a:off x="0" y="0"/>
                          <a:ext cx="898525" cy="429895"/>
                        </a:xfrm>
                        <a:prstGeom prst="wedgeRoundRectCallout">
                          <a:avLst>
                            <a:gd name="adj1" fmla="val 93321"/>
                            <a:gd name="adj2" fmla="val 32422"/>
                            <a:gd name="adj3" fmla="val 16667"/>
                          </a:avLst>
                        </a:prstGeom>
                        <a:solidFill>
                          <a:srgbClr val="FFFFFF"/>
                        </a:solidFill>
                        <a:ln w="12700" cap="flat" cmpd="sng">
                          <a:solidFill>
                            <a:srgbClr val="FFFFFF"/>
                          </a:solidFill>
                          <a:prstDash val="solid"/>
                          <a:miter/>
                        </a:ln>
                      </wps:spPr>
                      <wps:txbx>
                        <w:txbxContent>
                          <w:p w14:paraId="37F7C860">
                            <w:pPr>
                              <w:jc w:val="center"/>
                              <w:rPr>
                                <w:rFonts w:hint="default" w:eastAsia="宋体"/>
                                <w:color w:val="000000"/>
                                <w:lang w:val="en-US" w:eastAsia="zh-CN"/>
                              </w:rPr>
                            </w:pPr>
                            <w:r>
                              <w:rPr>
                                <w:rFonts w:hint="eastAsia"/>
                                <w:color w:val="000000"/>
                                <w:lang w:val="en-US" w:eastAsia="zh-CN"/>
                              </w:rPr>
                              <w:t>乐园小学</w:t>
                            </w:r>
                          </w:p>
                        </w:txbxContent>
                      </wps:txbx>
                      <wps:bodyPr vert="horz" wrap="square" lIns="91440" tIns="45720" rIns="91440" bIns="45720" anchor="ctr">
                        <a:noAutofit/>
                      </wps:bodyPr>
                    </wps:wsp>
                  </a:graphicData>
                </a:graphic>
              </wp:anchor>
            </w:drawing>
          </mc:Choice>
          <mc:Fallback>
            <w:pict>
              <v:shape id="圆角矩形标注 132" o:spid="_x0000_s1026" o:spt="62" type="#_x0000_t62" style="position:absolute;left:0pt;margin-left:169.85pt;margin-top:314.7pt;height:33.85pt;width:70.75pt;z-index:251660288;v-text-anchor:middle;mso-width-relative:page;mso-height-relative:page;" fillcolor="#FFFFFF" filled="t" stroked="t" coordsize="21600,21600" o:gfxdata="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7n50w3QAAAAsBAAAPAAAAAAAAAAEAIAAAACIAAABkcnMvZG93bnJldi54&#10;bWxQSwECFAAUAAAACACHTuJAEWHR+GcCAADTBAAADgAAAAAAAAABACAAAAAsAQAAZHJzL2Uyb0Rv&#10;Yy54bWxQSwUGAAAAAAYABgBZAQAABQYAAAAA&#10;" adj="30957,17803,14400">
                <v:fill on="t" focussize="0,0"/>
                <v:stroke weight="1pt" color="#FFFFFF" joinstyle="miter"/>
                <v:imagedata o:title=""/>
                <o:lock v:ext="edit" aspectratio="f"/>
                <v:textbox>
                  <w:txbxContent>
                    <w:p w14:paraId="37F7C860">
                      <w:pPr>
                        <w:jc w:val="center"/>
                        <w:rPr>
                          <w:rFonts w:hint="default" w:eastAsia="宋体"/>
                          <w:color w:val="000000"/>
                          <w:lang w:val="en-US" w:eastAsia="zh-CN"/>
                        </w:rPr>
                      </w:pPr>
                      <w:r>
                        <w:rPr>
                          <w:rFonts w:hint="eastAsia"/>
                          <w:color w:val="000000"/>
                          <w:lang w:val="en-US" w:eastAsia="zh-CN"/>
                        </w:rPr>
                        <w:t>乐园小学</w:t>
                      </w:r>
                    </w:p>
                  </w:txbxContent>
                </v:textbox>
              </v:shape>
            </w:pict>
          </mc:Fallback>
        </mc:AlternateContent>
      </w:r>
      <w:r>
        <w:drawing>
          <wp:inline distT="0" distB="0" distL="114300" distR="114300">
            <wp:extent cx="8793480" cy="5372100"/>
            <wp:effectExtent l="9525" t="9525" r="17145" b="952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31"/>
                    <a:srcRect t="4837"/>
                    <a:stretch>
                      <a:fillRect/>
                    </a:stretch>
                  </pic:blipFill>
                  <pic:spPr>
                    <a:xfrm>
                      <a:off x="0" y="0"/>
                      <a:ext cx="8793480" cy="5372100"/>
                    </a:xfrm>
                    <a:prstGeom prst="rect">
                      <a:avLst/>
                    </a:prstGeom>
                    <a:noFill/>
                    <a:ln>
                      <a:solidFill>
                        <a:schemeClr val="tx1"/>
                      </a:solidFill>
                    </a:ln>
                  </pic:spPr>
                </pic:pic>
              </a:graphicData>
            </a:graphic>
          </wp:inline>
        </w:drawing>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5151755</wp:posOffset>
                </wp:positionH>
                <wp:positionV relativeFrom="paragraph">
                  <wp:posOffset>3616325</wp:posOffset>
                </wp:positionV>
                <wp:extent cx="635" cy="635"/>
                <wp:effectExtent l="0" t="0" r="0" b="0"/>
                <wp:wrapNone/>
                <wp:docPr id="1070" name="墨迹 16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2">
                          <w14:nvContentPartPr>
                            <w14:cNvPr id="1070" name="墨迹 161"/>
                            <w14:cNvContentPartPr/>
                          </w14:nvContentPartPr>
                          <w14:xfrm>
                            <a:off x="0" y="0"/>
                            <a:ext cx="634" cy="634"/>
                          </w14:xfrm>
                        </w14:contentPart>
                      </mc:Choice>
                    </mc:AlternateContent>
                  </a:graphicData>
                </a:graphic>
              </wp:anchor>
            </w:drawing>
          </mc:Choice>
          <mc:Fallback>
            <w:pict>
              <v:shape id="墨迹 161" o:spid="_x0000_s1026" o:spt="75" style="position:absolute;left:0pt;margin-left:405.65pt;margin-top:284.75pt;height:0.05pt;width:0.05pt;z-index:251659264;mso-width-relative:page;mso-height-relative:page;" coordsize="21600,21600" o:gfxdata="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4818380</wp:posOffset>
                </wp:positionH>
                <wp:positionV relativeFrom="paragraph">
                  <wp:posOffset>3616325</wp:posOffset>
                </wp:positionV>
                <wp:extent cx="635" cy="635"/>
                <wp:effectExtent l="0" t="0" r="0" b="0"/>
                <wp:wrapNone/>
                <wp:docPr id="1071" name="墨迹 1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34">
                          <w14:nvContentPartPr>
                            <w14:cNvPr id="1071" name="墨迹 158"/>
                            <w14:cNvContentPartPr/>
                          </w14:nvContentPartPr>
                          <w14:xfrm>
                            <a:off x="0" y="0"/>
                            <a:ext cx="634" cy="634"/>
                          </w14:xfrm>
                        </w14:contentPart>
                      </mc:Choice>
                    </mc:AlternateContent>
                  </a:graphicData>
                </a:graphic>
              </wp:anchor>
            </w:drawing>
          </mc:Choice>
          <mc:Fallback>
            <w:pict>
              <v:shape id="墨迹 158" o:spid="_x0000_s1026" o:spt="75" style="position:absolute;left:0pt;margin-left:379.4pt;margin-top:284.75pt;height:0.05pt;width:0.05pt;z-index:251659264;mso-width-relative:page;mso-height-relative:page;" coordsize="21600,21600" o:gfxdata="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5123180</wp:posOffset>
                </wp:positionH>
                <wp:positionV relativeFrom="paragraph">
                  <wp:posOffset>3711575</wp:posOffset>
                </wp:positionV>
                <wp:extent cx="635" cy="635"/>
                <wp:effectExtent l="0" t="0" r="0" b="0"/>
                <wp:wrapNone/>
                <wp:docPr id="1072" name="墨迹 1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35">
                          <w14:nvContentPartPr>
                            <w14:cNvPr id="1072" name="墨迹 156"/>
                            <w14:cNvContentPartPr/>
                          </w14:nvContentPartPr>
                          <w14:xfrm>
                            <a:off x="0" y="0"/>
                            <a:ext cx="634" cy="634"/>
                          </w14:xfrm>
                        </w14:contentPart>
                      </mc:Choice>
                    </mc:AlternateContent>
                  </a:graphicData>
                </a:graphic>
              </wp:anchor>
            </w:drawing>
          </mc:Choice>
          <mc:Fallback>
            <w:pict>
              <v:shape id="墨迹 156" o:spid="_x0000_s1026" o:spt="75" style="position:absolute;left:0pt;margin-left:403.4pt;margin-top:292.25pt;height:0.05pt;width:0.05pt;z-index:251659264;mso-width-relative:page;mso-height-relative:page;" coordsize="21600,21600" o:gfxdata="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">
                <v:imagedata r:id="rId33" o:title=""/>
                <o:lock v:ext="edit"/>
              </v:shape>
            </w:pict>
          </mc:Fallback>
        </mc:AlternateContent>
      </w:r>
      <w:r>
        <w:rPr>
          <w:rFonts w:hint="default" w:ascii="Times New Roman" w:hAnsi="Times New Roman" w:cs="Times New Roman"/>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5132705</wp:posOffset>
                </wp:positionH>
                <wp:positionV relativeFrom="paragraph">
                  <wp:posOffset>3606800</wp:posOffset>
                </wp:positionV>
                <wp:extent cx="635" cy="635"/>
                <wp:effectExtent l="0" t="0" r="0" b="0"/>
                <wp:wrapNone/>
                <wp:docPr id="1073" name="墨迹 154"/>
                <wp:cNvGraphicFramePr/>
                <a:graphic xmlns:a="http://schemas.openxmlformats.org/drawingml/2006/main">
                  <a:graphicData uri="http://schemas.microsoft.com/office/word/2010/wordprocessingInk">
                    <mc:AlternateContent xmlns:a14="http://schemas.microsoft.com/office/drawing/2010/main">
                      <mc:Choice Requires="a14">
                        <w14:contentPart bwMode="auto" r:id="rId36">
                          <w14:nvContentPartPr>
                            <w14:cNvPr id="1073" name="墨迹 154"/>
                            <w14:cNvContentPartPr/>
                          </w14:nvContentPartPr>
                          <w14:xfrm>
                            <a:off x="0" y="0"/>
                            <a:ext cx="634" cy="634"/>
                          </w14:xfrm>
                        </w14:contentPart>
                      </mc:Choice>
                    </mc:AlternateContent>
                  </a:graphicData>
                </a:graphic>
              </wp:anchor>
            </w:drawing>
          </mc:Choice>
          <mc:Fallback>
            <w:pict>
              <v:shape id="墨迹 154" o:spid="_x0000_s1026" o:spt="75" style="position:absolute;left:0pt;margin-left:404.15pt;margin-top:284pt;height:0.05pt;width:0.05pt;z-index:251659264;mso-width-relative:page;mso-height-relative:page;" coordsize="21600,21600" o:gfxdata="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">
                <v:imagedata r:id="rId33" o:title=""/>
                <o:lock v:ext="edit"/>
              </v:shape>
            </w:pict>
          </mc:Fallback>
        </mc:AlternateContent>
      </w:r>
    </w:p>
    <w:p w14:paraId="72A93522">
      <w:pPr>
        <w:pStyle w:val="45"/>
        <w:numPr>
          <w:ilvl w:val="0"/>
          <w:numId w:val="14"/>
        </w:numPr>
        <w:adjustRightInd/>
        <w:spacing w:line="240" w:lineRule="auto"/>
        <w:ind w:leftChars="0" w:firstLineChars="0"/>
        <w:jc w:val="center"/>
        <w:textAlignment w:val="auto"/>
        <w:outlineLvl w:val="0"/>
        <w:rPr>
          <w:rFonts w:hint="default" w:ascii="Times New Roman" w:hAnsi="Times New Roman" w:eastAsia="宋体" w:cs="Times New Roman"/>
          <w:b/>
          <w:bCs/>
          <w:color w:val="000000"/>
          <w:sz w:val="24"/>
          <w:szCs w:val="24"/>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62E54D3">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39" w:name="_Toc23386"/>
      <w:bookmarkStart w:id="140" w:name="_Toc22115"/>
      <w:r>
        <w:rPr>
          <w:rFonts w:hint="default" w:ascii="Times New Roman" w:hAnsi="Times New Roman" w:eastAsia="宋体" w:cs="Times New Roman"/>
          <w:b/>
          <w:bCs/>
          <w:color w:val="000000"/>
          <w:sz w:val="24"/>
          <w:szCs w:val="24"/>
          <w:highlight w:val="none"/>
          <w:lang w:eastAsia="zh-CN"/>
        </w:rPr>
        <w:t>建设项目土地利用规划图</w:t>
      </w:r>
      <w:bookmarkEnd w:id="139"/>
      <w:bookmarkEnd w:id="140"/>
    </w:p>
    <w:p w14:paraId="541FFF6E">
      <w:pPr>
        <w:pStyle w:val="2"/>
        <w:jc w:val="center"/>
        <w:rPr>
          <w:rFonts w:hint="eastAsia" w:ascii="Times New Roman" w:hAnsi="Times New Roman" w:eastAsia="宋体" w:cs="Times New Roman"/>
          <w:color w:val="000000"/>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1938655</wp:posOffset>
                </wp:positionH>
                <wp:positionV relativeFrom="paragraph">
                  <wp:posOffset>1652270</wp:posOffset>
                </wp:positionV>
                <wp:extent cx="748030" cy="616585"/>
                <wp:effectExtent l="6350" t="6350" r="7620" b="24765"/>
                <wp:wrapNone/>
                <wp:docPr id="1074" name="组合 3"/>
                <wp:cNvGraphicFramePr/>
                <a:graphic xmlns:a="http://schemas.openxmlformats.org/drawingml/2006/main">
                  <a:graphicData uri="http://schemas.microsoft.com/office/word/2010/wordprocessingGroup">
                    <wpg:wgp>
                      <wpg:cNvGrpSpPr/>
                      <wpg:grpSpPr>
                        <a:xfrm rot="0">
                          <a:off x="0" y="0"/>
                          <a:ext cx="748029" cy="616585"/>
                          <a:chOff x="7798" y="1462678"/>
                          <a:chExt cx="1178" cy="971"/>
                        </a:xfrm>
                      </wpg:grpSpPr>
                      <wps:wsp>
                        <wps:cNvPr id="7" name="矩形标注 7"/>
                        <wps:cNvSpPr/>
                        <wps:spPr>
                          <a:xfrm>
                            <a:off x="7798" y="1462678"/>
                            <a:ext cx="1179" cy="475"/>
                          </a:xfrm>
                          <a:prstGeom prst="wedgeRectCallout">
                            <a:avLst>
                              <a:gd name="adj1" fmla="val -20729"/>
                              <a:gd name="adj2" fmla="val 125561"/>
                            </a:avLst>
                          </a:prstGeom>
                          <a:ln w="12700" cap="flat" cmpd="sng">
                            <a:solidFill>
                              <a:srgbClr val="FF0000"/>
                            </a:solidFill>
                            <a:prstDash val="solid"/>
                            <a:miter/>
                          </a:ln>
                        </wps:spPr>
                        <wps:txbx>
                          <w:txbxContent>
                            <w:p w14:paraId="5D973851">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wps:txbx>
                        <wps:bodyPr vert="horz" wrap="square" lIns="91440" tIns="45720" rIns="91440" bIns="45720" anchor="ctr">
                          <a:noAutofit/>
                        </wps:bodyPr>
                      </wps:wsp>
                      <wps:wsp>
                        <wps:cNvPr id="8" name="矩形 8"/>
                        <wps:cNvSpPr/>
                        <wps:spPr>
                          <a:xfrm>
                            <a:off x="7907" y="1463529"/>
                            <a:ext cx="272" cy="120"/>
                          </a:xfrm>
                          <a:prstGeom prst="rect">
                            <a:avLst/>
                          </a:prstGeom>
                          <a:ln w="12700" cap="flat" cmpd="sng">
                            <a:solidFill>
                              <a:srgbClr val="FF0000"/>
                            </a:solidFill>
                            <a:prstDash val="solid"/>
                            <a:miter/>
                          </a:ln>
                        </wps:spPr>
                        <wps:bodyPr/>
                      </wps:wsp>
                    </wpg:wgp>
                  </a:graphicData>
                </a:graphic>
              </wp:anchor>
            </w:drawing>
          </mc:Choice>
          <mc:Fallback>
            <w:pict>
              <v:group id="组合 3" o:spid="_x0000_s1026" o:spt="203" style="position:absolute;left:0pt;margin-left:152.65pt;margin-top:130.1pt;height:48.55pt;width:58.9pt;z-index:251659264;mso-width-relative:page;mso-height-relative:page;" coordorigin="7798,1462678" coordsize="1178,971" o:gfxdata="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sk1sWtoA&#10;AAALAQAADwAAAAAAAAABACAAAAAiAAAAZHJzL2Rvd25yZXYueG1sUEsBAhQAFAAAAAgAh07iQCnm&#10;1ucBAwAAXgcAAA4AAAAAAAAAAQAgAAAAKQEAAGRycy9lMm9Eb2MueG1sUEsFBgAAAAAGAAYAWQEA&#10;AJwGAAAAAA==&#10;">
                <o:lock v:ext="edit" aspectratio="f"/>
                <v:shape id="_x0000_s1026" o:spid="_x0000_s1026" o:spt="61" type="#_x0000_t61" style="position:absolute;left:7798;top:1462678;height:475;width:1179;v-text-anchor:middle;" filled="f" stroked="t" coordsize="21600,21600" o:gfxdata="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ckX/vQAA&#10;ANoAAAAPAAAAAAAAAAEAIAAAACIAAABkcnMvZG93bnJldi54bWxQSwECFAAUAAAACACHTuJAMy8F&#10;njsAAAA5AAAAEAAAAAAAAAABACAAAAAMAQAAZHJzL3NoYXBleG1sLnhtbFBLBQYAAAAABgAGAFsB&#10;AAC2AwAAAAA=&#10;" adj="6323,37921">
                  <v:fill on="f" focussize="0,0"/>
                  <v:stroke weight="1pt" color="#FF0000" joinstyle="miter"/>
                  <v:imagedata o:title=""/>
                  <o:lock v:ext="edit" aspectratio="f"/>
                  <v:textbox>
                    <w:txbxContent>
                      <w:p w14:paraId="5D973851">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v:textbox>
                </v:shape>
                <v:rect id="_x0000_s1026" o:spid="_x0000_s1026" o:spt="1" style="position:absolute;left:7907;top:1463529;height:120;width:272;" filled="f" stroked="t" coordsize="21600,21600" o:gfxdata="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pLPYm2AAAA2gAAAA8A&#10;AAAAAAAAAQAgAAAAIgAAAGRycy9kb3ducmV2LnhtbFBLAQIUABQAAAAIAIdO4kAzLwWeOwAAADkA&#10;AAAQAAAAAAAAAAEAIAAAAAUBAABkcnMvc2hhcGV4bWwueG1sUEsFBgAAAAAGAAYAWwEAAK8DAAAA&#10;AA==&#10;">
                  <v:fill on="f" focussize="0,0"/>
                  <v:stroke weight="1pt" color="#FF0000" joinstyle="miter"/>
                  <v:imagedata o:title=""/>
                  <o:lock v:ext="edit" aspectratio="f"/>
                </v:rect>
              </v:group>
            </w:pict>
          </mc:Fallback>
        </mc:AlternateContent>
      </w:r>
      <w:r>
        <w:rPr>
          <w:position w:val="-222"/>
        </w:rPr>
        <w:drawing>
          <wp:inline distT="0" distB="0" distL="0" distR="0">
            <wp:extent cx="5293360" cy="7061200"/>
            <wp:effectExtent l="0" t="0" r="2540" b="6350"/>
            <wp:docPr id="1077" name="IM 82"/>
            <wp:cNvGraphicFramePr/>
            <a:graphic xmlns:a="http://schemas.openxmlformats.org/drawingml/2006/main">
              <a:graphicData uri="http://schemas.openxmlformats.org/drawingml/2006/picture">
                <pic:pic xmlns:pic="http://schemas.openxmlformats.org/drawingml/2006/picture">
                  <pic:nvPicPr>
                    <pic:cNvPr id="1077" name="IM 82"/>
                    <pic:cNvPicPr/>
                  </pic:nvPicPr>
                  <pic:blipFill>
                    <a:blip r:embed="rId37" cstate="print"/>
                    <a:srcRect/>
                    <a:stretch>
                      <a:fillRect/>
                    </a:stretch>
                  </pic:blipFill>
                  <pic:spPr>
                    <a:xfrm>
                      <a:off x="0" y="0"/>
                      <a:ext cx="5293360" cy="7061200"/>
                    </a:xfrm>
                    <a:prstGeom prst="rect">
                      <a:avLst/>
                    </a:prstGeom>
                  </pic:spPr>
                </pic:pic>
              </a:graphicData>
            </a:graphic>
          </wp:inline>
        </w:drawing>
      </w:r>
    </w:p>
    <w:p w14:paraId="3B686FA1">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4BC64CD">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r>
        <w:rPr>
          <w:rFonts w:hint="default" w:ascii="Times New Roman" w:hAnsi="Times New Roman" w:eastAsia="宋体" w:cs="Times New Roman"/>
          <w:b/>
          <w:bCs/>
          <w:color w:val="000000"/>
          <w:sz w:val="24"/>
          <w:szCs w:val="24"/>
          <w:highlight w:val="none"/>
          <w:lang w:eastAsia="zh-CN"/>
        </w:rPr>
        <w:t xml:space="preserve"> </w:t>
      </w:r>
      <w:bookmarkStart w:id="141" w:name="_Toc12139"/>
      <w:r>
        <w:rPr>
          <w:rFonts w:hint="default" w:ascii="Times New Roman" w:hAnsi="Times New Roman" w:eastAsia="宋体" w:cs="Times New Roman"/>
          <w:b/>
          <w:bCs/>
          <w:color w:val="000000"/>
          <w:sz w:val="24"/>
          <w:szCs w:val="24"/>
          <w:highlight w:val="none"/>
          <w:lang w:eastAsia="zh-CN"/>
        </w:rPr>
        <w:t>韶关市乐昌开发区周边水系图</w:t>
      </w:r>
      <w:bookmarkEnd w:id="141"/>
    </w:p>
    <w:p w14:paraId="2DF78292">
      <w:pPr>
        <w:pStyle w:val="2"/>
        <w:jc w:val="center"/>
        <w:rPr>
          <w:rFonts w:hint="default" w:ascii="Times New Roman" w:hAnsi="Times New Roman" w:eastAsia="宋体" w:cs="Times New Roman"/>
          <w:b/>
          <w:bCs/>
          <w:color w:val="000000"/>
          <w:sz w:val="24"/>
          <w:szCs w:val="24"/>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2803525</wp:posOffset>
                </wp:positionH>
                <wp:positionV relativeFrom="paragraph">
                  <wp:posOffset>2388235</wp:posOffset>
                </wp:positionV>
                <wp:extent cx="153035" cy="154305"/>
                <wp:effectExtent l="29845" t="30480" r="33020" b="31115"/>
                <wp:wrapNone/>
                <wp:docPr id="1078" name="十字星 32"/>
                <wp:cNvGraphicFramePr/>
                <a:graphic xmlns:a="http://schemas.openxmlformats.org/drawingml/2006/main">
                  <a:graphicData uri="http://schemas.microsoft.com/office/word/2010/wordprocessingShape">
                    <wps:wsp>
                      <wps:cNvSpPr/>
                      <wps:spPr>
                        <a:xfrm>
                          <a:off x="0" y="0"/>
                          <a:ext cx="153035" cy="154304"/>
                        </a:xfrm>
                        <a:prstGeom prst="star4">
                          <a:avLst/>
                        </a:prstGeom>
                        <a:solidFill>
                          <a:srgbClr val="FF0000"/>
                        </a:solidFill>
                        <a:ln w="12700" cap="flat" cmpd="sng">
                          <a:solidFill>
                            <a:srgbClr val="FF0000"/>
                          </a:solidFill>
                          <a:prstDash val="solid"/>
                          <a:miter/>
                        </a:ln>
                      </wps:spPr>
                      <wps:bodyPr/>
                    </wps:wsp>
                  </a:graphicData>
                </a:graphic>
              </wp:anchor>
            </w:drawing>
          </mc:Choice>
          <mc:Fallback>
            <w:pict>
              <v:shape id="十字星 32" o:spid="_x0000_s1026" o:spt="187" type="#_x0000_t187" style="position:absolute;left:0pt;margin-left:220.75pt;margin-top:188.05pt;height:12.15pt;width:12.05pt;z-index:251659264;mso-width-relative:page;mso-height-relative:page;" fillcolor="#FF0000" filled="t" stroked="t" coordsize="21600,21600" o:gfxdata="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h3YF7YAAAACwEAAA8AAAAAAAAA&#10;AQAgAAAAIgAAAGRycy9kb3ducmV2LnhtbFBLAQIUABQAAAAIAIdO4kDp90Nu2AEAAMYDAAAOAAAA&#10;AAAAAAEAIAAAACcBAABkcnMvZTJvRG9jLnhtbFBLBQYAAAAABgAGAFkBAABxBQAAAAA=&#10;" adj="81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2684780</wp:posOffset>
                </wp:positionH>
                <wp:positionV relativeFrom="paragraph">
                  <wp:posOffset>1889760</wp:posOffset>
                </wp:positionV>
                <wp:extent cx="748665" cy="301625"/>
                <wp:effectExtent l="6350" t="6350" r="11430" b="253365"/>
                <wp:wrapNone/>
                <wp:docPr id="1079" name="矩形标注 33"/>
                <wp:cNvGraphicFramePr/>
                <a:graphic xmlns:a="http://schemas.openxmlformats.org/drawingml/2006/main">
                  <a:graphicData uri="http://schemas.microsoft.com/office/word/2010/wordprocessingShape">
                    <wps:wsp>
                      <wps:cNvSpPr/>
                      <wps:spPr>
                        <a:xfrm>
                          <a:off x="0" y="0"/>
                          <a:ext cx="748664" cy="301625"/>
                        </a:xfrm>
                        <a:prstGeom prst="wedgeRectCallout">
                          <a:avLst>
                            <a:gd name="adj1" fmla="val -20729"/>
                            <a:gd name="adj2" fmla="val 125561"/>
                          </a:avLst>
                        </a:prstGeom>
                        <a:ln w="12700" cap="flat" cmpd="sng">
                          <a:solidFill>
                            <a:srgbClr val="FF0000"/>
                          </a:solidFill>
                          <a:prstDash val="solid"/>
                          <a:miter/>
                        </a:ln>
                      </wps:spPr>
                      <wps:txbx>
                        <w:txbxContent>
                          <w:p w14:paraId="423B259E">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33" o:spid="_x0000_s1026" o:spt="61" type="#_x0000_t61" style="position:absolute;left:0pt;margin-left:211.4pt;margin-top:148.8pt;height:23.75pt;width:58.95pt;z-index:251659264;v-text-anchor:middle;mso-width-relative:page;mso-height-relative:page;" filled="f" stroked="t" coordsize="21600,21600" o:gfxdata="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EkYRd0AAAALAQAADwAA&#10;AAAAAAABACAAAAAiAAAAZHJzL2Rvd25yZXYueG1sUEsBAhQAFAAAAAgAh07iQEe+vMVKAgAAcwQA&#10;AA4AAAAAAAAAAQAgAAAALAEAAGRycy9lMm9Eb2MueG1sUEsFBgAAAAAGAAYAWQEAAOgFAAAAAA==&#10;" adj="6323,37921">
                <v:fill on="f" focussize="0,0"/>
                <v:stroke weight="1pt" color="#FF0000" joinstyle="miter"/>
                <v:imagedata o:title=""/>
                <o:lock v:ext="edit" aspectratio="f"/>
                <v:textbox>
                  <w:txbxContent>
                    <w:p w14:paraId="423B259E">
                      <w:pPr>
                        <w:spacing w:line="240" w:lineRule="auto"/>
                        <w:jc w:val="center"/>
                        <w:rPr>
                          <w:rFonts w:hint="default" w:eastAsia="宋体"/>
                          <w:b/>
                          <w:bCs/>
                          <w:color w:val="FF0000"/>
                          <w:sz w:val="21"/>
                          <w:szCs w:val="21"/>
                          <w:lang w:val="en-US" w:eastAsia="zh-CN"/>
                        </w:rPr>
                      </w:pPr>
                      <w:r>
                        <w:rPr>
                          <w:rFonts w:hint="eastAsia"/>
                          <w:b/>
                          <w:bCs/>
                          <w:color w:val="FF0000"/>
                          <w:sz w:val="21"/>
                          <w:szCs w:val="21"/>
                          <w:lang w:val="en-US" w:eastAsia="zh-CN"/>
                        </w:rPr>
                        <w:t>项目位置</w:t>
                      </w:r>
                    </w:p>
                  </w:txbxContent>
                </v:textbox>
              </v:shape>
            </w:pict>
          </mc:Fallback>
        </mc:AlternateContent>
      </w:r>
      <w:r>
        <w:rPr>
          <w:position w:val="-263"/>
        </w:rPr>
        <w:drawing>
          <wp:inline distT="0" distB="0" distL="0" distR="0">
            <wp:extent cx="5266690" cy="8353425"/>
            <wp:effectExtent l="0" t="0" r="10160" b="9525"/>
            <wp:docPr id="1080" name="IM 12"/>
            <wp:cNvGraphicFramePr/>
            <a:graphic xmlns:a="http://schemas.openxmlformats.org/drawingml/2006/main">
              <a:graphicData uri="http://schemas.openxmlformats.org/drawingml/2006/picture">
                <pic:pic xmlns:pic="http://schemas.openxmlformats.org/drawingml/2006/picture">
                  <pic:nvPicPr>
                    <pic:cNvPr id="1080" name="IM 12"/>
                    <pic:cNvPicPr/>
                  </pic:nvPicPr>
                  <pic:blipFill>
                    <a:blip r:embed="rId38" cstate="print"/>
                    <a:srcRect/>
                    <a:stretch>
                      <a:fillRect/>
                    </a:stretch>
                  </pic:blipFill>
                  <pic:spPr>
                    <a:xfrm>
                      <a:off x="0" y="0"/>
                      <a:ext cx="5266690" cy="8353425"/>
                    </a:xfrm>
                    <a:prstGeom prst="rect">
                      <a:avLst/>
                    </a:prstGeom>
                  </pic:spPr>
                </pic:pic>
              </a:graphicData>
            </a:graphic>
          </wp:inline>
        </w:drawing>
      </w:r>
    </w:p>
    <w:p w14:paraId="0DC1FCB8">
      <w:pPr>
        <w:rPr>
          <w:rFonts w:hint="default" w:ascii="Times New Roman" w:hAnsi="Times New Roman" w:eastAsia="宋体" w:cs="Times New Roman"/>
          <w:b/>
          <w:bCs/>
          <w:color w:val="000000"/>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91037E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2" w:name="_Toc21099"/>
      <w:bookmarkStart w:id="143" w:name="_Toc15950"/>
      <w:r>
        <w:rPr>
          <w:rFonts w:hint="default" w:ascii="Times New Roman" w:hAnsi="Times New Roman" w:eastAsia="宋体" w:cs="Times New Roman"/>
          <w:b/>
          <w:bCs/>
          <w:color w:val="000000"/>
          <w:sz w:val="24"/>
          <w:szCs w:val="24"/>
          <w:highlight w:val="none"/>
          <w:lang w:eastAsia="zh-CN"/>
        </w:rPr>
        <w:t>大气环境功能区划图</w:t>
      </w:r>
      <w:bookmarkEnd w:id="142"/>
      <w:bookmarkEnd w:id="143"/>
    </w:p>
    <w:p w14:paraId="5CE29BEA">
      <w:pPr>
        <w:jc w:val="center"/>
        <w:rPr>
          <w:rFonts w:hint="default" w:ascii="Times New Roman" w:hAnsi="Times New Roman" w:cs="Times New Roman"/>
          <w:color w:val="000000"/>
          <w:highlight w:val="none"/>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3743325</wp:posOffset>
                </wp:positionH>
                <wp:positionV relativeFrom="paragraph">
                  <wp:posOffset>3375025</wp:posOffset>
                </wp:positionV>
                <wp:extent cx="168275" cy="168275"/>
                <wp:effectExtent l="30480" t="30480" r="38735" b="38735"/>
                <wp:wrapNone/>
                <wp:docPr id="1081" name="十字星 44"/>
                <wp:cNvGraphicFramePr/>
                <a:graphic xmlns:a="http://schemas.openxmlformats.org/drawingml/2006/main">
                  <a:graphicData uri="http://schemas.microsoft.com/office/word/2010/wordprocessingShape">
                    <wps:wsp>
                      <wps:cNvSpPr/>
                      <wps:spPr>
                        <a:xfrm>
                          <a:off x="0" y="0"/>
                          <a:ext cx="168275" cy="168275"/>
                        </a:xfrm>
                        <a:prstGeom prst="star4">
                          <a:avLst/>
                        </a:prstGeom>
                        <a:solidFill>
                          <a:srgbClr val="FF0000"/>
                        </a:solidFill>
                        <a:ln w="12700" cap="flat" cmpd="sng">
                          <a:solidFill>
                            <a:srgbClr val="FF0000"/>
                          </a:solidFill>
                          <a:prstDash val="solid"/>
                          <a:miter/>
                        </a:ln>
                      </wps:spPr>
                      <wps:bodyPr/>
                    </wps:wsp>
                  </a:graphicData>
                </a:graphic>
              </wp:anchor>
            </w:drawing>
          </mc:Choice>
          <mc:Fallback>
            <w:pict>
              <v:shape id="十字星 44" o:spid="_x0000_s1026" o:spt="187" type="#_x0000_t187" style="position:absolute;left:0pt;margin-left:294.75pt;margin-top:265.75pt;height:13.25pt;width:13.25pt;z-index:251659264;mso-width-relative:page;mso-height-relative:page;" fillcolor="#FF0000" filled="t" stroked="t" coordsize="21600,21600" o:gfxdata="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sb7cbVAAAACwEAAA8AAAAAAAAAAQAgAAAA&#10;IgAAAGRycy9kb3ducmV2LnhtbFBLAQIUABQAAAAIAIdO4kBu0lfb1QEAAMYDAAAOAAAAAAAAAAEA&#10;IAAAACQBAABkcnMvZTJvRG9jLnhtbFBLBQYAAAAABgAGAFkBAABrBQAAAAA=&#10;" adj="8100">
                <v:fill on="t" focussize="0,0"/>
                <v:stroke weight="1pt" color="#FF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3891280</wp:posOffset>
                </wp:positionH>
                <wp:positionV relativeFrom="paragraph">
                  <wp:posOffset>2778125</wp:posOffset>
                </wp:positionV>
                <wp:extent cx="770890" cy="306705"/>
                <wp:effectExtent l="13334" t="6350" r="15875" b="334645"/>
                <wp:wrapNone/>
                <wp:docPr id="1082" name="矩形标注 45"/>
                <wp:cNvGraphicFramePr/>
                <a:graphic xmlns:a="http://schemas.openxmlformats.org/drawingml/2006/main">
                  <a:graphicData uri="http://schemas.microsoft.com/office/word/2010/wordprocessingShape">
                    <wps:wsp>
                      <wps:cNvSpPr/>
                      <wps:spPr>
                        <a:xfrm>
                          <a:off x="0" y="0"/>
                          <a:ext cx="770890" cy="306704"/>
                        </a:xfrm>
                        <a:prstGeom prst="wedgeRectCallout">
                          <a:avLst>
                            <a:gd name="adj1" fmla="val -49505"/>
                            <a:gd name="adj2" fmla="val 146894"/>
                          </a:avLst>
                        </a:prstGeom>
                        <a:ln w="12700" cap="flat" cmpd="sng">
                          <a:solidFill>
                            <a:srgbClr val="FF0000"/>
                          </a:solidFill>
                          <a:prstDash val="solid"/>
                          <a:miter/>
                        </a:ln>
                      </wps:spPr>
                      <wps:txbx>
                        <w:txbxContent>
                          <w:p w14:paraId="529F38E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45" o:spid="_x0000_s1026" o:spt="61" type="#_x0000_t61" style="position:absolute;left:0pt;margin-left:306.4pt;margin-top:218.75pt;height:24.15pt;width:60.7pt;z-index:251659264;v-text-anchor:middle;mso-width-relative:page;mso-height-relative:page;" filled="f" stroked="t" coordsize="21600,21600" o:gfxdata="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tkx7oNwAAAALAQAADwAA&#10;AAAAAAABACAAAAAiAAAAZHJzL2Rvd25yZXYueG1sUEsBAhQAFAAAAAgAh07iQKX/HUhLAgAAcwQA&#10;AA4AAAAAAAAAAQAgAAAAKwEAAGRycy9lMm9Eb2MueG1sUEsFBgAAAAAGAAYAWQEAAOgFAAAAAA==&#10;" adj="107,42529">
                <v:fill on="f" focussize="0,0"/>
                <v:stroke weight="1pt" color="#FF0000" joinstyle="miter"/>
                <v:imagedata o:title=""/>
                <o:lock v:ext="edit" aspectratio="f"/>
                <v:textbox>
                  <w:txbxContent>
                    <w:p w14:paraId="529F38E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position w:val="-263"/>
        </w:rPr>
        <w:drawing>
          <wp:inline distT="0" distB="0" distL="0" distR="0">
            <wp:extent cx="5266690" cy="8353425"/>
            <wp:effectExtent l="0" t="0" r="10160" b="9525"/>
            <wp:docPr id="1083" name="IM 22"/>
            <wp:cNvGraphicFramePr/>
            <a:graphic xmlns:a="http://schemas.openxmlformats.org/drawingml/2006/main">
              <a:graphicData uri="http://schemas.openxmlformats.org/drawingml/2006/picture">
                <pic:pic xmlns:pic="http://schemas.openxmlformats.org/drawingml/2006/picture">
                  <pic:nvPicPr>
                    <pic:cNvPr id="1083" name="IM 22"/>
                    <pic:cNvPicPr/>
                  </pic:nvPicPr>
                  <pic:blipFill>
                    <a:blip r:embed="rId39" cstate="print"/>
                    <a:srcRect/>
                    <a:stretch>
                      <a:fillRect/>
                    </a:stretch>
                  </pic:blipFill>
                  <pic:spPr>
                    <a:xfrm>
                      <a:off x="0" y="0"/>
                      <a:ext cx="5266690" cy="8353425"/>
                    </a:xfrm>
                    <a:prstGeom prst="rect">
                      <a:avLst/>
                    </a:prstGeom>
                  </pic:spPr>
                </pic:pic>
              </a:graphicData>
            </a:graphic>
          </wp:inline>
        </w:drawing>
      </w:r>
    </w:p>
    <w:p w14:paraId="3A65F4F8">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74A1BE0">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4" w:name="_Toc21202"/>
      <w:bookmarkStart w:id="145" w:name="_Toc9015"/>
      <w:r>
        <w:rPr>
          <w:rFonts w:hint="eastAsia" w:cs="Times New Roman"/>
          <w:b/>
          <w:bCs/>
          <w:color w:val="000000"/>
          <w:sz w:val="24"/>
          <w:szCs w:val="24"/>
          <w:highlight w:val="none"/>
          <w:lang w:eastAsia="zh-CN"/>
        </w:rPr>
        <w:t>声环境功能区划图</w:t>
      </w:r>
      <w:bookmarkEnd w:id="144"/>
      <w:bookmarkEnd w:id="145"/>
    </w:p>
    <w:p w14:paraId="77853C9C">
      <w:pPr>
        <w:jc w:val="center"/>
        <w:rPr>
          <w:rFonts w:hint="default"/>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4431665</wp:posOffset>
                </wp:positionH>
                <wp:positionV relativeFrom="paragraph">
                  <wp:posOffset>1747520</wp:posOffset>
                </wp:positionV>
                <wp:extent cx="806450" cy="321310"/>
                <wp:effectExtent l="171450" t="6350" r="15240" b="71755"/>
                <wp:wrapNone/>
                <wp:docPr id="1084" name="矩形标注 14"/>
                <wp:cNvGraphicFramePr/>
                <a:graphic xmlns:a="http://schemas.openxmlformats.org/drawingml/2006/main">
                  <a:graphicData uri="http://schemas.microsoft.com/office/word/2010/wordprocessingShape">
                    <wps:wsp>
                      <wps:cNvSpPr/>
                      <wps:spPr>
                        <a:xfrm>
                          <a:off x="0" y="0"/>
                          <a:ext cx="806450" cy="321310"/>
                        </a:xfrm>
                        <a:prstGeom prst="wedgeRectCallout">
                          <a:avLst>
                            <a:gd name="adj1" fmla="val -67440"/>
                            <a:gd name="adj2" fmla="val 62524"/>
                          </a:avLst>
                        </a:prstGeom>
                        <a:ln w="12700" cap="flat" cmpd="sng">
                          <a:solidFill>
                            <a:srgbClr val="FFFF00"/>
                          </a:solidFill>
                          <a:prstDash val="solid"/>
                          <a:miter/>
                        </a:ln>
                      </wps:spPr>
                      <wps:txbx>
                        <w:txbxContent>
                          <w:p w14:paraId="0534921F">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14" o:spid="_x0000_s1026" o:spt="61" type="#_x0000_t61" style="position:absolute;left:0pt;margin-left:348.95pt;margin-top:137.6pt;height:25.3pt;width:63.5pt;z-index:251659264;v-text-anchor:middle;mso-width-relative:page;mso-height-relative:page;" filled="f" stroked="t" coordsize="21600,21600" o:gfxdata="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tc9QtkAAAALAQAADwAAAAAAAAAB&#10;ACAAAAAiAAAAZHJzL2Rvd25yZXYueG1sUEsBAhQAFAAAAAgAh07iQGsD2pRIAgAAcgQAAA4AAAAA&#10;AAAAAQAgAAAAKAEAAGRycy9lMm9Eb2MueG1sUEsFBgAAAAAGAAYAWQEAAOIFAAAAAA==&#10;" adj="-3767,24305">
                <v:fill on="f" focussize="0,0"/>
                <v:stroke weight="1pt" color="#FFFF00" joinstyle="miter"/>
                <v:imagedata o:title=""/>
                <o:lock v:ext="edit" aspectratio="f"/>
                <v:textbox>
                  <w:txbxContent>
                    <w:p w14:paraId="0534921F">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4199890</wp:posOffset>
                </wp:positionH>
                <wp:positionV relativeFrom="paragraph">
                  <wp:posOffset>2085975</wp:posOffset>
                </wp:positionV>
                <wp:extent cx="107950" cy="107950"/>
                <wp:effectExtent l="30480" t="30480" r="33020" b="33020"/>
                <wp:wrapNone/>
                <wp:docPr id="1085" name="十字星 13"/>
                <wp:cNvGraphicFramePr/>
                <a:graphic xmlns:a="http://schemas.openxmlformats.org/drawingml/2006/main">
                  <a:graphicData uri="http://schemas.microsoft.com/office/word/2010/wordprocessingShape">
                    <wps:wsp>
                      <wps:cNvSpPr/>
                      <wps:spPr>
                        <a:xfrm>
                          <a:off x="0" y="0"/>
                          <a:ext cx="107950" cy="107950"/>
                        </a:xfrm>
                        <a:prstGeom prst="star4">
                          <a:avLst/>
                        </a:prstGeom>
                        <a:solidFill>
                          <a:srgbClr val="FFFF00"/>
                        </a:solidFill>
                        <a:ln w="12700" cap="flat" cmpd="sng">
                          <a:solidFill>
                            <a:srgbClr val="FFFF00"/>
                          </a:solidFill>
                          <a:prstDash val="solid"/>
                          <a:miter/>
                        </a:ln>
                      </wps:spPr>
                      <wps:bodyPr/>
                    </wps:wsp>
                  </a:graphicData>
                </a:graphic>
              </wp:anchor>
            </w:drawing>
          </mc:Choice>
          <mc:Fallback>
            <w:pict>
              <v:shape id="十字星 13" o:spid="_x0000_s1026" o:spt="187" type="#_x0000_t187" style="position:absolute;left:0pt;margin-left:330.7pt;margin-top:164.25pt;height:8.5pt;width:8.5pt;z-index:251659264;mso-width-relative:page;mso-height-relative:page;" fillcolor="#FFFF00" filled="t" stroked="t" coordsize="21600,21600" o:gfxdata="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mBnpjZAAAACwEAAA8AAAAAAAAAAQAg&#10;AAAAIgAAAGRycy9kb3ducmV2LnhtbFBLAQIUABQAAAAIAIdO4kAN824W1AEAAMYDAAAOAAAAAAAA&#10;AAEAIAAAACgBAABkcnMvZTJvRG9jLnhtbFBLBQYAAAAABgAGAFkBAABuBQAAAAA=&#10;" adj="8100">
                <v:fill on="t" focussize="0,0"/>
                <v:stroke weight="1pt" color="#FFFF00" joinstyle="miter"/>
                <v:imagedata o:title=""/>
                <o:lock v:ext="edit" aspectratio="f"/>
              </v:shape>
            </w:pict>
          </mc:Fallback>
        </mc:AlternateContent>
      </w:r>
      <w:r>
        <w:drawing>
          <wp:inline distT="0" distB="0" distL="0" distR="0">
            <wp:extent cx="5610225" cy="7810500"/>
            <wp:effectExtent l="0" t="0" r="9525" b="0"/>
            <wp:docPr id="1086" name="图片 20"/>
            <wp:cNvGraphicFramePr/>
            <a:graphic xmlns:a="http://schemas.openxmlformats.org/drawingml/2006/main">
              <a:graphicData uri="http://schemas.openxmlformats.org/drawingml/2006/picture">
                <pic:pic xmlns:pic="http://schemas.openxmlformats.org/drawingml/2006/picture">
                  <pic:nvPicPr>
                    <pic:cNvPr id="1086" name="图片 20"/>
                    <pic:cNvPicPr/>
                  </pic:nvPicPr>
                  <pic:blipFill>
                    <a:blip r:embed="rId40" cstate="print"/>
                    <a:srcRect/>
                    <a:stretch>
                      <a:fillRect/>
                    </a:stretch>
                  </pic:blipFill>
                  <pic:spPr>
                    <a:xfrm>
                      <a:off x="0" y="0"/>
                      <a:ext cx="5610225" cy="7810500"/>
                    </a:xfrm>
                    <a:prstGeom prst="rect">
                      <a:avLst/>
                    </a:prstGeom>
                    <a:ln>
                      <a:noFill/>
                    </a:ln>
                  </pic:spPr>
                </pic:pic>
              </a:graphicData>
            </a:graphic>
          </wp:inline>
        </w:drawing>
      </w:r>
    </w:p>
    <w:p w14:paraId="54C21DFF">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3FA9B1E">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6" w:name="_Toc27245"/>
      <w:bookmarkStart w:id="147" w:name="_Toc30521"/>
      <w:r>
        <w:rPr>
          <w:rFonts w:hint="default" w:ascii="Times New Roman" w:hAnsi="Times New Roman" w:eastAsia="宋体" w:cs="Times New Roman"/>
          <w:b/>
          <w:bCs/>
          <w:color w:val="000000"/>
          <w:sz w:val="24"/>
          <w:szCs w:val="24"/>
          <w:highlight w:val="none"/>
          <w:lang w:eastAsia="zh-CN"/>
        </w:rPr>
        <w:t>生态红线分布图</w:t>
      </w:r>
      <w:bookmarkEnd w:id="146"/>
      <w:bookmarkEnd w:id="147"/>
    </w:p>
    <w:p w14:paraId="7EF081A5">
      <w:pPr>
        <w:jc w:val="center"/>
        <w:rPr>
          <w:rFonts w:hint="default" w:ascii="Times New Roman" w:hAnsi="Times New Roman" w:cs="Times New Roman"/>
          <w:color w:val="000000"/>
          <w:highlight w:val="none"/>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3926840</wp:posOffset>
                </wp:positionH>
                <wp:positionV relativeFrom="paragraph">
                  <wp:posOffset>3265170</wp:posOffset>
                </wp:positionV>
                <wp:extent cx="160020" cy="154305"/>
                <wp:effectExtent l="31115" t="29210" r="35560" b="32385"/>
                <wp:wrapNone/>
                <wp:docPr id="1087" name="十字星 53"/>
                <wp:cNvGraphicFramePr/>
                <a:graphic xmlns:a="http://schemas.openxmlformats.org/drawingml/2006/main">
                  <a:graphicData uri="http://schemas.microsoft.com/office/word/2010/wordprocessingShape">
                    <wps:wsp>
                      <wps:cNvSpPr/>
                      <wps:spPr>
                        <a:xfrm>
                          <a:off x="0" y="0"/>
                          <a:ext cx="160020" cy="154304"/>
                        </a:xfrm>
                        <a:prstGeom prst="star4">
                          <a:avLst/>
                        </a:prstGeom>
                        <a:solidFill>
                          <a:srgbClr val="000000"/>
                        </a:solidFill>
                        <a:ln w="12700" cap="flat" cmpd="sng">
                          <a:solidFill>
                            <a:srgbClr val="000000"/>
                          </a:solidFill>
                          <a:prstDash val="solid"/>
                          <a:miter/>
                        </a:ln>
                      </wps:spPr>
                      <wps:bodyPr/>
                    </wps:wsp>
                  </a:graphicData>
                </a:graphic>
              </wp:anchor>
            </w:drawing>
          </mc:Choice>
          <mc:Fallback>
            <w:pict>
              <v:shape id="十字星 53" o:spid="_x0000_s1026" o:spt="187" type="#_x0000_t187" style="position:absolute;left:0pt;margin-left:309.2pt;margin-top:257.1pt;height:12.15pt;width:12.6pt;z-index:251659264;mso-width-relative:page;mso-height-relative:page;" fillcolor="#000000" filled="t" stroked="t" coordsize="21600,21600" o:gfxdata="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Nmd+zaAAAACwEAAA8AAAAAAAAA&#10;AQAgAAAAIgAAAGRycy9kb3ducmV2LnhtbFBLAQIUABQAAAAIAIdO4kBYJ+in1gEAAMYDAAAOAAAA&#10;AAAAAAEAIAAAACkBAABkcnMvZTJvRG9jLnhtbFBLBQYAAAAABgAGAFkBAABxBQAAAAA=&#10;" adj="8100">
                <v:fill on="t" focussize="0,0"/>
                <v:stroke weight="1pt" color="#00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4193540</wp:posOffset>
                </wp:positionH>
                <wp:positionV relativeFrom="paragraph">
                  <wp:posOffset>2924810</wp:posOffset>
                </wp:positionV>
                <wp:extent cx="806450" cy="321310"/>
                <wp:effectExtent l="171450" t="6350" r="15240" b="71755"/>
                <wp:wrapNone/>
                <wp:docPr id="1088" name="矩形标注 58"/>
                <wp:cNvGraphicFramePr/>
                <a:graphic xmlns:a="http://schemas.openxmlformats.org/drawingml/2006/main">
                  <a:graphicData uri="http://schemas.microsoft.com/office/word/2010/wordprocessingShape">
                    <wps:wsp>
                      <wps:cNvSpPr/>
                      <wps:spPr>
                        <a:xfrm>
                          <a:off x="0" y="0"/>
                          <a:ext cx="806450" cy="321310"/>
                        </a:xfrm>
                        <a:prstGeom prst="wedgeRectCallout">
                          <a:avLst>
                            <a:gd name="adj1" fmla="val -67440"/>
                            <a:gd name="adj2" fmla="val 62524"/>
                          </a:avLst>
                        </a:prstGeom>
                        <a:ln w="12700" cap="flat" cmpd="sng">
                          <a:solidFill>
                            <a:srgbClr val="000000"/>
                          </a:solidFill>
                          <a:prstDash val="solid"/>
                          <a:miter/>
                        </a:ln>
                      </wps:spPr>
                      <wps:txbx>
                        <w:txbxContent>
                          <w:p w14:paraId="686A3C0E">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58" o:spid="_x0000_s1026" o:spt="61" type="#_x0000_t61" style="position:absolute;left:0pt;margin-left:330.2pt;margin-top:230.3pt;height:25.3pt;width:63.5pt;z-index:251659264;v-text-anchor:middle;mso-width-relative:page;mso-height-relative:page;" filled="f" stroked="t" coordsize="21600,21600" o:gfxdata="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w6bwrcAAAACwEAAA8AAAAAAAAA&#10;AQAgAAAAIgAAAGRycy9kb3ducmV2LnhtbFBLAQIUABQAAAAIAIdO4kAmviVKRgIAAHIEAAAOAAAA&#10;AAAAAAEAIAAAACsBAABkcnMvZTJvRG9jLnhtbFBLBQYAAAAABgAGAFkBAADjBQAAAAA=&#10;" adj="-3767,24305">
                <v:fill on="f" focussize="0,0"/>
                <v:stroke weight="1pt" color="#000000" joinstyle="miter"/>
                <v:imagedata o:title=""/>
                <o:lock v:ext="edit" aspectratio="f"/>
                <v:textbox>
                  <w:txbxContent>
                    <w:p w14:paraId="686A3C0E">
                      <w:pPr>
                        <w:spacing w:line="240" w:lineRule="auto"/>
                        <w:jc w:val="center"/>
                        <w:rPr>
                          <w:rFonts w:hint="default" w:eastAsia="宋体"/>
                          <w:b/>
                          <w:bCs/>
                          <w:color w:val="FFFF00"/>
                          <w:sz w:val="21"/>
                          <w:szCs w:val="21"/>
                          <w:lang w:val="en-US" w:eastAsia="zh-CN"/>
                        </w:rPr>
                      </w:pPr>
                      <w:r>
                        <w:rPr>
                          <w:rFonts w:hint="eastAsia"/>
                          <w:b/>
                          <w:bCs/>
                          <w:color w:val="FFFF00"/>
                          <w:sz w:val="21"/>
                          <w:szCs w:val="21"/>
                          <w:lang w:val="en-US" w:eastAsia="zh-CN"/>
                        </w:rPr>
                        <w:t>项目位置</w:t>
                      </w:r>
                    </w:p>
                  </w:txbxContent>
                </v:textbox>
              </v:shape>
            </w:pict>
          </mc:Fallback>
        </mc:AlternateContent>
      </w:r>
      <w:r>
        <w:rPr>
          <w:position w:val="-263"/>
        </w:rPr>
        <w:drawing>
          <wp:inline distT="0" distB="0" distL="0" distR="0">
            <wp:extent cx="5266690" cy="8350885"/>
            <wp:effectExtent l="0" t="0" r="10160" b="12065"/>
            <wp:docPr id="1089" name="IM 30"/>
            <wp:cNvGraphicFramePr/>
            <a:graphic xmlns:a="http://schemas.openxmlformats.org/drawingml/2006/main">
              <a:graphicData uri="http://schemas.openxmlformats.org/drawingml/2006/picture">
                <pic:pic xmlns:pic="http://schemas.openxmlformats.org/drawingml/2006/picture">
                  <pic:nvPicPr>
                    <pic:cNvPr id="1089" name="IM 30"/>
                    <pic:cNvPicPr/>
                  </pic:nvPicPr>
                  <pic:blipFill>
                    <a:blip r:embed="rId41" cstate="print"/>
                    <a:srcRect/>
                    <a:stretch>
                      <a:fillRect/>
                    </a:stretch>
                  </pic:blipFill>
                  <pic:spPr>
                    <a:xfrm>
                      <a:off x="0" y="0"/>
                      <a:ext cx="5266690" cy="8350885"/>
                    </a:xfrm>
                    <a:prstGeom prst="rect">
                      <a:avLst/>
                    </a:prstGeom>
                  </pic:spPr>
                </pic:pic>
              </a:graphicData>
            </a:graphic>
          </wp:inline>
        </w:drawing>
      </w:r>
    </w:p>
    <w:p w14:paraId="1FB7FE8E">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A30F9B7">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8" w:name="_Toc6685"/>
      <w:r>
        <w:rPr>
          <w:rFonts w:hint="default" w:ascii="Times New Roman" w:hAnsi="Times New Roman" w:eastAsia="宋体" w:cs="Times New Roman"/>
          <w:b/>
          <w:bCs/>
          <w:color w:val="000000"/>
          <w:sz w:val="24"/>
          <w:szCs w:val="24"/>
          <w:highlight w:val="none"/>
          <w:lang w:eastAsia="zh-CN"/>
        </w:rPr>
        <w:t>项目周边主要饮用水源保护区分布图</w:t>
      </w:r>
      <w:bookmarkEnd w:id="148"/>
    </w:p>
    <w:p w14:paraId="6C2B39D9">
      <w:pPr>
        <w:pStyle w:val="3"/>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2644140</wp:posOffset>
                </wp:positionH>
                <wp:positionV relativeFrom="paragraph">
                  <wp:posOffset>854075</wp:posOffset>
                </wp:positionV>
                <wp:extent cx="814705" cy="317500"/>
                <wp:effectExtent l="419100" t="6350" r="23495" b="38100"/>
                <wp:wrapNone/>
                <wp:docPr id="1090" name="矩形标注 99"/>
                <wp:cNvGraphicFramePr/>
                <a:graphic xmlns:a="http://schemas.openxmlformats.org/drawingml/2006/main">
                  <a:graphicData uri="http://schemas.microsoft.com/office/word/2010/wordprocessingShape">
                    <wps:wsp>
                      <wps:cNvSpPr/>
                      <wps:spPr>
                        <a:xfrm>
                          <a:off x="0" y="0"/>
                          <a:ext cx="814705" cy="317500"/>
                        </a:xfrm>
                        <a:prstGeom prst="wedgeRectCallout">
                          <a:avLst>
                            <a:gd name="adj1" fmla="val -95362"/>
                            <a:gd name="adj2" fmla="val 52000"/>
                          </a:avLst>
                        </a:prstGeom>
                        <a:ln w="12700" cap="flat" cmpd="sng">
                          <a:solidFill>
                            <a:srgbClr val="FF0000"/>
                          </a:solidFill>
                          <a:prstDash val="solid"/>
                          <a:miter/>
                        </a:ln>
                      </wps:spPr>
                      <wps:txbx>
                        <w:txbxContent>
                          <w:p w14:paraId="26EBA758">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99" o:spid="_x0000_s1026" o:spt="61" type="#_x0000_t61" style="position:absolute;left:0pt;margin-left:208.2pt;margin-top:67.25pt;height:25pt;width:64.15pt;z-index:251659264;v-text-anchor:middle;mso-width-relative:page;mso-height-relative:page;" filled="f" stroked="t" coordsize="21600,21600" o:gfxdata="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k8MBNgAAAALAQAADwAAAAAAAAABACAA&#10;AAAiAAAAZHJzL2Rvd25yZXYueG1sUEsBAhQAFAAAAAgAh07iQOPWB59GAgAAcgQAAA4AAAAAAAAA&#10;AQAgAAAAJwEAAGRycy9lMm9Eb2MueG1sUEsFBgAAAAAGAAYAWQEAAN8FAAAAAA==&#10;" adj="-9798,22032">
                <v:fill on="f" focussize="0,0"/>
                <v:stroke weight="1pt" color="#FF0000" joinstyle="miter"/>
                <v:imagedata o:title=""/>
                <o:lock v:ext="edit" aspectratio="f"/>
                <v:textbox>
                  <w:txbxContent>
                    <w:p w14:paraId="26EBA758">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2106930</wp:posOffset>
                </wp:positionH>
                <wp:positionV relativeFrom="paragraph">
                  <wp:posOffset>1122680</wp:posOffset>
                </wp:positionV>
                <wp:extent cx="153035" cy="175260"/>
                <wp:effectExtent l="26669" t="34290" r="29845" b="38100"/>
                <wp:wrapNone/>
                <wp:docPr id="1091" name="十字星 98"/>
                <wp:cNvGraphicFramePr/>
                <a:graphic xmlns:a="http://schemas.openxmlformats.org/drawingml/2006/main">
                  <a:graphicData uri="http://schemas.microsoft.com/office/word/2010/wordprocessingShape">
                    <wps:wsp>
                      <wps:cNvSpPr/>
                      <wps:spPr>
                        <a:xfrm>
                          <a:off x="0" y="0"/>
                          <a:ext cx="153035" cy="175260"/>
                        </a:xfrm>
                        <a:prstGeom prst="star4">
                          <a:avLst/>
                        </a:prstGeom>
                        <a:solidFill>
                          <a:srgbClr val="FF0000"/>
                        </a:solidFill>
                        <a:ln w="12700" cap="flat" cmpd="sng">
                          <a:solidFill>
                            <a:srgbClr val="000000"/>
                          </a:solidFill>
                          <a:prstDash val="solid"/>
                          <a:miter/>
                        </a:ln>
                      </wps:spPr>
                      <wps:bodyPr/>
                    </wps:wsp>
                  </a:graphicData>
                </a:graphic>
              </wp:anchor>
            </w:drawing>
          </mc:Choice>
          <mc:Fallback>
            <w:pict>
              <v:shape id="十字星 98" o:spid="_x0000_s1026" o:spt="187" type="#_x0000_t187" style="position:absolute;left:0pt;margin-left:165.9pt;margin-top:88.4pt;height:13.8pt;width:12.05pt;z-index:251659264;mso-width-relative:page;mso-height-relative:page;" fillcolor="#FF0000" filled="t" stroked="t" coordsize="21600,21600" o:gfxdata="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ir2wAAAAsB&#10;AAAPAAAAAAAAAAEAIAAAACIAAABkcnMvZG93bnJldi54bWxQSwECFAAUAAAACACHTuJAQ9A8zd8B&#10;AADGAwAADgAAAAAAAAABACAAAAAqAQAAZHJzL2Uyb0RvYy54bWxQSwUGAAAAAAYABgBZAQAAewUA&#10;AAAA&#10;" adj="8100">
                <v:fill on="t" focussize="0,0"/>
                <v:stroke weight="1pt" color="#000000" joinstyle="miter"/>
                <v:imagedata o:title=""/>
                <o:lock v:ext="edit" aspectratio="f"/>
              </v:shape>
            </w:pict>
          </mc:Fallback>
        </mc:AlternateContent>
      </w:r>
      <w:r>
        <w:rPr>
          <w:position w:val="-263"/>
        </w:rPr>
        <w:drawing>
          <wp:inline distT="0" distB="0" distL="0" distR="0">
            <wp:extent cx="5274945" cy="8369300"/>
            <wp:effectExtent l="0" t="0" r="1905" b="12700"/>
            <wp:docPr id="1092" name="IM 18"/>
            <wp:cNvGraphicFramePr/>
            <a:graphic xmlns:a="http://schemas.openxmlformats.org/drawingml/2006/main">
              <a:graphicData uri="http://schemas.openxmlformats.org/drawingml/2006/picture">
                <pic:pic xmlns:pic="http://schemas.openxmlformats.org/drawingml/2006/picture">
                  <pic:nvPicPr>
                    <pic:cNvPr id="1092" name="IM 18"/>
                    <pic:cNvPicPr/>
                  </pic:nvPicPr>
                  <pic:blipFill>
                    <a:blip r:embed="rId42" cstate="print"/>
                    <a:srcRect/>
                    <a:stretch>
                      <a:fillRect/>
                    </a:stretch>
                  </pic:blipFill>
                  <pic:spPr>
                    <a:xfrm>
                      <a:off x="0" y="0"/>
                      <a:ext cx="5274945" cy="8369300"/>
                    </a:xfrm>
                    <a:prstGeom prst="rect">
                      <a:avLst/>
                    </a:prstGeom>
                  </pic:spPr>
                </pic:pic>
              </a:graphicData>
            </a:graphic>
          </wp:inline>
        </w:drawing>
      </w:r>
    </w:p>
    <w:p w14:paraId="0AA3D87D">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7611343">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49" w:name="_Toc1463"/>
      <w:r>
        <w:rPr>
          <w:rFonts w:hint="default" w:ascii="Times New Roman" w:hAnsi="Times New Roman" w:eastAsia="宋体" w:cs="Times New Roman"/>
          <w:b/>
          <w:bCs/>
          <w:color w:val="000000"/>
          <w:sz w:val="24"/>
          <w:szCs w:val="24"/>
          <w:highlight w:val="none"/>
          <w:lang w:eastAsia="zh-CN"/>
        </w:rPr>
        <w:t>生态功能区划示意图</w:t>
      </w:r>
      <w:bookmarkEnd w:id="149"/>
    </w:p>
    <w:p w14:paraId="621D131F">
      <w:pPr>
        <w:pStyle w:val="3"/>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3423285</wp:posOffset>
                </wp:positionH>
                <wp:positionV relativeFrom="paragraph">
                  <wp:posOffset>3987800</wp:posOffset>
                </wp:positionV>
                <wp:extent cx="153035" cy="175260"/>
                <wp:effectExtent l="26669" t="34290" r="36195" b="38735"/>
                <wp:wrapNone/>
                <wp:docPr id="1093" name="十字星 105"/>
                <wp:cNvGraphicFramePr/>
                <a:graphic xmlns:a="http://schemas.openxmlformats.org/drawingml/2006/main">
                  <a:graphicData uri="http://schemas.microsoft.com/office/word/2010/wordprocessingShape">
                    <wps:wsp>
                      <wps:cNvSpPr/>
                      <wps:spPr>
                        <a:xfrm>
                          <a:off x="0" y="0"/>
                          <a:ext cx="153034" cy="175259"/>
                        </a:xfrm>
                        <a:prstGeom prst="star4">
                          <a:avLst/>
                        </a:prstGeom>
                        <a:solidFill>
                          <a:srgbClr val="000000"/>
                        </a:solidFill>
                        <a:ln w="12700" cap="flat" cmpd="sng">
                          <a:solidFill>
                            <a:srgbClr val="000000"/>
                          </a:solidFill>
                          <a:prstDash val="solid"/>
                          <a:miter/>
                        </a:ln>
                      </wps:spPr>
                      <wps:bodyPr/>
                    </wps:wsp>
                  </a:graphicData>
                </a:graphic>
              </wp:anchor>
            </w:drawing>
          </mc:Choice>
          <mc:Fallback>
            <w:pict>
              <v:shape id="十字星 105" o:spid="_x0000_s1026" o:spt="187" type="#_x0000_t187" style="position:absolute;left:0pt;margin-left:269.55pt;margin-top:314pt;height:13.8pt;width:12.05pt;z-index:251659264;mso-width-relative:page;mso-height-relative:page;" fillcolor="#000000" filled="t" stroked="t" coordsize="21600,21600" o:gfxdata="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AkHGX2QAAAAsBAAAPAAAAAAAA&#10;AAEAIAAAACIAAABkcnMvZG93bnJldi54bWxQSwECFAAUAAAACACHTuJAT54ZkNgBAADHAwAADgAA&#10;AAAAAAABACAAAAAoAQAAZHJzL2Uyb0RvYy54bWxQSwUGAAAAAAYABgBZAQAAcgUAAAAA&#10;" adj="8100">
                <v:fill on="t" focussize="0,0"/>
                <v:stroke weight="1pt" color="#000000" joinstyle="miter"/>
                <v:imagedata o:title=""/>
                <o:lock v:ext="edit" aspectratio="f"/>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3345180</wp:posOffset>
                </wp:positionH>
                <wp:positionV relativeFrom="paragraph">
                  <wp:posOffset>2855595</wp:posOffset>
                </wp:positionV>
                <wp:extent cx="768350" cy="311785"/>
                <wp:effectExtent l="6350" t="6350" r="6350" b="843915"/>
                <wp:wrapNone/>
                <wp:docPr id="1094" name="矩形标注 106"/>
                <wp:cNvGraphicFramePr/>
                <a:graphic xmlns:a="http://schemas.openxmlformats.org/drawingml/2006/main">
                  <a:graphicData uri="http://schemas.microsoft.com/office/word/2010/wordprocessingShape">
                    <wps:wsp>
                      <wps:cNvSpPr/>
                      <wps:spPr>
                        <a:xfrm>
                          <a:off x="0" y="0"/>
                          <a:ext cx="768350" cy="311785"/>
                        </a:xfrm>
                        <a:prstGeom prst="wedgeRectCallout">
                          <a:avLst>
                            <a:gd name="adj1" fmla="val -27851"/>
                            <a:gd name="adj2" fmla="val 304175"/>
                          </a:avLst>
                        </a:prstGeom>
                        <a:ln w="12700" cap="flat" cmpd="sng">
                          <a:solidFill>
                            <a:srgbClr val="000000"/>
                          </a:solidFill>
                          <a:prstDash val="solid"/>
                          <a:miter/>
                        </a:ln>
                      </wps:spPr>
                      <wps:txbx>
                        <w:txbxContent>
                          <w:p w14:paraId="527F4969">
                            <w:pPr>
                              <w:spacing w:line="240" w:lineRule="auto"/>
                              <w:jc w:val="center"/>
                              <w:rPr>
                                <w:rFonts w:hint="default" w:eastAsia="宋体"/>
                                <w:b/>
                                <w:bCs/>
                                <w:color w:val="000000"/>
                                <w:sz w:val="21"/>
                                <w:szCs w:val="21"/>
                                <w:lang w:val="en-US" w:eastAsia="zh-CN"/>
                              </w:rPr>
                            </w:pPr>
                            <w:r>
                              <w:rPr>
                                <w:rFonts w:hint="eastAsia"/>
                                <w:b/>
                                <w:bCs/>
                                <w:color w:val="000000"/>
                                <w:sz w:val="21"/>
                                <w:szCs w:val="21"/>
                                <w:lang w:val="en-US" w:eastAsia="zh-CN"/>
                              </w:rPr>
                              <w:t>项目位置</w:t>
                            </w:r>
                          </w:p>
                        </w:txbxContent>
                      </wps:txbx>
                      <wps:bodyPr vert="horz" wrap="square" lIns="91440" tIns="45720" rIns="91440" bIns="45720" anchor="ctr">
                        <a:noAutofit/>
                      </wps:bodyPr>
                    </wps:wsp>
                  </a:graphicData>
                </a:graphic>
              </wp:anchor>
            </w:drawing>
          </mc:Choice>
          <mc:Fallback>
            <w:pict>
              <v:shape id="矩形标注 106" o:spid="_x0000_s1026" o:spt="61" type="#_x0000_t61" style="position:absolute;left:0pt;margin-left:263.4pt;margin-top:224.85pt;height:24.55pt;width:60.5pt;z-index:251659264;v-text-anchor:middle;mso-width-relative:page;mso-height-relative:page;" filled="f" stroked="t" coordsize="21600,21600" o:gfxdata="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sBcYbaAAAACwEAAA8AAAAAAAAAAQAg&#10;AAAAIgAAAGRycy9kb3ducmV2LnhtbFBLAQIUABQAAAAIAIdO4kDMZbOBRQIAAHQEAAAOAAAAAAAA&#10;AAEAIAAAACkBAABkcnMvZTJvRG9jLnhtbFBLBQYAAAAABgAGAFkBAADgBQAAAAA=&#10;" adj="4784,76502">
                <v:fill on="f" focussize="0,0"/>
                <v:stroke weight="1pt" color="#000000" joinstyle="miter"/>
                <v:imagedata o:title=""/>
                <o:lock v:ext="edit" aspectratio="f"/>
                <v:textbox>
                  <w:txbxContent>
                    <w:p w14:paraId="527F4969">
                      <w:pPr>
                        <w:spacing w:line="240" w:lineRule="auto"/>
                        <w:jc w:val="center"/>
                        <w:rPr>
                          <w:rFonts w:hint="default" w:eastAsia="宋体"/>
                          <w:b/>
                          <w:bCs/>
                          <w:color w:val="000000"/>
                          <w:sz w:val="21"/>
                          <w:szCs w:val="21"/>
                          <w:lang w:val="en-US" w:eastAsia="zh-CN"/>
                        </w:rPr>
                      </w:pPr>
                      <w:r>
                        <w:rPr>
                          <w:rFonts w:hint="eastAsia"/>
                          <w:b/>
                          <w:bCs/>
                          <w:color w:val="000000"/>
                          <w:sz w:val="21"/>
                          <w:szCs w:val="21"/>
                          <w:lang w:val="en-US" w:eastAsia="zh-CN"/>
                        </w:rPr>
                        <w:t>项目位置</w:t>
                      </w:r>
                    </w:p>
                  </w:txbxContent>
                </v:textbox>
              </v:shape>
            </w:pict>
          </mc:Fallback>
        </mc:AlternateContent>
      </w:r>
      <w:r>
        <w:rPr>
          <w:position w:val="-263"/>
        </w:rPr>
        <w:drawing>
          <wp:inline distT="0" distB="0" distL="0" distR="0">
            <wp:extent cx="5266690" cy="8350885"/>
            <wp:effectExtent l="0" t="0" r="10160" b="12065"/>
            <wp:docPr id="1095" name="IM 28"/>
            <wp:cNvGraphicFramePr/>
            <a:graphic xmlns:a="http://schemas.openxmlformats.org/drawingml/2006/main">
              <a:graphicData uri="http://schemas.openxmlformats.org/drawingml/2006/picture">
                <pic:pic xmlns:pic="http://schemas.openxmlformats.org/drawingml/2006/picture">
                  <pic:nvPicPr>
                    <pic:cNvPr id="1095" name="IM 28"/>
                    <pic:cNvPicPr/>
                  </pic:nvPicPr>
                  <pic:blipFill>
                    <a:blip r:embed="rId43" cstate="print"/>
                    <a:srcRect/>
                    <a:stretch>
                      <a:fillRect/>
                    </a:stretch>
                  </pic:blipFill>
                  <pic:spPr>
                    <a:xfrm>
                      <a:off x="0" y="0"/>
                      <a:ext cx="5266690" cy="8350885"/>
                    </a:xfrm>
                    <a:prstGeom prst="rect">
                      <a:avLst/>
                    </a:prstGeom>
                  </pic:spPr>
                </pic:pic>
              </a:graphicData>
            </a:graphic>
          </wp:inline>
        </w:drawing>
      </w:r>
    </w:p>
    <w:p w14:paraId="521AC6B5">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9C8B3D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50" w:name="_Toc23291"/>
      <w:bookmarkStart w:id="151" w:name="_Toc30808"/>
      <w:r>
        <w:rPr>
          <w:rFonts w:hint="default" w:ascii="Times New Roman" w:hAnsi="Times New Roman" w:eastAsia="宋体" w:cs="Times New Roman"/>
          <w:b/>
          <w:bCs/>
          <w:color w:val="000000"/>
          <w:sz w:val="24"/>
          <w:szCs w:val="24"/>
          <w:highlight w:val="none"/>
          <w:lang w:eastAsia="zh-CN"/>
        </w:rPr>
        <w:t>项目周边永久农田、耕地、园地分布图</w:t>
      </w:r>
      <w:bookmarkEnd w:id="150"/>
      <w:bookmarkEnd w:id="151"/>
    </w:p>
    <w:p w14:paraId="614D2F17">
      <w:pPr>
        <w:jc w:val="center"/>
        <w:rPr>
          <w:rFonts w:hint="eastAsia" w:ascii="Times New Roman" w:hAnsi="Times New Roman" w:eastAsia="宋体" w:cs="Times New Roman"/>
          <w:color w:val="000000"/>
          <w:highlight w:val="none"/>
          <w:lang w:eastAsia="zh-CN"/>
        </w:rPr>
      </w:pP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2614930</wp:posOffset>
                </wp:positionH>
                <wp:positionV relativeFrom="paragraph">
                  <wp:posOffset>2442845</wp:posOffset>
                </wp:positionV>
                <wp:extent cx="739775" cy="254635"/>
                <wp:effectExtent l="6350" t="6350" r="15875" b="367665"/>
                <wp:wrapNone/>
                <wp:docPr id="1096" name="矩形标注 111"/>
                <wp:cNvGraphicFramePr/>
                <a:graphic xmlns:a="http://schemas.openxmlformats.org/drawingml/2006/main">
                  <a:graphicData uri="http://schemas.microsoft.com/office/word/2010/wordprocessingShape">
                    <wps:wsp>
                      <wps:cNvSpPr/>
                      <wps:spPr>
                        <a:xfrm>
                          <a:off x="0" y="0"/>
                          <a:ext cx="739775" cy="254635"/>
                        </a:xfrm>
                        <a:prstGeom prst="wedgeRectCallout">
                          <a:avLst>
                            <a:gd name="adj1" fmla="val -29914"/>
                            <a:gd name="adj2" fmla="val 178927"/>
                          </a:avLst>
                        </a:prstGeom>
                        <a:ln w="12700" cap="flat" cmpd="sng">
                          <a:solidFill>
                            <a:srgbClr val="FF0000"/>
                          </a:solidFill>
                          <a:prstDash val="solid"/>
                          <a:miter/>
                        </a:ln>
                      </wps:spPr>
                      <wps:txbx>
                        <w:txbxContent>
                          <w:p w14:paraId="2080662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111" o:spid="_x0000_s1026" o:spt="61" type="#_x0000_t61" style="position:absolute;left:0pt;margin-left:205.9pt;margin-top:192.35pt;height:20.05pt;width:58.25pt;z-index:251659264;v-text-anchor:middle;mso-width-relative:page;mso-height-relative:page;" filled="f" stroked="t" coordsize="21600,21600" o:gfxdata="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60YUPYAAAACwEAAA8AAAAAAAAA&#10;AQAgAAAAIgAAAGRycy9kb3ducmV2LnhtbFBLAQIUABQAAAAIAIdO4kDkefh5SgIAAHQEAAAOAAAA&#10;AAAAAAEAIAAAACcBAABkcnMvZTJvRG9jLnhtbFBLBQYAAAAABgAGAFkBAADjBQAAAAA=&#10;" adj="4339,49448">
                <v:fill on="f" focussize="0,0"/>
                <v:stroke weight="1pt" color="#FF0000" joinstyle="miter"/>
                <v:imagedata o:title=""/>
                <o:lock v:ext="edit" aspectratio="f"/>
                <v:textbox>
                  <w:txbxContent>
                    <w:p w14:paraId="20806621">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2590165</wp:posOffset>
                </wp:positionH>
                <wp:positionV relativeFrom="paragraph">
                  <wp:posOffset>3000375</wp:posOffset>
                </wp:positionV>
                <wp:extent cx="232410" cy="204470"/>
                <wp:effectExtent l="34290" t="26669" r="35560" b="27940"/>
                <wp:wrapNone/>
                <wp:docPr id="1097" name="十字星 110"/>
                <wp:cNvGraphicFramePr/>
                <a:graphic xmlns:a="http://schemas.openxmlformats.org/drawingml/2006/main">
                  <a:graphicData uri="http://schemas.microsoft.com/office/word/2010/wordprocessingShape">
                    <wps:wsp>
                      <wps:cNvSpPr/>
                      <wps:spPr>
                        <a:xfrm>
                          <a:off x="0" y="0"/>
                          <a:ext cx="232410" cy="204470"/>
                        </a:xfrm>
                        <a:prstGeom prst="star4">
                          <a:avLst>
                            <a:gd name="adj" fmla="val 12564"/>
                          </a:avLst>
                        </a:prstGeom>
                        <a:solidFill>
                          <a:srgbClr val="FF0000"/>
                        </a:solidFill>
                        <a:ln w="12700" cap="flat" cmpd="sng">
                          <a:solidFill>
                            <a:srgbClr val="FF0000"/>
                          </a:solidFill>
                          <a:prstDash val="solid"/>
                          <a:miter/>
                        </a:ln>
                      </wps:spPr>
                      <wps:bodyPr/>
                    </wps:wsp>
                  </a:graphicData>
                </a:graphic>
              </wp:anchor>
            </w:drawing>
          </mc:Choice>
          <mc:Fallback>
            <w:pict>
              <v:shape id="十字星 110" o:spid="_x0000_s1026" o:spt="187" type="#_x0000_t187" style="position:absolute;left:0pt;margin-left:203.95pt;margin-top:236.25pt;height:16.1pt;width:18.3pt;z-index:251659264;mso-width-relative:page;mso-height-relative:page;" fillcolor="#FF0000" filled="t" stroked="t" coordsize="21600,21600" o:gfxdata="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DUdJz3AAAAAsBAAAPAAAAAAAAAAEAIAAAACIAAABkcnMvZG93bnJldi54bWxQSwECFAAU&#10;AAAACACHTuJALVhZpe0BAADzAwAADgAAAAAAAAABACAAAAArAQAAZHJzL2Uyb0RvYy54bWxQSwUG&#10;AAAAAAYABgBZAQAAigUAAAAA&#10;" adj="8086">
                <v:fill on="t" focussize="0,0"/>
                <v:stroke weight="1pt" color="#FF0000" joinstyle="miter"/>
                <v:imagedata o:title=""/>
                <o:lock v:ext="edit" aspectratio="f"/>
              </v:shape>
            </w:pict>
          </mc:Fallback>
        </mc:AlternateContent>
      </w:r>
      <w:r>
        <w:rPr>
          <w:position w:val="-263"/>
        </w:rPr>
        <w:drawing>
          <wp:inline distT="0" distB="0" distL="0" distR="0">
            <wp:extent cx="5266690" cy="8353425"/>
            <wp:effectExtent l="0" t="0" r="10160" b="9525"/>
            <wp:docPr id="1098" name="IM 66"/>
            <wp:cNvGraphicFramePr/>
            <a:graphic xmlns:a="http://schemas.openxmlformats.org/drawingml/2006/main">
              <a:graphicData uri="http://schemas.openxmlformats.org/drawingml/2006/picture">
                <pic:pic xmlns:pic="http://schemas.openxmlformats.org/drawingml/2006/picture">
                  <pic:nvPicPr>
                    <pic:cNvPr id="1098" name="IM 66"/>
                    <pic:cNvPicPr/>
                  </pic:nvPicPr>
                  <pic:blipFill>
                    <a:blip r:embed="rId44" cstate="print"/>
                    <a:srcRect/>
                    <a:stretch>
                      <a:fillRect/>
                    </a:stretch>
                  </pic:blipFill>
                  <pic:spPr>
                    <a:xfrm>
                      <a:off x="0" y="0"/>
                      <a:ext cx="5266690" cy="8353425"/>
                    </a:xfrm>
                    <a:prstGeom prst="rect">
                      <a:avLst/>
                    </a:prstGeom>
                  </pic:spPr>
                </pic:pic>
              </a:graphicData>
            </a:graphic>
          </wp:inline>
        </w:drawing>
      </w:r>
    </w:p>
    <w:p w14:paraId="38A22105">
      <w:pPr>
        <w:rPr>
          <w:rFonts w:hint="default" w:ascii="Times New Roman" w:hAnsi="Times New Roman" w:cs="Times New Roman"/>
          <w:color w:val="000000"/>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F3495AF">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eastAsia="zh-CN"/>
        </w:rPr>
      </w:pPr>
      <w:bookmarkStart w:id="152" w:name="_Toc21010"/>
      <w:bookmarkStart w:id="153" w:name="_Toc28856"/>
      <w:bookmarkStart w:id="154" w:name="_Toc20437"/>
      <w:r>
        <w:rPr>
          <w:rFonts w:hint="default" w:ascii="Times New Roman" w:hAnsi="Times New Roman" w:eastAsia="宋体" w:cs="Times New Roman"/>
          <w:b/>
          <w:bCs/>
          <w:color w:val="000000"/>
          <w:sz w:val="24"/>
          <w:szCs w:val="24"/>
          <w:highlight w:val="none"/>
          <w:lang w:eastAsia="zh-CN"/>
        </w:rPr>
        <w:t>项目周边现状图</w:t>
      </w:r>
      <w:bookmarkEnd w:id="152"/>
      <w:bookmarkEnd w:id="153"/>
      <w:bookmarkEnd w:id="154"/>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5"/>
        <w:gridCol w:w="4786"/>
      </w:tblGrid>
      <w:tr w14:paraId="4FBA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362DBD5">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4" name="图片 14" descr="3b8040dfa9a2eb478e1b021bcf7d6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b8040dfa9a2eb478e1b021bcf7d6ae0"/>
                          <pic:cNvPicPr>
                            <a:picLocks noChangeAspect="1"/>
                          </pic:cNvPicPr>
                        </pic:nvPicPr>
                        <pic:blipFill>
                          <a:blip r:embed="rId45"/>
                          <a:stretch>
                            <a:fillRect/>
                          </a:stretch>
                        </pic:blipFill>
                        <pic:spPr>
                          <a:xfrm>
                            <a:off x="0" y="0"/>
                            <a:ext cx="2889250" cy="1625600"/>
                          </a:xfrm>
                          <a:prstGeom prst="rect">
                            <a:avLst/>
                          </a:prstGeom>
                        </pic:spPr>
                      </pic:pic>
                    </a:graphicData>
                  </a:graphic>
                </wp:inline>
              </w:drawing>
            </w:r>
          </w:p>
        </w:tc>
        <w:tc>
          <w:tcPr>
            <w:tcW w:w="4786" w:type="dxa"/>
            <w:vAlign w:val="center"/>
          </w:tcPr>
          <w:p w14:paraId="22000A6D">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5" name="图片 15" descr="e8a512e137024b24b0a4e063dde822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8a512e137024b24b0a4e063dde8229f"/>
                          <pic:cNvPicPr>
                            <a:picLocks noChangeAspect="1"/>
                          </pic:cNvPicPr>
                        </pic:nvPicPr>
                        <pic:blipFill>
                          <a:blip r:embed="rId46"/>
                          <a:stretch>
                            <a:fillRect/>
                          </a:stretch>
                        </pic:blipFill>
                        <pic:spPr>
                          <a:xfrm>
                            <a:off x="0" y="0"/>
                            <a:ext cx="2889250" cy="1625600"/>
                          </a:xfrm>
                          <a:prstGeom prst="rect">
                            <a:avLst/>
                          </a:prstGeom>
                        </pic:spPr>
                      </pic:pic>
                    </a:graphicData>
                  </a:graphic>
                </wp:inline>
              </w:drawing>
            </w:r>
          </w:p>
        </w:tc>
      </w:tr>
      <w:tr w14:paraId="08CF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282F6C65">
            <w:pPr>
              <w:pStyle w:val="2"/>
              <w:jc w:val="center"/>
              <w:rPr>
                <w:rFonts w:hint="default" w:ascii="Times New Roman" w:hAnsi="Times New Roman" w:cs="Times New Roman"/>
                <w:b/>
                <w:bCs/>
                <w:color w:val="000000"/>
                <w:sz w:val="21"/>
                <w:szCs w:val="21"/>
                <w:highlight w:val="none"/>
                <w:lang w:val="en-US"/>
              </w:rPr>
            </w:pPr>
            <w:r>
              <w:rPr>
                <w:rFonts w:hint="default" w:ascii="Times New Roman" w:hAnsi="Times New Roman" w:cs="Times New Roman"/>
                <w:b/>
                <w:bCs/>
                <w:color w:val="000000"/>
                <w:sz w:val="21"/>
                <w:szCs w:val="21"/>
                <w:highlight w:val="none"/>
                <w:lang w:val="en-US" w:eastAsia="zh-CN"/>
              </w:rPr>
              <w:t>东</w:t>
            </w:r>
            <w:r>
              <w:rPr>
                <w:rFonts w:hint="eastAsia" w:ascii="Times New Roman" w:cs="Times New Roman"/>
                <w:b/>
                <w:bCs/>
                <w:color w:val="000000"/>
                <w:sz w:val="21"/>
                <w:szCs w:val="21"/>
                <w:highlight w:val="none"/>
                <w:lang w:val="en-US" w:eastAsia="zh-CN"/>
              </w:rPr>
              <w:t>面</w:t>
            </w:r>
          </w:p>
        </w:tc>
        <w:tc>
          <w:tcPr>
            <w:tcW w:w="4786" w:type="dxa"/>
            <w:vAlign w:val="center"/>
          </w:tcPr>
          <w:p w14:paraId="103CE9DB">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南</w:t>
            </w:r>
            <w:r>
              <w:rPr>
                <w:rFonts w:hint="eastAsia" w:ascii="Times New Roman" w:cs="Times New Roman"/>
                <w:b/>
                <w:bCs/>
                <w:color w:val="000000"/>
                <w:sz w:val="21"/>
                <w:szCs w:val="21"/>
                <w:highlight w:val="none"/>
                <w:lang w:val="en-US" w:eastAsia="zh-CN"/>
              </w:rPr>
              <w:t>面</w:t>
            </w:r>
          </w:p>
        </w:tc>
      </w:tr>
      <w:tr w14:paraId="6E08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0DF46198">
            <w:pPr>
              <w:pStyle w:val="2"/>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drawing>
                <wp:inline distT="0" distB="0" distL="114300" distR="114300">
                  <wp:extent cx="2889250" cy="1625600"/>
                  <wp:effectExtent l="0" t="0" r="6350" b="12700"/>
                  <wp:docPr id="16" name="图片 16" descr="0f01fb38dd0d8377278b3d3580724b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f01fb38dd0d8377278b3d3580724ba8"/>
                          <pic:cNvPicPr>
                            <a:picLocks noChangeAspect="1"/>
                          </pic:cNvPicPr>
                        </pic:nvPicPr>
                        <pic:blipFill>
                          <a:blip r:embed="rId47"/>
                          <a:stretch>
                            <a:fillRect/>
                          </a:stretch>
                        </pic:blipFill>
                        <pic:spPr>
                          <a:xfrm>
                            <a:off x="0" y="0"/>
                            <a:ext cx="2889250" cy="1625600"/>
                          </a:xfrm>
                          <a:prstGeom prst="rect">
                            <a:avLst/>
                          </a:prstGeom>
                        </pic:spPr>
                      </pic:pic>
                    </a:graphicData>
                  </a:graphic>
                </wp:inline>
              </w:drawing>
            </w:r>
          </w:p>
        </w:tc>
        <w:tc>
          <w:tcPr>
            <w:tcW w:w="4786" w:type="dxa"/>
            <w:vAlign w:val="center"/>
          </w:tcPr>
          <w:p w14:paraId="54620C0D">
            <w:pPr>
              <w:pStyle w:val="2"/>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drawing>
                <wp:inline distT="0" distB="0" distL="114300" distR="114300">
                  <wp:extent cx="2889250" cy="1625600"/>
                  <wp:effectExtent l="0" t="0" r="6350" b="12700"/>
                  <wp:docPr id="17" name="图片 17" descr="99e68076987e4eeeeca25aeda6b8dc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9e68076987e4eeeeca25aeda6b8dcd1"/>
                          <pic:cNvPicPr>
                            <a:picLocks noChangeAspect="1"/>
                          </pic:cNvPicPr>
                        </pic:nvPicPr>
                        <pic:blipFill>
                          <a:blip r:embed="rId48"/>
                          <a:stretch>
                            <a:fillRect/>
                          </a:stretch>
                        </pic:blipFill>
                        <pic:spPr>
                          <a:xfrm>
                            <a:off x="0" y="0"/>
                            <a:ext cx="2889250" cy="1625600"/>
                          </a:xfrm>
                          <a:prstGeom prst="rect">
                            <a:avLst/>
                          </a:prstGeom>
                        </pic:spPr>
                      </pic:pic>
                    </a:graphicData>
                  </a:graphic>
                </wp:inline>
              </w:drawing>
            </w:r>
          </w:p>
        </w:tc>
      </w:tr>
      <w:tr w14:paraId="10B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32B00DE">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西</w:t>
            </w:r>
            <w:r>
              <w:rPr>
                <w:rFonts w:hint="eastAsia" w:ascii="Times New Roman" w:cs="Times New Roman"/>
                <w:b/>
                <w:bCs/>
                <w:color w:val="000000"/>
                <w:sz w:val="21"/>
                <w:szCs w:val="21"/>
                <w:highlight w:val="none"/>
                <w:lang w:val="en-US" w:eastAsia="zh-CN"/>
              </w:rPr>
              <w:t>面</w:t>
            </w:r>
          </w:p>
        </w:tc>
        <w:tc>
          <w:tcPr>
            <w:tcW w:w="4786" w:type="dxa"/>
            <w:vAlign w:val="center"/>
          </w:tcPr>
          <w:p w14:paraId="5BBD4B4A">
            <w:pPr>
              <w:pStyle w:val="2"/>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北</w:t>
            </w:r>
            <w:r>
              <w:rPr>
                <w:rFonts w:hint="eastAsia" w:ascii="Times New Roman" w:cs="Times New Roman"/>
                <w:b/>
                <w:bCs/>
                <w:color w:val="000000"/>
                <w:sz w:val="21"/>
                <w:szCs w:val="21"/>
                <w:highlight w:val="none"/>
                <w:lang w:val="en-US" w:eastAsia="zh-CN"/>
              </w:rPr>
              <w:t>面</w:t>
            </w:r>
          </w:p>
        </w:tc>
      </w:tr>
    </w:tbl>
    <w:p w14:paraId="78738388">
      <w:pPr>
        <w:pStyle w:val="2"/>
        <w:rPr>
          <w:rFonts w:hint="default" w:ascii="Times New Roman" w:hAnsi="Times New Roman" w:cs="Times New Roman"/>
          <w:b/>
          <w:bCs/>
          <w:color w:val="000000"/>
          <w:szCs w:val="22"/>
          <w:highlight w:val="none"/>
        </w:rPr>
      </w:pPr>
    </w:p>
    <w:p w14:paraId="3C6716E5">
      <w:pPr>
        <w:pStyle w:val="4"/>
        <w:ind w:right="-120"/>
        <w:rPr>
          <w:rFonts w:hint="default" w:ascii="Times New Roman" w:hAnsi="Times New Roman" w:cs="Times New Roman"/>
          <w:color w:val="000000"/>
          <w:highlight w:val="none"/>
        </w:rPr>
        <w:sectPr>
          <w:type w:val="continuous"/>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AC4E424">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5" w:name="_Toc23512"/>
      <w:bookmarkStart w:id="156" w:name="_Toc28021"/>
      <w:r>
        <w:rPr>
          <w:rFonts w:hint="default" w:ascii="Times New Roman" w:hAnsi="Times New Roman" w:eastAsia="宋体" w:cs="Times New Roman"/>
          <w:b/>
          <w:bCs/>
          <w:color w:val="000000"/>
          <w:sz w:val="24"/>
          <w:szCs w:val="24"/>
          <w:highlight w:val="none"/>
          <w:lang w:val="en-US" w:eastAsia="zh-CN"/>
        </w:rPr>
        <w:t>广东省</w:t>
      </w:r>
      <w:r>
        <w:rPr>
          <w:rFonts w:hint="eastAsia" w:cs="Times New Roman"/>
          <w:b/>
          <w:bCs/>
          <w:color w:val="000000"/>
          <w:sz w:val="24"/>
          <w:szCs w:val="24"/>
          <w:highlight w:val="none"/>
          <w:lang w:val="en-US" w:eastAsia="zh-CN"/>
        </w:rPr>
        <w:t>生态环境分区管控信息平台</w:t>
      </w:r>
      <w:r>
        <w:rPr>
          <w:rFonts w:hint="default" w:ascii="Times New Roman" w:hAnsi="Times New Roman" w:eastAsia="宋体" w:cs="Times New Roman"/>
          <w:b/>
          <w:bCs/>
          <w:color w:val="000000"/>
          <w:sz w:val="24"/>
          <w:szCs w:val="24"/>
          <w:highlight w:val="none"/>
          <w:lang w:val="en-US" w:eastAsia="zh-CN"/>
        </w:rPr>
        <w:t>截图</w:t>
      </w:r>
      <w:bookmarkEnd w:id="155"/>
      <w:bookmarkEnd w:id="156"/>
    </w:p>
    <w:p w14:paraId="5431DE49">
      <w:pPr>
        <w:pStyle w:val="52"/>
        <w:ind w:left="0"/>
        <w:jc w:val="center"/>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mc:AlternateContent>
          <mc:Choice Requires="wps">
            <w:drawing>
              <wp:anchor distT="0" distB="0" distL="0" distR="0" simplePos="0" relativeHeight="251659264" behindDoc="0" locked="0" layoutInCell="1" allowOverlap="1">
                <wp:simplePos x="0" y="0"/>
                <wp:positionH relativeFrom="column">
                  <wp:posOffset>5917565</wp:posOffset>
                </wp:positionH>
                <wp:positionV relativeFrom="paragraph">
                  <wp:posOffset>2118995</wp:posOffset>
                </wp:positionV>
                <wp:extent cx="1010920" cy="459740"/>
                <wp:effectExtent l="113665" t="9525" r="18415" b="121285"/>
                <wp:wrapNone/>
                <wp:docPr id="1103" name="圆角矩形标注 38"/>
                <wp:cNvGraphicFramePr/>
                <a:graphic xmlns:a="http://schemas.openxmlformats.org/drawingml/2006/main">
                  <a:graphicData uri="http://schemas.microsoft.com/office/word/2010/wordprocessingShape">
                    <wps:wsp>
                      <wps:cNvSpPr/>
                      <wps:spPr>
                        <a:xfrm>
                          <a:off x="0" y="0"/>
                          <a:ext cx="1010920" cy="459739"/>
                        </a:xfrm>
                        <a:prstGeom prst="wedgeRoundRectCallout">
                          <a:avLst>
                            <a:gd name="adj1" fmla="val -53957"/>
                            <a:gd name="adj2" fmla="val 68370"/>
                            <a:gd name="adj3" fmla="val 16667"/>
                          </a:avLst>
                        </a:prstGeom>
                        <a:solidFill>
                          <a:srgbClr val="FFFFFF"/>
                        </a:solidFill>
                        <a:ln w="19050" cap="flat" cmpd="sng">
                          <a:solidFill>
                            <a:srgbClr val="000000"/>
                          </a:solidFill>
                          <a:prstDash val="solid"/>
                          <a:miter/>
                        </a:ln>
                      </wps:spPr>
                      <wps:txbx>
                        <w:txbxContent>
                          <w:p w14:paraId="50F1492A">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465.95pt;margin-top:166.85pt;height:36.2pt;width:79.6pt;z-index:251659264;v-text-anchor:middle;mso-width-relative:page;mso-height-relative:page;" fillcolor="#FFFFFF" filled="t" stroked="t" coordsize="21600,21600" o:gfxdata="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eI4K3bAAAADAEAAA8AAAAAAAAAAQAgAAAAIgAAAGRycy9kb3ducmV2&#10;LnhtbFBLAQIUABQAAAAIAIdO4kA80WhxawIAANYEAAAOAAAAAAAAAAEAIAAAACoBAABkcnMvZTJv&#10;RG9jLnhtbFBLBQYAAAAABgAGAFkBAAAHBgAAAAA=&#10;" adj="-855,25568,14400">
                <v:fill on="t" focussize="0,0"/>
                <v:stroke weight="1.5pt" color="#000000" joinstyle="miter"/>
                <v:imagedata o:title=""/>
                <o:lock v:ext="edit" aspectratio="f"/>
                <v:textbox>
                  <w:txbxContent>
                    <w:p w14:paraId="50F1492A">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项目位置</w:t>
                      </w:r>
                    </w:p>
                  </w:txbxContent>
                </v:textbox>
              </v:shape>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5704205</wp:posOffset>
                </wp:positionH>
                <wp:positionV relativeFrom="paragraph">
                  <wp:posOffset>2542540</wp:posOffset>
                </wp:positionV>
                <wp:extent cx="190500" cy="211455"/>
                <wp:effectExtent l="17145" t="23495" r="20955" b="31750"/>
                <wp:wrapNone/>
                <wp:docPr id="1104" name="五角星 160"/>
                <wp:cNvGraphicFramePr/>
                <a:graphic xmlns:a="http://schemas.openxmlformats.org/drawingml/2006/main">
                  <a:graphicData uri="http://schemas.microsoft.com/office/word/2010/wordprocessingShape">
                    <wps:wsp>
                      <wps:cNvSpPr/>
                      <wps:spPr>
                        <a:xfrm>
                          <a:off x="0" y="0"/>
                          <a:ext cx="190500" cy="211454"/>
                        </a:xfrm>
                        <a:prstGeom prst="star5">
                          <a:avLst/>
                        </a:prstGeom>
                        <a:solidFill>
                          <a:srgbClr val="5B9BD5"/>
                        </a:solidFill>
                        <a:ln w="12700" cap="flat" cmpd="sng">
                          <a:solidFill>
                            <a:srgbClr val="2E75B5"/>
                          </a:solidFill>
                          <a:prstDash val="solid"/>
                          <a:miter/>
                        </a:ln>
                      </wps:spPr>
                      <wps:bodyPr/>
                    </wps:wsp>
                  </a:graphicData>
                </a:graphic>
              </wp:anchor>
            </w:drawing>
          </mc:Choice>
          <mc:Fallback>
            <w:pict>
              <v:shape id="五角星 160" o:spid="_x0000_s1026" style="position:absolute;left:0pt;margin-left:449.15pt;margin-top:200.2pt;height:16.65pt;width:15pt;z-index:251659264;mso-width-relative:page;mso-height-relative:page;" fillcolor="#5B9BD5" filled="t" stroked="t" coordsize="190500,211454" o:gfxdata="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7qKDvYAAAACwEA&#10;AA8AAAAAAAAAAQAgAAAAIgAAAGRycy9kb3ducmV2LnhtbFBLAQIUABQAAAAIAIdO4kCQs3V54QEA&#10;AMcDAAAOAAAAAAAAAAEAIAAAACcBAABkcnMvZTJvRG9jLnhtbFBLBQYAAAAABgAGAFkBAAB6BQAA&#10;AAA=&#10;" path="m0,80768l72764,80768,95250,0,117735,80768,190499,80768,131631,130685,154117,211453,95250,161535,36382,211453,58868,130685xe">
                <v:path o:connectlocs="95250,0;0,80768;36382,211453;154117,211453;190499,80768" o:connectangles="247,164,82,82,0"/>
                <v:fill on="t" focussize="0,0"/>
                <v:stroke weight="1pt" color="#2E75B5" joinstyle="miter"/>
                <v:imagedata o:title=""/>
                <o:lock v:ext="edit" aspectratio="f"/>
              </v:shape>
            </w:pict>
          </mc:Fallback>
        </mc:AlternateContent>
      </w:r>
      <w:r>
        <w:rPr>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251460</wp:posOffset>
                </wp:positionH>
                <wp:positionV relativeFrom="paragraph">
                  <wp:posOffset>2934335</wp:posOffset>
                </wp:positionV>
                <wp:extent cx="2985135" cy="923290"/>
                <wp:effectExtent l="6350" t="6350" r="18415" b="22860"/>
                <wp:wrapNone/>
                <wp:docPr id="1105" name="矩形 114"/>
                <wp:cNvGraphicFramePr/>
                <a:graphic xmlns:a="http://schemas.openxmlformats.org/drawingml/2006/main">
                  <a:graphicData uri="http://schemas.microsoft.com/office/word/2010/wordprocessingShape">
                    <wps:wsp>
                      <wps:cNvSpPr/>
                      <wps:spPr>
                        <a:xfrm>
                          <a:off x="0" y="0"/>
                          <a:ext cx="2985135" cy="923290"/>
                        </a:xfrm>
                        <a:prstGeom prst="rect">
                          <a:avLst/>
                        </a:prstGeom>
                        <a:ln w="12700" cap="flat" cmpd="sng">
                          <a:solidFill>
                            <a:srgbClr val="FF0000"/>
                          </a:solidFill>
                          <a:prstDash val="solid"/>
                          <a:miter/>
                        </a:ln>
                      </wps:spPr>
                      <wps:bodyPr/>
                    </wps:wsp>
                  </a:graphicData>
                </a:graphic>
              </wp:anchor>
            </w:drawing>
          </mc:Choice>
          <mc:Fallback>
            <w:pict>
              <v:rect id="矩形 114" o:spid="_x0000_s1026" o:spt="1" style="position:absolute;left:0pt;margin-left:19.8pt;margin-top:231.05pt;height:72.7pt;width:235.05pt;z-index:251659264;mso-width-relative:page;mso-height-relative:page;" filled="f" stroked="t" coordsize="21600,21600" o:gfxdata="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pKa0tsAAAAKAQAADwAAAAAAAAABACAA&#10;AAAiAAAAZHJzL2Rvd25yZXYueG1sUEsBAhQAFAAAAAgAh07iQDxaWNTRAQAAkAMAAA4AAAAAAAAA&#10;AQAgAAAAKgEAAGRycy9lMm9Eb2MueG1sUEsFBgAAAAAGAAYAWQEAAG0FAAAAAA==&#10;">
                <v:fill on="f" focussize="0,0"/>
                <v:stroke weight="1pt" color="#FF0000" joinstyle="miter"/>
                <v:imagedata o:title=""/>
                <o:lock v:ext="edit" aspectratio="f"/>
              </v:rect>
            </w:pict>
          </mc:Fallback>
        </mc:AlternateContent>
      </w:r>
      <w:r>
        <w:rPr>
          <w:color w:val="000000"/>
          <w:highlight w:val="none"/>
        </w:rPr>
        <w:drawing>
          <wp:inline distT="0" distB="0" distL="0" distR="0">
            <wp:extent cx="8511540" cy="5384165"/>
            <wp:effectExtent l="9525" t="9525" r="13334" b="16510"/>
            <wp:docPr id="1106" name="图片 10"/>
            <wp:cNvGraphicFramePr/>
            <a:graphic xmlns:a="http://schemas.openxmlformats.org/drawingml/2006/main">
              <a:graphicData uri="http://schemas.openxmlformats.org/drawingml/2006/picture">
                <pic:pic xmlns:pic="http://schemas.openxmlformats.org/drawingml/2006/picture">
                  <pic:nvPicPr>
                    <pic:cNvPr id="1106" name="图片 10"/>
                    <pic:cNvPicPr/>
                  </pic:nvPicPr>
                  <pic:blipFill>
                    <a:blip r:embed="rId49" cstate="print"/>
                    <a:srcRect/>
                    <a:stretch>
                      <a:fillRect/>
                    </a:stretch>
                  </pic:blipFill>
                  <pic:spPr>
                    <a:xfrm>
                      <a:off x="0" y="0"/>
                      <a:ext cx="8511540" cy="5384165"/>
                    </a:xfrm>
                    <a:prstGeom prst="rect">
                      <a:avLst/>
                    </a:prstGeom>
                    <a:ln w="9525" cap="flat" cmpd="sng">
                      <a:solidFill>
                        <a:srgbClr val="000000"/>
                      </a:solidFill>
                      <a:prstDash val="solid"/>
                      <a:round/>
                    </a:ln>
                  </pic:spPr>
                </pic:pic>
              </a:graphicData>
            </a:graphic>
          </wp:inline>
        </w:drawing>
      </w:r>
    </w:p>
    <w:p w14:paraId="43F77046">
      <w:pPr>
        <w:pStyle w:val="52"/>
        <w:ind w:left="0"/>
        <w:jc w:val="center"/>
        <w:rPr>
          <w:rFonts w:hint="default" w:ascii="Times New Roman" w:hAnsi="Times New Roman" w:cs="Times New Roman"/>
          <w:color w:val="000000"/>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511C5F0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7" w:name="_Toc14111"/>
      <w:bookmarkStart w:id="158" w:name="_Toc3273"/>
      <w:r>
        <w:rPr>
          <w:rFonts w:hint="default" w:ascii="Times New Roman" w:hAnsi="Times New Roman" w:eastAsia="宋体" w:cs="Times New Roman"/>
          <w:b/>
          <w:bCs/>
          <w:color w:val="000000"/>
          <w:sz w:val="24"/>
          <w:szCs w:val="24"/>
          <w:highlight w:val="none"/>
          <w:lang w:val="en-US" w:eastAsia="zh-CN"/>
        </w:rPr>
        <w:t>项目与大气</w:t>
      </w:r>
      <w:r>
        <w:rPr>
          <w:rFonts w:hint="eastAsia" w:cs="Times New Roman"/>
          <w:b/>
          <w:bCs/>
          <w:color w:val="000000"/>
          <w:sz w:val="24"/>
          <w:szCs w:val="24"/>
          <w:highlight w:val="none"/>
          <w:lang w:val="en-US" w:eastAsia="zh-CN"/>
        </w:rPr>
        <w:t>引用</w:t>
      </w:r>
      <w:r>
        <w:rPr>
          <w:rFonts w:hint="default" w:ascii="Times New Roman" w:hAnsi="Times New Roman" w:eastAsia="宋体" w:cs="Times New Roman"/>
          <w:b/>
          <w:bCs/>
          <w:color w:val="000000"/>
          <w:sz w:val="24"/>
          <w:szCs w:val="24"/>
          <w:highlight w:val="none"/>
          <w:lang w:val="en-US" w:eastAsia="zh-CN"/>
        </w:rPr>
        <w:t>监测点位置图</w:t>
      </w:r>
      <w:bookmarkEnd w:id="157"/>
      <w:bookmarkEnd w:id="158"/>
    </w:p>
    <w:p w14:paraId="025DA8C2">
      <w:pPr>
        <w:pStyle w:val="52"/>
        <w:ind w:left="0"/>
        <w:jc w:val="center"/>
        <w:rPr>
          <w:rFonts w:hint="default" w:ascii="Times New Roman" w:hAnsi="Times New Roman" w:cs="Times New Roman"/>
          <w:color w:val="000000"/>
          <w:highlight w:val="none"/>
        </w:rPr>
      </w:pPr>
      <w:r>
        <w:rPr>
          <w:sz w:val="32"/>
        </w:rPr>
        <mc:AlternateContent>
          <mc:Choice Requires="wps">
            <w:drawing>
              <wp:anchor distT="0" distB="0" distL="0" distR="0" simplePos="0" relativeHeight="251659264" behindDoc="0" locked="0" layoutInCell="1" allowOverlap="1">
                <wp:simplePos x="0" y="0"/>
                <wp:positionH relativeFrom="column">
                  <wp:posOffset>24130</wp:posOffset>
                </wp:positionH>
                <wp:positionV relativeFrom="paragraph">
                  <wp:posOffset>3973195</wp:posOffset>
                </wp:positionV>
                <wp:extent cx="1475105" cy="1221105"/>
                <wp:effectExtent l="4445" t="4445" r="6350" b="12700"/>
                <wp:wrapNone/>
                <wp:docPr id="1107" name="文本框 121"/>
                <wp:cNvGraphicFramePr/>
                <a:graphic xmlns:a="http://schemas.openxmlformats.org/drawingml/2006/main">
                  <a:graphicData uri="http://schemas.microsoft.com/office/word/2010/wordprocessingShape">
                    <wps:wsp>
                      <wps:cNvSpPr/>
                      <wps:spPr>
                        <a:xfrm>
                          <a:off x="0" y="0"/>
                          <a:ext cx="1475105" cy="1221104"/>
                        </a:xfrm>
                        <a:prstGeom prst="rect">
                          <a:avLst/>
                        </a:prstGeom>
                        <a:solidFill>
                          <a:srgbClr val="FFFFFF"/>
                        </a:solidFill>
                        <a:ln w="6350" cap="flat" cmpd="sng">
                          <a:solidFill>
                            <a:srgbClr val="000000"/>
                          </a:solidFill>
                          <a:prstDash val="solid"/>
                          <a:round/>
                        </a:ln>
                      </wps:spPr>
                      <wps:txbx>
                        <w:txbxContent>
                          <w:p w14:paraId="63E105B2">
                            <w:pPr>
                              <w:jc w:val="center"/>
                              <w:rPr>
                                <w:rFonts w:hint="default"/>
                                <w:b/>
                                <w:bCs/>
                                <w:lang w:val="en-US" w:eastAsia="zh-CN"/>
                              </w:rPr>
                            </w:pPr>
                            <w:r>
                              <w:rPr>
                                <w:rFonts w:hint="eastAsia"/>
                                <w:b/>
                                <w:bCs/>
                                <w:lang w:val="en-US" w:eastAsia="zh-CN"/>
                              </w:rPr>
                              <w:t>图例</w:t>
                            </w:r>
                          </w:p>
                          <w:p w14:paraId="5FD4343C">
                            <w:pPr>
                              <w:jc w:val="right"/>
                              <w:rPr>
                                <w:rFonts w:hint="default"/>
                                <w:lang w:val="en-US" w:eastAsia="zh-CN"/>
                              </w:rPr>
                            </w:pPr>
                            <w:r>
                              <w:drawing>
                                <wp:inline distT="0" distB="0" distL="0" distR="0">
                                  <wp:extent cx="175895" cy="215900"/>
                                  <wp:effectExtent l="0" t="0" r="14605" b="12700"/>
                                  <wp:docPr id="2049" name="图片 14"/>
                                  <wp:cNvGraphicFramePr/>
                                  <a:graphic xmlns:a="http://schemas.openxmlformats.org/drawingml/2006/main">
                                    <a:graphicData uri="http://schemas.openxmlformats.org/drawingml/2006/picture">
                                      <pic:pic xmlns:pic="http://schemas.openxmlformats.org/drawingml/2006/picture">
                                        <pic:nvPicPr>
                                          <pic:cNvPr id="2049" name="图片 14"/>
                                          <pic:cNvPicPr/>
                                        </pic:nvPicPr>
                                        <pic:blipFill>
                                          <a:blip r:embed="rId50" cstate="print"/>
                                          <a:srcRect r="-13592" b="15490"/>
                                          <a:stretch>
                                            <a:fillRect/>
                                          </a:stretch>
                                        </pic:blipFill>
                                        <pic:spPr>
                                          <a:xfrm>
                                            <a:off x="0" y="0"/>
                                            <a:ext cx="175895" cy="215900"/>
                                          </a:xfrm>
                                          <a:prstGeom prst="rect">
                                            <a:avLst/>
                                          </a:prstGeom>
                                          <a:ln>
                                            <a:noFill/>
                                          </a:ln>
                                        </pic:spPr>
                                      </pic:pic>
                                    </a:graphicData>
                                  </a:graphic>
                                </wp:inline>
                              </w:drawing>
                            </w:r>
                            <w:r>
                              <w:rPr>
                                <w:rFonts w:hint="eastAsia"/>
                                <w:lang w:val="en-US" w:eastAsia="zh-CN"/>
                              </w:rPr>
                              <w:t xml:space="preserve">  本项目位置</w:t>
                            </w:r>
                          </w:p>
                          <w:p w14:paraId="79F46D49">
                            <w:pPr>
                              <w:pStyle w:val="2"/>
                              <w:jc w:val="right"/>
                              <w:rPr>
                                <w:rFonts w:hint="default"/>
                                <w:lang w:val="en-US" w:eastAsia="zh-CN"/>
                              </w:rPr>
                            </w:pPr>
                            <w:r>
                              <w:drawing>
                                <wp:inline distT="0" distB="0" distL="0" distR="0">
                                  <wp:extent cx="157480" cy="251460"/>
                                  <wp:effectExtent l="0" t="0" r="13970" b="14605"/>
                                  <wp:docPr id="2050" name="图片 13"/>
                                  <wp:cNvGraphicFramePr/>
                                  <a:graphic xmlns:a="http://schemas.openxmlformats.org/drawingml/2006/main">
                                    <a:graphicData uri="http://schemas.openxmlformats.org/drawingml/2006/picture">
                                      <pic:pic xmlns:pic="http://schemas.openxmlformats.org/drawingml/2006/picture">
                                        <pic:nvPicPr>
                                          <pic:cNvPr id="2050" name="图片 13"/>
                                          <pic:cNvPicPr/>
                                        </pic:nvPicPr>
                                        <pic:blipFill>
                                          <a:blip r:embed="rId51" cstate="print"/>
                                          <a:srcRect/>
                                          <a:stretch>
                                            <a:fillRect/>
                                          </a:stretch>
                                        </pic:blipFill>
                                        <pic:spPr>
                                          <a:xfrm>
                                            <a:off x="0" y="0"/>
                                            <a:ext cx="157480" cy="252094"/>
                                          </a:xfrm>
                                          <a:prstGeom prst="rect">
                                            <a:avLst/>
                                          </a:prstGeom>
                                          <a:ln>
                                            <a:noFill/>
                                          </a:ln>
                                        </pic:spPr>
                                      </pic:pic>
                                    </a:graphicData>
                                  </a:graphic>
                                </wp:inline>
                              </w:drawing>
                            </w:r>
                            <w:r>
                              <w:rPr>
                                <w:rFonts w:hint="eastAsia"/>
                                <w:lang w:val="en-US" w:eastAsia="zh-CN"/>
                              </w:rPr>
                              <w:t xml:space="preserve">    监测点位</w:t>
                            </w:r>
                          </w:p>
                        </w:txbxContent>
                      </wps:txbx>
                      <wps:bodyPr vert="horz" wrap="square" lIns="91440" tIns="45720" rIns="91440" bIns="45720" anchor="t">
                        <a:noAutofit/>
                      </wps:bodyPr>
                    </wps:wsp>
                  </a:graphicData>
                </a:graphic>
              </wp:anchor>
            </w:drawing>
          </mc:Choice>
          <mc:Fallback>
            <w:pict>
              <v:rect id="文本框 121" o:spid="_x0000_s1026" o:spt="1" style="position:absolute;left:0pt;margin-left:1.9pt;margin-top:312.85pt;height:96.15pt;width:116.15pt;z-index:251659264;mso-width-relative:page;mso-height-relative:page;" fillcolor="#FFFFFF" filled="t" stroked="t" coordsize="21600,21600" o:gfxdata="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261UPXAAAACQEA&#10;AA8AAAAAAAAAAQAgAAAAIgAAAGRycy9kb3ducmV2LnhtbFBLAQIUABQAAAAIAIdO4kBe8xhxGwIA&#10;AEUEAAAOAAAAAAAAAAEAIAAAACYBAABkcnMvZTJvRG9jLnhtbFBLBQYAAAAABgAGAFkBAACzBQAA&#10;AAA=&#10;">
                <v:fill on="t" focussize="0,0"/>
                <v:stroke weight="0.5pt" color="#000000" joinstyle="round"/>
                <v:imagedata o:title=""/>
                <o:lock v:ext="edit" aspectratio="f"/>
                <v:textbox>
                  <w:txbxContent>
                    <w:p w14:paraId="63E105B2">
                      <w:pPr>
                        <w:jc w:val="center"/>
                        <w:rPr>
                          <w:rFonts w:hint="default"/>
                          <w:b/>
                          <w:bCs/>
                          <w:lang w:val="en-US" w:eastAsia="zh-CN"/>
                        </w:rPr>
                      </w:pPr>
                      <w:r>
                        <w:rPr>
                          <w:rFonts w:hint="eastAsia"/>
                          <w:b/>
                          <w:bCs/>
                          <w:lang w:val="en-US" w:eastAsia="zh-CN"/>
                        </w:rPr>
                        <w:t>图例</w:t>
                      </w:r>
                    </w:p>
                    <w:p w14:paraId="5FD4343C">
                      <w:pPr>
                        <w:jc w:val="right"/>
                        <w:rPr>
                          <w:rFonts w:hint="default"/>
                          <w:lang w:val="en-US" w:eastAsia="zh-CN"/>
                        </w:rPr>
                      </w:pPr>
                      <w:r>
                        <w:drawing>
                          <wp:inline distT="0" distB="0" distL="0" distR="0">
                            <wp:extent cx="175895" cy="215900"/>
                            <wp:effectExtent l="0" t="0" r="14605" b="12700"/>
                            <wp:docPr id="2049" name="图片 14"/>
                            <wp:cNvGraphicFramePr/>
                            <a:graphic xmlns:a="http://schemas.openxmlformats.org/drawingml/2006/main">
                              <a:graphicData uri="http://schemas.openxmlformats.org/drawingml/2006/picture">
                                <pic:pic xmlns:pic="http://schemas.openxmlformats.org/drawingml/2006/picture">
                                  <pic:nvPicPr>
                                    <pic:cNvPr id="2049" name="图片 14"/>
                                    <pic:cNvPicPr/>
                                  </pic:nvPicPr>
                                  <pic:blipFill>
                                    <a:blip r:embed="rId50" cstate="print"/>
                                    <a:srcRect r="-13592" b="15490"/>
                                    <a:stretch>
                                      <a:fillRect/>
                                    </a:stretch>
                                  </pic:blipFill>
                                  <pic:spPr>
                                    <a:xfrm>
                                      <a:off x="0" y="0"/>
                                      <a:ext cx="175895" cy="215900"/>
                                    </a:xfrm>
                                    <a:prstGeom prst="rect">
                                      <a:avLst/>
                                    </a:prstGeom>
                                    <a:ln>
                                      <a:noFill/>
                                    </a:ln>
                                  </pic:spPr>
                                </pic:pic>
                              </a:graphicData>
                            </a:graphic>
                          </wp:inline>
                        </w:drawing>
                      </w:r>
                      <w:r>
                        <w:rPr>
                          <w:rFonts w:hint="eastAsia"/>
                          <w:lang w:val="en-US" w:eastAsia="zh-CN"/>
                        </w:rPr>
                        <w:t xml:space="preserve">  本项目位置</w:t>
                      </w:r>
                    </w:p>
                    <w:p w14:paraId="79F46D49">
                      <w:pPr>
                        <w:pStyle w:val="2"/>
                        <w:jc w:val="right"/>
                        <w:rPr>
                          <w:rFonts w:hint="default"/>
                          <w:lang w:val="en-US" w:eastAsia="zh-CN"/>
                        </w:rPr>
                      </w:pPr>
                      <w:r>
                        <w:drawing>
                          <wp:inline distT="0" distB="0" distL="0" distR="0">
                            <wp:extent cx="157480" cy="251460"/>
                            <wp:effectExtent l="0" t="0" r="13970" b="14605"/>
                            <wp:docPr id="2050" name="图片 13"/>
                            <wp:cNvGraphicFramePr/>
                            <a:graphic xmlns:a="http://schemas.openxmlformats.org/drawingml/2006/main">
                              <a:graphicData uri="http://schemas.openxmlformats.org/drawingml/2006/picture">
                                <pic:pic xmlns:pic="http://schemas.openxmlformats.org/drawingml/2006/picture">
                                  <pic:nvPicPr>
                                    <pic:cNvPr id="2050" name="图片 13"/>
                                    <pic:cNvPicPr/>
                                  </pic:nvPicPr>
                                  <pic:blipFill>
                                    <a:blip r:embed="rId51" cstate="print"/>
                                    <a:srcRect/>
                                    <a:stretch>
                                      <a:fillRect/>
                                    </a:stretch>
                                  </pic:blipFill>
                                  <pic:spPr>
                                    <a:xfrm>
                                      <a:off x="0" y="0"/>
                                      <a:ext cx="157480" cy="252094"/>
                                    </a:xfrm>
                                    <a:prstGeom prst="rect">
                                      <a:avLst/>
                                    </a:prstGeom>
                                    <a:ln>
                                      <a:noFill/>
                                    </a:ln>
                                  </pic:spPr>
                                </pic:pic>
                              </a:graphicData>
                            </a:graphic>
                          </wp:inline>
                        </w:drawing>
                      </w:r>
                      <w:r>
                        <w:rPr>
                          <w:rFonts w:hint="eastAsia"/>
                          <w:lang w:val="en-US" w:eastAsia="zh-CN"/>
                        </w:rPr>
                        <w:t xml:space="preserve">    监测点位</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3050540</wp:posOffset>
                </wp:positionH>
                <wp:positionV relativeFrom="paragraph">
                  <wp:posOffset>906145</wp:posOffset>
                </wp:positionV>
                <wp:extent cx="761365" cy="319405"/>
                <wp:effectExtent l="6350" t="6350" r="775335" b="17145"/>
                <wp:wrapNone/>
                <wp:docPr id="1108" name="矩形标注 117"/>
                <wp:cNvGraphicFramePr/>
                <a:graphic xmlns:a="http://schemas.openxmlformats.org/drawingml/2006/main">
                  <a:graphicData uri="http://schemas.microsoft.com/office/word/2010/wordprocessingShape">
                    <wps:wsp>
                      <wps:cNvSpPr/>
                      <wps:spPr>
                        <a:xfrm>
                          <a:off x="0" y="0"/>
                          <a:ext cx="761365" cy="319405"/>
                        </a:xfrm>
                        <a:prstGeom prst="wedgeRectCallout">
                          <a:avLst>
                            <a:gd name="adj1" fmla="val 144578"/>
                            <a:gd name="adj2" fmla="val 17395"/>
                          </a:avLst>
                        </a:prstGeom>
                        <a:ln w="12700" cap="flat" cmpd="sng">
                          <a:solidFill>
                            <a:srgbClr val="FF0000"/>
                          </a:solidFill>
                          <a:prstDash val="solid"/>
                          <a:miter/>
                        </a:ln>
                      </wps:spPr>
                      <wps:txbx>
                        <w:txbxContent>
                          <w:p w14:paraId="4AC82AD5">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wps:txbx>
                      <wps:bodyPr vert="horz" wrap="square" lIns="91440" tIns="45720" rIns="91440" bIns="45720" anchor="ctr">
                        <a:noAutofit/>
                      </wps:bodyPr>
                    </wps:wsp>
                  </a:graphicData>
                </a:graphic>
              </wp:anchor>
            </w:drawing>
          </mc:Choice>
          <mc:Fallback>
            <w:pict>
              <v:shape id="矩形标注 117" o:spid="_x0000_s1026" o:spt="61" type="#_x0000_t61" style="position:absolute;left:0pt;margin-left:240.2pt;margin-top:71.35pt;height:25.15pt;width:59.95pt;z-index:251659264;v-text-anchor:middle;mso-width-relative:page;mso-height-relative:page;" filled="f" stroked="t" coordsize="21600,21600" o:gfxdata="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KfLajZAAAACwEAAA8AAAAAAAAAAQAg&#10;AAAAIgAAAGRycy9kb3ducmV2LnhtbFBLAQIUABQAAAAIAIdO4kC7cG4GRgIAAHMEAAAOAAAAAAAA&#10;AAEAIAAAACgBAABkcnMvZTJvRG9jLnhtbFBLBQYAAAAABgAGAFkBAADgBQAAAAA=&#10;" adj="42029,14557">
                <v:fill on="f" focussize="0,0"/>
                <v:stroke weight="1pt" color="#FF0000" joinstyle="miter"/>
                <v:imagedata o:title=""/>
                <o:lock v:ext="edit" aspectratio="f"/>
                <v:textbox>
                  <w:txbxContent>
                    <w:p w14:paraId="4AC82AD5">
                      <w:pPr>
                        <w:spacing w:line="240" w:lineRule="auto"/>
                        <w:jc w:val="center"/>
                        <w:rPr>
                          <w:rFonts w:hint="default" w:eastAsia="宋体"/>
                          <w:b w:val="0"/>
                          <w:bCs w:val="0"/>
                          <w:color w:val="FF0000"/>
                          <w:sz w:val="21"/>
                          <w:szCs w:val="21"/>
                          <w:lang w:val="en-US" w:eastAsia="zh-CN"/>
                          <w14:textOutline w14:w="9525" w14:cap="flat" w14:cmpd="sng">
                            <w14:solidFill>
                              <w14:srgbClr w14:val="FF0000"/>
                            </w14:solidFill>
                            <w14:prstDash w14:val="solid"/>
                            <w14:round/>
                          </w14:textOutline>
                        </w:rPr>
                      </w:pPr>
                      <w:r>
                        <w:rPr>
                          <w:rFonts w:hint="eastAsia"/>
                          <w:b w:val="0"/>
                          <w:bCs w:val="0"/>
                          <w:color w:val="000000"/>
                          <w:sz w:val="21"/>
                          <w:szCs w:val="21"/>
                          <w:lang w:val="en-US" w:eastAsia="zh-CN"/>
                          <w14:textOutline w14:w="9525" w14:cap="flat" w14:cmpd="sng">
                            <w14:solidFill>
                              <w14:srgbClr w14:val="FF0000"/>
                            </w14:solidFill>
                            <w14:prstDash w14:val="solid"/>
                            <w14:round/>
                          </w14:textOutline>
                        </w:rPr>
                        <w:t>项目位置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4839970</wp:posOffset>
                </wp:positionH>
                <wp:positionV relativeFrom="paragraph">
                  <wp:posOffset>3750945</wp:posOffset>
                </wp:positionV>
                <wp:extent cx="776605" cy="344170"/>
                <wp:effectExtent l="0" t="0" r="0" b="0"/>
                <wp:wrapNone/>
                <wp:docPr id="1109" name="文本框 120"/>
                <wp:cNvGraphicFramePr/>
                <a:graphic xmlns:a="http://schemas.openxmlformats.org/drawingml/2006/main">
                  <a:graphicData uri="http://schemas.microsoft.com/office/word/2010/wordprocessingShape">
                    <wps:wsp>
                      <wps:cNvSpPr/>
                      <wps:spPr>
                        <a:xfrm>
                          <a:off x="0" y="0"/>
                          <a:ext cx="776604" cy="344170"/>
                        </a:xfrm>
                        <a:prstGeom prst="rect">
                          <a:avLst/>
                        </a:prstGeom>
                        <a:ln>
                          <a:noFill/>
                        </a:ln>
                      </wps:spPr>
                      <wps:txbx>
                        <w:txbxContent>
                          <w:p w14:paraId="659C358F">
                            <w:pPr>
                              <w:rPr>
                                <w:rFonts w:hint="default" w:eastAsia="宋体"/>
                                <w:b/>
                                <w:bCs/>
                                <w:color w:val="FFFF00"/>
                                <w:lang w:val="en-US" w:eastAsia="zh-CN"/>
                              </w:rPr>
                            </w:pPr>
                            <w:r>
                              <w:rPr>
                                <w:rFonts w:hint="eastAsia"/>
                                <w:b/>
                                <w:bCs/>
                                <w:color w:val="FFFF00"/>
                                <w:lang w:val="en-US" w:eastAsia="zh-CN"/>
                              </w:rPr>
                              <w:t>3745m</w:t>
                            </w:r>
                          </w:p>
                        </w:txbxContent>
                      </wps:txbx>
                      <wps:bodyPr vert="horz" wrap="square" lIns="91440" tIns="45720" rIns="91440" bIns="45720" anchor="t">
                        <a:noAutofit/>
                      </wps:bodyPr>
                    </wps:wsp>
                  </a:graphicData>
                </a:graphic>
              </wp:anchor>
            </w:drawing>
          </mc:Choice>
          <mc:Fallback>
            <w:pict>
              <v:rect id="文本框 120" o:spid="_x0000_s1026" o:spt="1" style="position:absolute;left:0pt;margin-left:381.1pt;margin-top:295.35pt;height:27.1pt;width:61.15pt;z-index:251659264;mso-width-relative:page;mso-height-relative:page;" filled="f" stroked="f" coordsize="21600,21600" o:gfxdata="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LN3GQ3QAAAAsBAAAP&#10;AAAAAAAAAAEAIAAAACIAAABkcnMvZG93bnJldi54bWxQSwECFAAUAAAACACHTuJA5S1krdoBAACk&#10;AwAADgAAAAAAAAABACAAAAAsAQAAZHJzL2Uyb0RvYy54bWxQSwUGAAAAAAYABgBZAQAAeAUAAAAA&#10;">
                <v:fill on="f" focussize="0,0"/>
                <v:stroke on="f"/>
                <v:imagedata o:title=""/>
                <o:lock v:ext="edit" aspectratio="f"/>
                <v:textbox>
                  <w:txbxContent>
                    <w:p w14:paraId="659C358F">
                      <w:pPr>
                        <w:rPr>
                          <w:rFonts w:hint="default" w:eastAsia="宋体"/>
                          <w:b/>
                          <w:bCs/>
                          <w:color w:val="FFFF00"/>
                          <w:lang w:val="en-US" w:eastAsia="zh-CN"/>
                        </w:rPr>
                      </w:pPr>
                      <w:r>
                        <w:rPr>
                          <w:rFonts w:hint="eastAsia"/>
                          <w:b/>
                          <w:bCs/>
                          <w:color w:val="FFFF00"/>
                          <w:lang w:val="en-US" w:eastAsia="zh-CN"/>
                        </w:rPr>
                        <w:t>3745m</w:t>
                      </w:r>
                    </w:p>
                  </w:txbxContent>
                </v:textbox>
              </v:rect>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4648200</wp:posOffset>
                </wp:positionH>
                <wp:positionV relativeFrom="paragraph">
                  <wp:posOffset>1132840</wp:posOffset>
                </wp:positionV>
                <wp:extent cx="311150" cy="3396615"/>
                <wp:effectExtent l="42545" t="0" r="46355" b="13334"/>
                <wp:wrapNone/>
                <wp:docPr id="1110" name="直接箭头连接符 119"/>
                <wp:cNvGraphicFramePr/>
                <a:graphic xmlns:a="http://schemas.openxmlformats.org/drawingml/2006/main">
                  <a:graphicData uri="http://schemas.microsoft.com/office/word/2010/wordprocessingShape">
                    <wps:wsp>
                      <wps:cNvCnPr/>
                      <wps:spPr>
                        <a:xfrm>
                          <a:off x="0" y="0"/>
                          <a:ext cx="311150" cy="3396615"/>
                        </a:xfrm>
                        <a:prstGeom prst="straightConnector1">
                          <a:avLst/>
                        </a:prstGeom>
                        <a:ln w="12700" cap="flat" cmpd="sng">
                          <a:solidFill>
                            <a:srgbClr val="FFFF00"/>
                          </a:solidFill>
                          <a:prstDash val="solid"/>
                          <a:miter/>
                          <a:headEnd type="arrow" w="med" len="med"/>
                          <a:tailEnd type="arrow" w="med" len="med"/>
                        </a:ln>
                      </wps:spPr>
                      <wps:bodyPr/>
                    </wps:wsp>
                  </a:graphicData>
                </a:graphic>
              </wp:anchor>
            </w:drawing>
          </mc:Choice>
          <mc:Fallback>
            <w:pict>
              <v:shape id="直接箭头连接符 119" o:spid="_x0000_s1026" o:spt="32" type="#_x0000_t32" style="position:absolute;left:0pt;margin-left:366pt;margin-top:89.2pt;height:267.45pt;width:24.5pt;z-index:251659264;mso-width-relative:page;mso-height-relative:page;" filled="f" stroked="t" coordsize="21600,21600" o:gfxdata="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c0E9oAAAALAQAADwAAAAAAAAABACAA&#10;AAAiAAAAZHJzL2Rvd25yZXYueG1sUEsBAhQAFAAAAAgAh07iQJGpuAsLAgAAAwQAAA4AAAAAAAAA&#10;AQAgAAAAKQEAAGRycy9lMm9Eb2MueG1sUEsFBgAAAAAGAAYAWQEAAKYFAAAAAA==&#10;">
                <v:fill on="f" focussize="0,0"/>
                <v:stroke weight="1pt" color="#FFFF00" joinstyle="miter" startarrow="open"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7969250</wp:posOffset>
            </wp:positionH>
            <wp:positionV relativeFrom="paragraph">
              <wp:posOffset>106045</wp:posOffset>
            </wp:positionV>
            <wp:extent cx="802640" cy="819150"/>
            <wp:effectExtent l="0" t="0" r="6985" b="1270"/>
            <wp:wrapNone/>
            <wp:docPr id="1111" name="图片 2"/>
            <wp:cNvGraphicFramePr/>
            <a:graphic xmlns:a="http://schemas.openxmlformats.org/drawingml/2006/main">
              <a:graphicData uri="http://schemas.openxmlformats.org/drawingml/2006/picture">
                <pic:pic xmlns:pic="http://schemas.openxmlformats.org/drawingml/2006/picture">
                  <pic:nvPicPr>
                    <pic:cNvPr id="1111"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drawing>
          <wp:inline distT="0" distB="0" distL="0" distR="0">
            <wp:extent cx="8794115" cy="5164455"/>
            <wp:effectExtent l="0" t="0" r="0" b="0"/>
            <wp:docPr id="1112" name="图片 8"/>
            <wp:cNvGraphicFramePr/>
            <a:graphic xmlns:a="http://schemas.openxmlformats.org/drawingml/2006/main">
              <a:graphicData uri="http://schemas.openxmlformats.org/drawingml/2006/picture">
                <pic:pic xmlns:pic="http://schemas.openxmlformats.org/drawingml/2006/picture">
                  <pic:nvPicPr>
                    <pic:cNvPr id="1112" name="图片 8"/>
                    <pic:cNvPicPr/>
                  </pic:nvPicPr>
                  <pic:blipFill>
                    <a:blip r:embed="rId52" cstate="print"/>
                    <a:srcRect t="13202"/>
                    <a:stretch>
                      <a:fillRect/>
                    </a:stretch>
                  </pic:blipFill>
                  <pic:spPr>
                    <a:xfrm>
                      <a:off x="0" y="0"/>
                      <a:ext cx="8794115" cy="5164455"/>
                    </a:xfrm>
                    <a:prstGeom prst="rect">
                      <a:avLst/>
                    </a:prstGeom>
                    <a:ln>
                      <a:noFill/>
                    </a:ln>
                  </pic:spPr>
                </pic:pic>
              </a:graphicData>
            </a:graphic>
          </wp:inline>
        </w:drawing>
      </w:r>
    </w:p>
    <w:p w14:paraId="2D8A915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0358C12">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59" w:name="_Toc418"/>
      <w:bookmarkStart w:id="160" w:name="_Toc16104"/>
      <w:r>
        <w:rPr>
          <w:rFonts w:hint="default" w:ascii="Times New Roman" w:hAnsi="Times New Roman" w:eastAsia="宋体" w:cs="Times New Roman"/>
          <w:b/>
          <w:bCs/>
          <w:color w:val="000000"/>
          <w:sz w:val="24"/>
          <w:szCs w:val="24"/>
          <w:highlight w:val="none"/>
          <w:lang w:val="en-US" w:eastAsia="zh-CN"/>
        </w:rPr>
        <w:t>乐昌产业转移工业园管网分布图</w:t>
      </w:r>
      <w:bookmarkEnd w:id="159"/>
      <w:bookmarkEnd w:id="160"/>
    </w:p>
    <w:p w14:paraId="0CCC6033">
      <w:pPr>
        <w:pStyle w:val="2"/>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mc:AlternateContent>
          <mc:Choice Requires="wps">
            <w:drawing>
              <wp:anchor distT="0" distB="0" distL="0" distR="0" simplePos="0" relativeHeight="251659264" behindDoc="0" locked="0" layoutInCell="1" allowOverlap="1">
                <wp:simplePos x="0" y="0"/>
                <wp:positionH relativeFrom="column">
                  <wp:posOffset>2454910</wp:posOffset>
                </wp:positionH>
                <wp:positionV relativeFrom="paragraph">
                  <wp:posOffset>2315845</wp:posOffset>
                </wp:positionV>
                <wp:extent cx="1010920" cy="459740"/>
                <wp:effectExtent l="9525" t="9525" r="15875" b="264795"/>
                <wp:wrapNone/>
                <wp:docPr id="1113" name="圆角矩形标注 38"/>
                <wp:cNvGraphicFramePr/>
                <a:graphic xmlns:a="http://schemas.openxmlformats.org/drawingml/2006/main">
                  <a:graphicData uri="http://schemas.microsoft.com/office/word/2010/wordprocessingShape">
                    <wps:wsp>
                      <wps:cNvSpPr/>
                      <wps:spPr>
                        <a:xfrm>
                          <a:off x="0" y="0"/>
                          <a:ext cx="1010919" cy="459739"/>
                        </a:xfrm>
                        <a:prstGeom prst="wedgeRoundRectCallout">
                          <a:avLst>
                            <a:gd name="adj1" fmla="val -21536"/>
                            <a:gd name="adj2" fmla="val 102868"/>
                            <a:gd name="adj3" fmla="val 16667"/>
                          </a:avLst>
                        </a:prstGeom>
                        <a:solidFill>
                          <a:srgbClr val="FFFFFF"/>
                        </a:solidFill>
                        <a:ln w="19050" cap="flat" cmpd="sng">
                          <a:solidFill>
                            <a:srgbClr val="000000"/>
                          </a:solidFill>
                          <a:prstDash val="solid"/>
                          <a:miter/>
                        </a:ln>
                      </wps:spPr>
                      <wps:txbx>
                        <w:txbxContent>
                          <w:p w14:paraId="5A134493">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193.3pt;margin-top:182.35pt;height:36.2pt;width:79.6pt;z-index:251659264;v-text-anchor:middle;mso-width-relative:page;mso-height-relative:page;" fillcolor="#FFFFFF" filled="t" stroked="t" coordsize="21600,21600" o:gfxdata="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N/FEjbAAAACwEAAA8AAAAAAAAAAQAgAAAAIgAAAGRycy9kb3du&#10;cmV2LnhtbFBLAQIUABQAAAAIAIdO4kDfFcphbgIAANcEAAAOAAAAAAAAAAEAIAAAACoBAABkcnMv&#10;ZTJvRG9jLnhtbFBLBQYAAAAABgAGAFkBAAAKBgAAAAA=&#10;" adj="6148,33019,14400">
                <v:fill on="t" focussize="0,0"/>
                <v:stroke weight="1.5pt" color="#000000" joinstyle="miter"/>
                <v:imagedata o:title=""/>
                <o:lock v:ext="edit" aspectratio="f"/>
                <v:textbox>
                  <w:txbxContent>
                    <w:p w14:paraId="5A134493">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color w:val="000000"/>
          <w:sz w:val="24"/>
          <w:highlight w:val="none"/>
        </w:rPr>
        <mc:AlternateContent>
          <mc:Choice Requires="wps">
            <w:drawing>
              <wp:anchor distT="0" distB="0" distL="0" distR="0" simplePos="0" relativeHeight="251659264" behindDoc="0" locked="0" layoutInCell="1" allowOverlap="1">
                <wp:simplePos x="0" y="0"/>
                <wp:positionH relativeFrom="column">
                  <wp:posOffset>2586990</wp:posOffset>
                </wp:positionH>
                <wp:positionV relativeFrom="paragraph">
                  <wp:posOffset>3080385</wp:posOffset>
                </wp:positionV>
                <wp:extent cx="224790" cy="76200"/>
                <wp:effectExtent l="6350" t="6350" r="16510" b="12700"/>
                <wp:wrapNone/>
                <wp:docPr id="1114" name="矩形 1"/>
                <wp:cNvGraphicFramePr/>
                <a:graphic xmlns:a="http://schemas.openxmlformats.org/drawingml/2006/main">
                  <a:graphicData uri="http://schemas.microsoft.com/office/word/2010/wordprocessingShape">
                    <wps:wsp>
                      <wps:cNvSpPr/>
                      <wps:spPr>
                        <a:xfrm>
                          <a:off x="0" y="0"/>
                          <a:ext cx="224789" cy="76200"/>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 o:spid="_x0000_s1026" o:spt="1" style="position:absolute;left:0pt;margin-left:203.7pt;margin-top:242.55pt;height:6pt;width:17.7pt;z-index:251659264;mso-width-relative:page;mso-height-relative:page;" fillcolor="#FF0000" filled="t" stroked="t" coordsize="21600,21600" o:gfxdata="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5RTMX2gAAAAsBAAAPAAAAAAAAAAEA&#10;IAAAACIAAABkcnMvZG93bnJldi54bWxQSwECFAAUAAAACACHTuJAwOofudQBAADAAwAADgAAAAAA&#10;AAABACAAAAApAQAAZHJzL2Uyb0RvYy54bWxQSwUGAAAAAAYABgBZAQAAbwUAAAAA&#10;">
                <v:fill on="t" focussize="0,0"/>
                <v:stroke weight="1pt" color="#000000" joinstyle="miter"/>
                <v:imagedata o:title=""/>
                <o:lock v:ext="edit" aspectratio="f"/>
              </v:rect>
            </w:pict>
          </mc:Fallback>
        </mc:AlternateContent>
      </w:r>
      <w:r>
        <w:rPr>
          <w:position w:val="-263"/>
        </w:rPr>
        <w:drawing>
          <wp:inline distT="0" distB="0" distL="0" distR="0">
            <wp:extent cx="5270500" cy="8363585"/>
            <wp:effectExtent l="0" t="0" r="6350" b="18415"/>
            <wp:docPr id="1115" name="IM 92"/>
            <wp:cNvGraphicFramePr/>
            <a:graphic xmlns:a="http://schemas.openxmlformats.org/drawingml/2006/main">
              <a:graphicData uri="http://schemas.openxmlformats.org/drawingml/2006/picture">
                <pic:pic xmlns:pic="http://schemas.openxmlformats.org/drawingml/2006/picture">
                  <pic:nvPicPr>
                    <pic:cNvPr id="1115" name="IM 92"/>
                    <pic:cNvPicPr/>
                  </pic:nvPicPr>
                  <pic:blipFill>
                    <a:blip r:embed="rId53" cstate="print"/>
                    <a:srcRect/>
                    <a:stretch>
                      <a:fillRect/>
                    </a:stretch>
                  </pic:blipFill>
                  <pic:spPr>
                    <a:xfrm>
                      <a:off x="0" y="0"/>
                      <a:ext cx="5270500" cy="8363585"/>
                    </a:xfrm>
                    <a:prstGeom prst="rect">
                      <a:avLst/>
                    </a:prstGeom>
                  </pic:spPr>
                </pic:pic>
              </a:graphicData>
            </a:graphic>
          </wp:inline>
        </w:drawing>
      </w:r>
    </w:p>
    <w:p w14:paraId="0069251D">
      <w:pPr>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30CB09C">
      <w:pPr>
        <w:pStyle w:val="45"/>
        <w:numPr>
          <w:ilvl w:val="0"/>
          <w:numId w:val="14"/>
        </w:numPr>
        <w:adjustRightInd/>
        <w:spacing w:line="240" w:lineRule="auto"/>
        <w:ind w:leftChars="0" w:firstLineChars="0"/>
        <w:jc w:val="left"/>
        <w:textAlignment w:val="auto"/>
        <w:outlineLvl w:val="0"/>
        <w:rPr>
          <w:rFonts w:hint="default" w:ascii="Times New Roman" w:hAnsi="Times New Roman" w:eastAsia="宋体" w:cs="Times New Roman"/>
          <w:b/>
          <w:bCs/>
          <w:color w:val="000000"/>
          <w:sz w:val="24"/>
          <w:szCs w:val="24"/>
          <w:highlight w:val="none"/>
          <w:lang w:val="en-US" w:eastAsia="zh-CN"/>
        </w:rPr>
      </w:pPr>
      <w:bookmarkStart w:id="161" w:name="_Toc10748"/>
      <w:bookmarkStart w:id="162" w:name="_Toc21144"/>
      <w:r>
        <w:rPr>
          <w:rFonts w:hint="eastAsia" w:ascii="Times New Roman" w:hAnsi="Times New Roman" w:eastAsia="宋体" w:cs="Times New Roman"/>
          <w:b/>
          <w:bCs/>
          <w:color w:val="000000"/>
          <w:sz w:val="24"/>
          <w:szCs w:val="24"/>
          <w:highlight w:val="none"/>
          <w:lang w:val="en-US" w:eastAsia="zh-CN"/>
        </w:rPr>
        <w:t>建设项目与韶关市区武江饮用水水源保护区关系示意图</w:t>
      </w:r>
      <w:bookmarkEnd w:id="161"/>
      <w:bookmarkEnd w:id="162"/>
    </w:p>
    <w:p w14:paraId="4F1BB6E1">
      <w:pPr>
        <w:jc w:val="center"/>
        <w:rPr>
          <w:rFonts w:hint="default" w:ascii="Times New Roman" w:hAnsi="Times New Roman" w:cs="Times New Roman"/>
          <w:color w:val="000000"/>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r>
        <w:rPr>
          <w:sz w:val="21"/>
        </w:rPr>
        <mc:AlternateContent>
          <mc:Choice Requires="wps">
            <w:drawing>
              <wp:anchor distT="0" distB="0" distL="0" distR="0" simplePos="0" relativeHeight="251659264" behindDoc="0" locked="0" layoutInCell="1" allowOverlap="1">
                <wp:simplePos x="0" y="0"/>
                <wp:positionH relativeFrom="column">
                  <wp:posOffset>5282565</wp:posOffset>
                </wp:positionH>
                <wp:positionV relativeFrom="paragraph">
                  <wp:posOffset>577215</wp:posOffset>
                </wp:positionV>
                <wp:extent cx="71755" cy="40005"/>
                <wp:effectExtent l="8255" t="10795" r="15240" b="25400"/>
                <wp:wrapNone/>
                <wp:docPr id="1116" name="任意多边形 87"/>
                <wp:cNvGraphicFramePr/>
                <a:graphic xmlns:a="http://schemas.openxmlformats.org/drawingml/2006/main">
                  <a:graphicData uri="http://schemas.microsoft.com/office/word/2010/wordprocessingShape">
                    <wps:wsp>
                      <wps:cNvSpPr/>
                      <wps:spPr>
                        <a:xfrm rot="21240000">
                          <a:off x="0" y="0"/>
                          <a:ext cx="71754" cy="40005"/>
                        </a:xfrm>
                        <a:custGeom>
                          <a:avLst/>
                          <a:gdLst/>
                          <a:ahLst/>
                          <a:cxnLst/>
                          <a:rect l="l" t="t" r="r" b="b"/>
                          <a:pathLst>
                            <a:path w="104775" h="40005">
                              <a:moveTo>
                                <a:pt x="0" y="3810"/>
                              </a:moveTo>
                              <a:lnTo>
                                <a:pt x="0" y="40005"/>
                              </a:lnTo>
                              <a:lnTo>
                                <a:pt x="104775" y="35560"/>
                              </a:lnTo>
                              <a:lnTo>
                                <a:pt x="104775" y="0"/>
                              </a:lnTo>
                              <a:lnTo>
                                <a:pt x="0" y="3810"/>
                              </a:lnTo>
                              <a:close/>
                            </a:path>
                          </a:pathLst>
                        </a:custGeom>
                        <a:solidFill>
                          <a:srgbClr val="FF0000"/>
                        </a:solidFill>
                        <a:ln w="12700" cap="flat" cmpd="sng">
                          <a:solidFill>
                            <a:srgbClr val="FF0000"/>
                          </a:solidFill>
                          <a:prstDash val="solid"/>
                          <a:miter/>
                        </a:ln>
                      </wps:spPr>
                      <wps:bodyPr/>
                    </wps:wsp>
                  </a:graphicData>
                </a:graphic>
              </wp:anchor>
            </w:drawing>
          </mc:Choice>
          <mc:Fallback>
            <w:pict>
              <v:shape id="任意多边形 87" o:spid="_x0000_s1026" o:spt="100" style="position:absolute;left:0pt;margin-left:415.95pt;margin-top:45.45pt;height:3.15pt;width:5.65pt;rotation:-393216f;z-index:251659264;mso-width-relative:page;mso-height-relative:page;" fillcolor="#FF0000" filled="t" stroked="t" coordsize="104775,40005" o:gfxdata="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eNaEPXAAAACQEA&#10;AA8AAAAAAAAAAQAgAAAAIgAAAGRycy9kb3ducmV2LnhtbFBLAQIUABQAAAAIAIdO4kBsS9jCVAIA&#10;ACMFAAAOAAAAAAAAAAEAIAAAACYBAABkcnMvZTJvRG9jLnhtbFBLBQYAAAAABgAGAFkBAADsBQAA&#10;AAA=&#10;" path="m0,3810l0,40005,104775,35560,104775,0,0,3810xe">
                <v:fill on="t" focussize="0,0"/>
                <v:stroke weight="1pt" color="#FF0000" joinstyle="miter"/>
                <v:imagedata o:title=""/>
                <o:lock v:ext="edit" aspectratio="f"/>
              </v:shape>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5553710</wp:posOffset>
                </wp:positionH>
                <wp:positionV relativeFrom="paragraph">
                  <wp:posOffset>488950</wp:posOffset>
                </wp:positionV>
                <wp:extent cx="149225" cy="93345"/>
                <wp:effectExtent l="6350" t="6985" r="15875" b="13970"/>
                <wp:wrapNone/>
                <wp:docPr id="1117" name="任意多边形 86"/>
                <wp:cNvGraphicFramePr/>
                <a:graphic xmlns:a="http://schemas.openxmlformats.org/drawingml/2006/main">
                  <a:graphicData uri="http://schemas.microsoft.com/office/word/2010/wordprocessingShape">
                    <wps:wsp>
                      <wps:cNvSpPr/>
                      <wps:spPr>
                        <a:xfrm>
                          <a:off x="0" y="0"/>
                          <a:ext cx="149225" cy="93344"/>
                        </a:xfrm>
                        <a:custGeom>
                          <a:avLst/>
                          <a:gdLst/>
                          <a:ahLst/>
                          <a:cxnLst/>
                          <a:rect l="l" t="t" r="r" b="b"/>
                          <a:pathLst>
                            <a:path w="104775" h="40005">
                              <a:moveTo>
                                <a:pt x="0" y="3810"/>
                              </a:moveTo>
                              <a:lnTo>
                                <a:pt x="0" y="40005"/>
                              </a:lnTo>
                              <a:lnTo>
                                <a:pt x="104775" y="35560"/>
                              </a:lnTo>
                              <a:lnTo>
                                <a:pt x="104775" y="0"/>
                              </a:lnTo>
                              <a:lnTo>
                                <a:pt x="0" y="3810"/>
                              </a:lnTo>
                              <a:close/>
                            </a:path>
                          </a:pathLst>
                        </a:custGeom>
                        <a:solidFill>
                          <a:srgbClr val="AEABAB"/>
                        </a:solidFill>
                        <a:ln w="12700" cap="flat" cmpd="sng">
                          <a:solidFill>
                            <a:srgbClr val="7B7B7B"/>
                          </a:solidFill>
                          <a:prstDash val="solid"/>
                          <a:miter/>
                        </a:ln>
                      </wps:spPr>
                      <wps:bodyPr/>
                    </wps:wsp>
                  </a:graphicData>
                </a:graphic>
              </wp:anchor>
            </w:drawing>
          </mc:Choice>
          <mc:Fallback>
            <w:pict>
              <v:shape id="任意多边形 86" o:spid="_x0000_s1026" o:spt="100" style="position:absolute;left:0pt;margin-left:437.3pt;margin-top:38.5pt;height:7.35pt;width:11.75pt;z-index:251659264;mso-width-relative:page;mso-height-relative:page;" fillcolor="#AEABAB" filled="t" stroked="t" coordsize="104775,40005" o:gfxdata="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xz6vB1QAAAAkB&#10;AAAPAAAAAAAAAAEAIAAAACIAAABkcnMvZG93bnJldi54bWxQSwECFAAUAAAACACHTuJAOLdNgVcC&#10;AAAVBQAADgAAAAAAAAABACAAAAAkAQAAZHJzL2Uyb0RvYy54bWxQSwUGAAAAAAYABgBZAQAA7QUA&#10;AAAA&#10;" path="m0,3810l0,40005,104775,35560,104775,0,0,3810xe">
                <v:fill on="t" focussize="0,0"/>
                <v:stroke weight="1pt" color="#7B7B7B" joinstyle="miter"/>
                <v:imagedata o:title=""/>
                <o:lock v:ext="edit" aspectratio="f"/>
              </v:shape>
            </w:pict>
          </mc:Fallback>
        </mc:AlternateContent>
      </w:r>
      <w:r>
        <w:rPr>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2091055</wp:posOffset>
                </wp:positionH>
                <wp:positionV relativeFrom="paragraph">
                  <wp:posOffset>1866900</wp:posOffset>
                </wp:positionV>
                <wp:extent cx="2334260" cy="581660"/>
                <wp:effectExtent l="0" t="0" r="0" b="0"/>
                <wp:wrapNone/>
                <wp:docPr id="1118" name="文本框 146"/>
                <wp:cNvGraphicFramePr/>
                <a:graphic xmlns:a="http://schemas.openxmlformats.org/drawingml/2006/main">
                  <a:graphicData uri="http://schemas.microsoft.com/office/word/2010/wordprocessingShape">
                    <wps:wsp>
                      <wps:cNvSpPr/>
                      <wps:spPr>
                        <a:xfrm>
                          <a:off x="0" y="0"/>
                          <a:ext cx="2334260" cy="581660"/>
                        </a:xfrm>
                        <a:prstGeom prst="rect">
                          <a:avLst/>
                        </a:prstGeom>
                        <a:ln>
                          <a:noFill/>
                        </a:ln>
                      </wps:spPr>
                      <wps:txbx>
                        <w:txbxContent>
                          <w:p w14:paraId="51134BB6">
                            <w:pPr>
                              <w:spacing w:line="240" w:lineRule="auto"/>
                              <w:jc w:val="cente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5320m</w:t>
                            </w:r>
                          </w:p>
                          <w:p w14:paraId="035A0CFE">
                            <w:pPr>
                              <w:spacing w:line="240" w:lineRule="auto"/>
                              <w:jc w:val="center"/>
                              <w:rPr>
                                <w:rFonts w:hint="default" w:eastAsia="宋体"/>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（西南边界至岸线距离）</w:t>
                            </w:r>
                          </w:p>
                        </w:txbxContent>
                      </wps:txbx>
                      <wps:bodyPr vert="horz" wrap="square" lIns="91440" tIns="45720" rIns="91440" bIns="45720" anchor="t">
                        <a:noAutofit/>
                      </wps:bodyPr>
                    </wps:wsp>
                  </a:graphicData>
                </a:graphic>
              </wp:anchor>
            </w:drawing>
          </mc:Choice>
          <mc:Fallback>
            <w:pict>
              <v:rect id="文本框 146" o:spid="_x0000_s1026" o:spt="1" style="position:absolute;left:0pt;margin-left:164.65pt;margin-top:147pt;height:45.8pt;width:183.8pt;z-index:251659264;mso-width-relative:page;mso-height-relative:page;" filled="f" stroked="f" coordsize="21600,21600" o:gfxdata="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aqkGDbAAAACwEAAA8A&#10;AAAAAAAAAQAgAAAAIgAAAGRycy9kb3ducmV2LnhtbFBLAQIUABQAAAAIAIdO4kAT4WLu2wEAAKUD&#10;AAAOAAAAAAAAAAEAIAAAACoBAABkcnMvZTJvRG9jLnhtbFBLBQYAAAAABgAGAFkBAAB3BQAAAAA=&#10;">
                <v:fill on="f" focussize="0,0"/>
                <v:stroke on="f"/>
                <v:imagedata o:title=""/>
                <o:lock v:ext="edit" aspectratio="f"/>
                <v:textbox>
                  <w:txbxContent>
                    <w:p w14:paraId="51134BB6">
                      <w:pPr>
                        <w:spacing w:line="240" w:lineRule="auto"/>
                        <w:jc w:val="cente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5320m</w:t>
                      </w:r>
                    </w:p>
                    <w:p w14:paraId="035A0CFE">
                      <w:pPr>
                        <w:spacing w:line="240" w:lineRule="auto"/>
                        <w:jc w:val="center"/>
                        <w:rPr>
                          <w:rFonts w:hint="default" w:eastAsia="宋体"/>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pPr>
                      <w:r>
                        <w:rPr>
                          <w:rFonts w:hint="eastAsia"/>
                          <w:color w:val="FFFF00"/>
                          <w:lang w:val="en-US" w:eastAsia="zh-CN"/>
                          <w14:glow w14:rad="0">
                            <w14:srgbClr w14:val="000000"/>
                          </w14:glow>
                          <w14:reflection w14:blurRad="0" w14:stA="0" w14:stPos="0" w14:endA="0" w14:endPos="0" w14:dist="0" w14:dir="0" w14:fadeDir="0" w14:sx="0" w14:sy="0" w14:kx="0" w14:ky="0" w14:algn="none"/>
                          <w14:props3d w14:extrusionH="57150" w14:prstMaterial="softEdge">
                            <w14:bevelT w14:w="25400" w14:h="38100"/>
                          </w14:props3d>
                        </w:rPr>
                        <w:t>（西南边界至岸线距离）</w:t>
                      </w:r>
                    </w:p>
                  </w:txbxContent>
                </v:textbox>
              </v:rect>
            </w:pict>
          </mc:Fallback>
        </mc:AlternateContent>
      </w:r>
      <w:r>
        <w:rPr>
          <w:color w:val="000000"/>
          <w:sz w:val="21"/>
          <w:highlight w:val="none"/>
        </w:rPr>
        <mc:AlternateContent>
          <mc:Choice Requires="wps">
            <w:drawing>
              <wp:anchor distT="0" distB="0" distL="0" distR="0" simplePos="0" relativeHeight="251659264" behindDoc="0" locked="0" layoutInCell="1" allowOverlap="1">
                <wp:simplePos x="0" y="0"/>
                <wp:positionH relativeFrom="column">
                  <wp:posOffset>2266315</wp:posOffset>
                </wp:positionH>
                <wp:positionV relativeFrom="paragraph">
                  <wp:posOffset>645160</wp:posOffset>
                </wp:positionV>
                <wp:extent cx="3041015" cy="3775710"/>
                <wp:effectExtent l="0" t="0" r="6985" b="15240"/>
                <wp:wrapNone/>
                <wp:docPr id="1119" name="直接箭头连接符 147"/>
                <wp:cNvGraphicFramePr/>
                <a:graphic xmlns:a="http://schemas.openxmlformats.org/drawingml/2006/main">
                  <a:graphicData uri="http://schemas.microsoft.com/office/word/2010/wordprocessingShape">
                    <wps:wsp>
                      <wps:cNvCnPr/>
                      <wps:spPr>
                        <a:xfrm flipH="1">
                          <a:off x="0" y="0"/>
                          <a:ext cx="3041015" cy="3775710"/>
                        </a:xfrm>
                        <a:prstGeom prst="straightConnector1">
                          <a:avLst/>
                        </a:prstGeom>
                        <a:ln w="19050" cap="flat" cmpd="sng">
                          <a:solidFill>
                            <a:srgbClr val="FFFF00"/>
                          </a:solidFill>
                          <a:prstDash val="solid"/>
                          <a:miter/>
                          <a:headEnd type="arrow" w="med" len="med"/>
                          <a:tailEnd type="arrow" w="med" len="med"/>
                        </a:ln>
                      </wps:spPr>
                      <wps:bodyPr/>
                    </wps:wsp>
                  </a:graphicData>
                </a:graphic>
              </wp:anchor>
            </w:drawing>
          </mc:Choice>
          <mc:Fallback>
            <w:pict>
              <v:shape id="直接箭头连接符 147" o:spid="_x0000_s1026" o:spt="32" type="#_x0000_t32" style="position:absolute;left:0pt;flip:x;margin-left:178.45pt;margin-top:50.8pt;height:297.3pt;width:239.45pt;z-index:251659264;mso-width-relative:page;mso-height-relative:page;" filled="f" stroked="t" coordsize="21600,21600" o:gfxdata="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yGnYPYAAAACwEAAA8A&#10;AAAAAAAAAQAgAAAAIgAAAGRycy9kb3ducmV2LnhtbFBLAQIUABQAAAAIAIdO4kA6sBNUFwIAAA4E&#10;AAAOAAAAAAAAAAEAIAAAACcBAABkcnMvZTJvRG9jLnhtbFBLBQYAAAAABgAGAFkBAACwBQAAAAA=&#10;">
                <v:fill on="f" focussize="0,0"/>
                <v:stroke weight="1.5pt" color="#FFFF00" joinstyle="miter" startarrow="open" endarrow="open"/>
                <v:imagedata o:title=""/>
                <o:lock v:ext="edit" aspectratio="f"/>
              </v:shape>
            </w:pict>
          </mc:Fallback>
        </mc:AlternateContent>
      </w:r>
      <w:r>
        <w:rPr>
          <w:color w:val="000000"/>
          <w:highlight w:val="none"/>
        </w:rPr>
        <w:drawing>
          <wp:anchor distT="0" distB="0" distL="0" distR="0" simplePos="0" relativeHeight="251659264" behindDoc="0" locked="0" layoutInCell="1" allowOverlap="1">
            <wp:simplePos x="0" y="0"/>
            <wp:positionH relativeFrom="column">
              <wp:posOffset>7544435</wp:posOffset>
            </wp:positionH>
            <wp:positionV relativeFrom="paragraph">
              <wp:posOffset>152400</wp:posOffset>
            </wp:positionV>
            <wp:extent cx="802640" cy="819150"/>
            <wp:effectExtent l="0" t="0" r="16510" b="0"/>
            <wp:wrapNone/>
            <wp:docPr id="1120" name="图片 2"/>
            <wp:cNvGraphicFramePr/>
            <a:graphic xmlns:a="http://schemas.openxmlformats.org/drawingml/2006/main">
              <a:graphicData uri="http://schemas.openxmlformats.org/drawingml/2006/picture">
                <pic:pic xmlns:pic="http://schemas.openxmlformats.org/drawingml/2006/picture">
                  <pic:nvPicPr>
                    <pic:cNvPr id="1120" name="图片 2"/>
                    <pic:cNvPicPr/>
                  </pic:nvPicPr>
                  <pic:blipFill>
                    <a:blip r:embed="rId27" cstate="print"/>
                    <a:srcRect/>
                    <a:stretch>
                      <a:fillRect/>
                    </a:stretch>
                  </pic:blipFill>
                  <pic:spPr>
                    <a:xfrm>
                      <a:off x="0" y="0"/>
                      <a:ext cx="802640" cy="819150"/>
                    </a:xfrm>
                    <a:prstGeom prst="rect">
                      <a:avLst/>
                    </a:prstGeom>
                    <a:ln>
                      <a:noFill/>
                    </a:ln>
                  </pic:spPr>
                </pic:pic>
              </a:graphicData>
            </a:graphic>
          </wp:anchor>
        </w:drawing>
      </w:r>
      <w:r>
        <w:rPr>
          <w:color w:val="000000"/>
          <w:highlight w:val="none"/>
        </w:rPr>
        <w:drawing>
          <wp:inline distT="0" distB="0" distL="0" distR="0">
            <wp:extent cx="8093710" cy="5393690"/>
            <wp:effectExtent l="9525" t="9525" r="12065" b="26035"/>
            <wp:docPr id="1121" name="图片 1"/>
            <wp:cNvGraphicFramePr/>
            <a:graphic xmlns:a="http://schemas.openxmlformats.org/drawingml/2006/main">
              <a:graphicData uri="http://schemas.openxmlformats.org/drawingml/2006/picture">
                <pic:pic xmlns:pic="http://schemas.openxmlformats.org/drawingml/2006/picture">
                  <pic:nvPicPr>
                    <pic:cNvPr id="1121" name="图片 1"/>
                    <pic:cNvPicPr/>
                  </pic:nvPicPr>
                  <pic:blipFill>
                    <a:blip r:embed="rId54" cstate="print"/>
                    <a:srcRect/>
                    <a:stretch>
                      <a:fillRect/>
                    </a:stretch>
                  </pic:blipFill>
                  <pic:spPr>
                    <a:xfrm>
                      <a:off x="0" y="0"/>
                      <a:ext cx="8093710" cy="5393690"/>
                    </a:xfrm>
                    <a:prstGeom prst="rect">
                      <a:avLst/>
                    </a:prstGeom>
                    <a:ln w="9525" cap="flat" cmpd="sng">
                      <a:solidFill>
                        <a:srgbClr val="000000"/>
                      </a:solidFill>
                      <a:prstDash val="solid"/>
                      <a:round/>
                    </a:ln>
                  </pic:spPr>
                </pic:pic>
              </a:graphicData>
            </a:graphic>
          </wp:inline>
        </w:drawing>
      </w:r>
    </w:p>
    <w:p w14:paraId="79227382">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63" w:name="_Toc21528"/>
      <w:bookmarkStart w:id="164" w:name="_Toc22104"/>
      <w:bookmarkStart w:id="165" w:name="_Toc15892"/>
      <w:r>
        <w:rPr>
          <w:rFonts w:hint="default" w:ascii="Times New Roman" w:hAnsi="Times New Roman" w:eastAsia="宋体" w:cs="宋体"/>
          <w:b/>
          <w:bCs/>
          <w:color w:val="000000"/>
          <w:kern w:val="0"/>
          <w:sz w:val="24"/>
          <w:szCs w:val="24"/>
          <w:lang w:val="en-US" w:eastAsia="zh-CN" w:bidi="ar-SA"/>
        </w:rPr>
        <w:t>附件1</w:t>
      </w:r>
      <w:r>
        <w:rPr>
          <w:rFonts w:hint="default" w:ascii="Times New Roman" w:hAnsi="Times New Roman" w:cs="Times New Roman"/>
          <w:b/>
          <w:bCs/>
          <w:color w:val="000000"/>
          <w:sz w:val="24"/>
          <w:szCs w:val="24"/>
          <w:highlight w:val="none"/>
          <w:lang w:val="en-US" w:eastAsia="zh-CN"/>
        </w:rPr>
        <w:t>营业执照</w:t>
      </w:r>
      <w:bookmarkEnd w:id="163"/>
      <w:bookmarkEnd w:id="164"/>
      <w:bookmarkEnd w:id="165"/>
    </w:p>
    <w:p w14:paraId="2E067630">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8433435" cy="5349875"/>
            <wp:effectExtent l="0" t="0" r="5715" b="3175"/>
            <wp:docPr id="1122" name="图片 2"/>
            <wp:cNvGraphicFramePr/>
            <a:graphic xmlns:a="http://schemas.openxmlformats.org/drawingml/2006/main">
              <a:graphicData uri="http://schemas.openxmlformats.org/drawingml/2006/picture">
                <pic:pic xmlns:pic="http://schemas.openxmlformats.org/drawingml/2006/picture">
                  <pic:nvPicPr>
                    <pic:cNvPr id="1122" name="图片 2"/>
                    <pic:cNvPicPr/>
                  </pic:nvPicPr>
                  <pic:blipFill>
                    <a:blip r:embed="rId55" cstate="print"/>
                    <a:srcRect/>
                    <a:stretch>
                      <a:fillRect/>
                    </a:stretch>
                  </pic:blipFill>
                  <pic:spPr>
                    <a:xfrm>
                      <a:off x="0" y="0"/>
                      <a:ext cx="8433435" cy="5349875"/>
                    </a:xfrm>
                    <a:prstGeom prst="rect">
                      <a:avLst/>
                    </a:prstGeom>
                    <a:ln>
                      <a:noFill/>
                    </a:ln>
                  </pic:spPr>
                </pic:pic>
              </a:graphicData>
            </a:graphic>
          </wp:inline>
        </w:drawing>
      </w:r>
    </w:p>
    <w:p w14:paraId="3A1357F9">
      <w:pPr>
        <w:rPr>
          <w:rFonts w:hint="default" w:ascii="Times New Roman" w:hAnsi="Times New Roman" w:cs="Times New Roman"/>
          <w:color w:val="000000"/>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1BEA802C">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66" w:name="_Toc18937"/>
      <w:bookmarkStart w:id="167" w:name="_Toc2881"/>
      <w:bookmarkStart w:id="168" w:name="_Toc24940"/>
      <w:r>
        <w:rPr>
          <w:rFonts w:hint="default" w:ascii="Times New Roman" w:hAnsi="Times New Roman" w:eastAsia="宋体" w:cs="宋体"/>
          <w:b/>
          <w:bCs/>
          <w:color w:val="000000"/>
          <w:kern w:val="0"/>
          <w:sz w:val="24"/>
          <w:szCs w:val="24"/>
          <w:lang w:val="en-US" w:eastAsia="zh-CN" w:bidi="ar-SA"/>
        </w:rPr>
        <w:t>附件2</w:t>
      </w:r>
      <w:r>
        <w:rPr>
          <w:rFonts w:hint="default" w:ascii="Times New Roman" w:hAnsi="Times New Roman" w:cs="Times New Roman"/>
          <w:b/>
          <w:bCs/>
          <w:color w:val="000000"/>
          <w:sz w:val="24"/>
          <w:szCs w:val="24"/>
          <w:highlight w:val="none"/>
          <w:lang w:val="en-US" w:eastAsia="zh-CN"/>
        </w:rPr>
        <w:t>法人身份证复印件</w:t>
      </w:r>
      <w:bookmarkEnd w:id="166"/>
      <w:bookmarkEnd w:id="167"/>
      <w:bookmarkEnd w:id="168"/>
    </w:p>
    <w:p w14:paraId="2EE5784F">
      <w:pPr>
        <w:pStyle w:val="44"/>
      </w:pPr>
    </w:p>
    <w:p w14:paraId="01FF518C"/>
    <w:p w14:paraId="4C169C96">
      <w:pPr>
        <w:pStyle w:val="2"/>
        <w:rPr>
          <w:rFonts w:hint="default"/>
          <w:lang w:val="en-US" w:eastAsia="zh-CN"/>
        </w:rPr>
      </w:pPr>
    </w:p>
    <w:p w14:paraId="17A65D72">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p>
    <w:p w14:paraId="122E88A3">
      <w:pPr>
        <w:pStyle w:val="12"/>
        <w:ind w:left="480"/>
        <w:jc w:val="center"/>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7162FABA">
      <w:pPr>
        <w:pStyle w:val="45"/>
        <w:numPr>
          <w:ilvl w:val="0"/>
          <w:numId w:val="0"/>
        </w:numPr>
        <w:tabs>
          <w:tab w:val="left" w:pos="420"/>
        </w:tabs>
        <w:adjustRightInd/>
        <w:spacing w:after="0" w:line="360" w:lineRule="auto"/>
        <w:ind w:left="0" w:leftChars="0" w:firstLine="0" w:firstLineChars="0"/>
        <w:jc w:val="both"/>
        <w:textAlignment w:val="auto"/>
        <w:outlineLvl w:val="0"/>
        <w:rPr>
          <w:rFonts w:hint="eastAsia" w:cs="Times New Roman"/>
          <w:b/>
          <w:bCs/>
          <w:color w:val="000000"/>
          <w:sz w:val="24"/>
          <w:szCs w:val="24"/>
          <w:highlight w:val="none"/>
          <w:lang w:val="en-US" w:eastAsia="zh-CN"/>
        </w:rPr>
      </w:pPr>
      <w:bookmarkStart w:id="169" w:name="_Toc28006"/>
      <w:r>
        <w:rPr>
          <w:rFonts w:hint="default" w:ascii="Times New Roman" w:hAnsi="Times New Roman" w:eastAsia="宋体" w:cs="宋体"/>
          <w:b/>
          <w:bCs/>
          <w:color w:val="000000"/>
          <w:kern w:val="0"/>
          <w:sz w:val="24"/>
          <w:szCs w:val="24"/>
          <w:lang w:val="en-US" w:eastAsia="zh-CN" w:bidi="ar-SA"/>
        </w:rPr>
        <w:t>附件3</w:t>
      </w:r>
      <w:r>
        <w:rPr>
          <w:rFonts w:hint="eastAsia" w:cs="Times New Roman"/>
          <w:b/>
          <w:bCs/>
          <w:color w:val="000000"/>
          <w:sz w:val="24"/>
          <w:szCs w:val="24"/>
          <w:highlight w:val="none"/>
          <w:lang w:val="en-US" w:eastAsia="zh-CN"/>
        </w:rPr>
        <w:t>租赁合同</w:t>
      </w:r>
      <w:bookmarkEnd w:id="169"/>
    </w:p>
    <w:p w14:paraId="2B7DF8C8">
      <w:pPr>
        <w:pStyle w:val="44"/>
        <w:rPr>
          <w:rFonts w:hint="default"/>
          <w:lang w:val="en-US" w:eastAsia="zh-CN"/>
        </w:rPr>
      </w:pPr>
      <w:r>
        <w:drawing>
          <wp:inline distT="0" distB="0" distL="0" distR="0">
            <wp:extent cx="5303520" cy="7275830"/>
            <wp:effectExtent l="0" t="0" r="11430" b="1270"/>
            <wp:docPr id="1123" name="图片 3"/>
            <wp:cNvGraphicFramePr/>
            <a:graphic xmlns:a="http://schemas.openxmlformats.org/drawingml/2006/main">
              <a:graphicData uri="http://schemas.openxmlformats.org/drawingml/2006/picture">
                <pic:pic xmlns:pic="http://schemas.openxmlformats.org/drawingml/2006/picture">
                  <pic:nvPicPr>
                    <pic:cNvPr id="1123" name="图片 3"/>
                    <pic:cNvPicPr/>
                  </pic:nvPicPr>
                  <pic:blipFill>
                    <a:blip r:embed="rId56" cstate="print"/>
                    <a:srcRect/>
                    <a:stretch>
                      <a:fillRect/>
                    </a:stretch>
                  </pic:blipFill>
                  <pic:spPr>
                    <a:xfrm>
                      <a:off x="0" y="0"/>
                      <a:ext cx="5303520" cy="7275830"/>
                    </a:xfrm>
                    <a:prstGeom prst="rect">
                      <a:avLst/>
                    </a:prstGeom>
                    <a:ln>
                      <a:noFill/>
                    </a:ln>
                  </pic:spPr>
                </pic:pic>
              </a:graphicData>
            </a:graphic>
          </wp:inline>
        </w:drawing>
      </w:r>
    </w:p>
    <w:p w14:paraId="74479D5A">
      <w:pPr>
        <w:pStyle w:val="44"/>
        <w:rPr>
          <w:rFonts w:hint="default"/>
          <w:lang w:val="en-US" w:eastAsia="zh-CN"/>
        </w:rPr>
      </w:pPr>
    </w:p>
    <w:p w14:paraId="054A6532">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4857750" cy="7191375"/>
            <wp:effectExtent l="0" t="0" r="0" b="9525"/>
            <wp:docPr id="1124" name="图片 4"/>
            <wp:cNvGraphicFramePr/>
            <a:graphic xmlns:a="http://schemas.openxmlformats.org/drawingml/2006/main">
              <a:graphicData uri="http://schemas.openxmlformats.org/drawingml/2006/picture">
                <pic:pic xmlns:pic="http://schemas.openxmlformats.org/drawingml/2006/picture">
                  <pic:nvPicPr>
                    <pic:cNvPr id="1124" name="图片 4"/>
                    <pic:cNvPicPr/>
                  </pic:nvPicPr>
                  <pic:blipFill>
                    <a:blip r:embed="rId57" cstate="print"/>
                    <a:srcRect/>
                    <a:stretch>
                      <a:fillRect/>
                    </a:stretch>
                  </pic:blipFill>
                  <pic:spPr>
                    <a:xfrm>
                      <a:off x="0" y="0"/>
                      <a:ext cx="4857750" cy="7191375"/>
                    </a:xfrm>
                    <a:prstGeom prst="rect">
                      <a:avLst/>
                    </a:prstGeom>
                    <a:ln>
                      <a:noFill/>
                    </a:ln>
                  </pic:spPr>
                </pic:pic>
              </a:graphicData>
            </a:graphic>
          </wp:inline>
        </w:drawing>
      </w:r>
      <w:r>
        <w:drawing>
          <wp:inline distT="0" distB="0" distL="0" distR="0">
            <wp:extent cx="5057775" cy="7219950"/>
            <wp:effectExtent l="0" t="0" r="9525" b="0"/>
            <wp:docPr id="1125" name="图片 5"/>
            <wp:cNvGraphicFramePr/>
            <a:graphic xmlns:a="http://schemas.openxmlformats.org/drawingml/2006/main">
              <a:graphicData uri="http://schemas.openxmlformats.org/drawingml/2006/picture">
                <pic:pic xmlns:pic="http://schemas.openxmlformats.org/drawingml/2006/picture">
                  <pic:nvPicPr>
                    <pic:cNvPr id="1125" name="图片 5"/>
                    <pic:cNvPicPr/>
                  </pic:nvPicPr>
                  <pic:blipFill>
                    <a:blip r:embed="rId58" cstate="print"/>
                    <a:srcRect/>
                    <a:stretch>
                      <a:fillRect/>
                    </a:stretch>
                  </pic:blipFill>
                  <pic:spPr>
                    <a:xfrm>
                      <a:off x="0" y="0"/>
                      <a:ext cx="5057775" cy="7219950"/>
                    </a:xfrm>
                    <a:prstGeom prst="rect">
                      <a:avLst/>
                    </a:prstGeom>
                    <a:ln>
                      <a:noFill/>
                    </a:ln>
                  </pic:spPr>
                </pic:pic>
              </a:graphicData>
            </a:graphic>
          </wp:inline>
        </w:drawing>
      </w:r>
      <w:r>
        <w:drawing>
          <wp:inline distT="0" distB="0" distL="0" distR="0">
            <wp:extent cx="4467225" cy="6915150"/>
            <wp:effectExtent l="0" t="0" r="9525" b="0"/>
            <wp:docPr id="1126" name="图片 6"/>
            <wp:cNvGraphicFramePr/>
            <a:graphic xmlns:a="http://schemas.openxmlformats.org/drawingml/2006/main">
              <a:graphicData uri="http://schemas.openxmlformats.org/drawingml/2006/picture">
                <pic:pic xmlns:pic="http://schemas.openxmlformats.org/drawingml/2006/picture">
                  <pic:nvPicPr>
                    <pic:cNvPr id="1126" name="图片 6"/>
                    <pic:cNvPicPr/>
                  </pic:nvPicPr>
                  <pic:blipFill>
                    <a:blip r:embed="rId59" cstate="print"/>
                    <a:srcRect/>
                    <a:stretch>
                      <a:fillRect/>
                    </a:stretch>
                  </pic:blipFill>
                  <pic:spPr>
                    <a:xfrm>
                      <a:off x="0" y="0"/>
                      <a:ext cx="4467225" cy="6915150"/>
                    </a:xfrm>
                    <a:prstGeom prst="rect">
                      <a:avLst/>
                    </a:prstGeom>
                    <a:ln>
                      <a:noFill/>
                    </a:ln>
                  </pic:spPr>
                </pic:pic>
              </a:graphicData>
            </a:graphic>
          </wp:inline>
        </w:drawing>
      </w:r>
    </w:p>
    <w:p w14:paraId="5A7421CF">
      <w:pPr>
        <w:tabs>
          <w:tab w:val="center" w:pos="6931"/>
          <w:tab w:val="right" w:pos="13862"/>
        </w:tabs>
        <w:jc w:val="left"/>
        <w:rPr>
          <w:rFonts w:hint="default"/>
          <w:color w:val="000000"/>
          <w:highlight w:val="none"/>
          <w:lang w:val="en-US" w:eastAsia="zh-CN"/>
        </w:rPr>
      </w:pPr>
      <w:r>
        <w:rPr>
          <w:rFonts w:hint="eastAsia" w:cs="Times New Roman"/>
          <w:color w:val="000000"/>
          <w:highlight w:val="none"/>
          <w:lang w:val="en-US" w:eastAsia="zh-CN"/>
        </w:rPr>
        <w:tab/>
      </w:r>
    </w:p>
    <w:p w14:paraId="7A94B056">
      <w:pPr>
        <w:tabs>
          <w:tab w:val="center" w:pos="6931"/>
          <w:tab w:val="right" w:pos="13862"/>
        </w:tabs>
        <w:jc w:val="left"/>
        <w:rPr>
          <w:rFonts w:hint="default"/>
          <w:color w:val="000000"/>
          <w:highlight w:val="none"/>
          <w:lang w:val="en-US" w:eastAsia="zh-CN"/>
        </w:rPr>
        <w:sectPr>
          <w:type w:val="continuous"/>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7E4BE5F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0" w:name="_Toc23172"/>
      <w:bookmarkStart w:id="171" w:name="_Toc26824"/>
      <w:r>
        <w:rPr>
          <w:rFonts w:hint="default" w:ascii="Times New Roman" w:hAnsi="Times New Roman" w:eastAsia="宋体" w:cs="宋体"/>
          <w:b/>
          <w:bCs/>
          <w:color w:val="000000"/>
          <w:kern w:val="0"/>
          <w:sz w:val="24"/>
          <w:szCs w:val="24"/>
          <w:lang w:val="en-US" w:eastAsia="zh-CN" w:bidi="ar-SA"/>
        </w:rPr>
        <w:t>附件5</w:t>
      </w:r>
      <w:r>
        <w:rPr>
          <w:rFonts w:hint="default" w:ascii="Times New Roman" w:hAnsi="Times New Roman" w:cs="Times New Roman"/>
          <w:b/>
          <w:bCs/>
          <w:color w:val="000000"/>
          <w:sz w:val="24"/>
          <w:szCs w:val="24"/>
          <w:highlight w:val="none"/>
          <w:lang w:val="en-US" w:eastAsia="zh-CN"/>
        </w:rPr>
        <w:t>备案证</w:t>
      </w:r>
      <w:bookmarkEnd w:id="170"/>
      <w:bookmarkEnd w:id="171"/>
    </w:p>
    <w:p w14:paraId="367BDB1B">
      <w:pPr>
        <w:pStyle w:val="45"/>
        <w:widowControl/>
        <w:numPr>
          <w:ilvl w:val="0"/>
          <w:numId w:val="0"/>
        </w:numPr>
        <w:tabs>
          <w:tab w:val="left" w:pos="420"/>
        </w:tabs>
        <w:adjustRightInd/>
        <w:spacing w:after="0" w:line="360" w:lineRule="auto"/>
        <w:jc w:val="center"/>
        <w:textAlignment w:val="auto"/>
        <w:outlineLvl w:val="9"/>
        <w:rPr>
          <w:rFonts w:hint="default" w:ascii="Times New Roman" w:hAnsi="Times New Roman" w:cs="Times New Roman"/>
          <w:b/>
          <w:bCs/>
          <w:color w:val="000000"/>
          <w:sz w:val="24"/>
          <w:szCs w:val="24"/>
          <w:highlight w:val="none"/>
          <w:lang w:val="en-US" w:eastAsia="zh-CN"/>
        </w:rPr>
      </w:pPr>
      <w:r>
        <w:drawing>
          <wp:inline distT="0" distB="0" distL="0" distR="0">
            <wp:extent cx="7586345" cy="5078095"/>
            <wp:effectExtent l="0" t="0" r="14605" b="8255"/>
            <wp:docPr id="1127" name="图片 1"/>
            <wp:cNvGraphicFramePr/>
            <a:graphic xmlns:a="http://schemas.openxmlformats.org/drawingml/2006/main">
              <a:graphicData uri="http://schemas.openxmlformats.org/drawingml/2006/picture">
                <pic:pic xmlns:pic="http://schemas.openxmlformats.org/drawingml/2006/picture">
                  <pic:nvPicPr>
                    <pic:cNvPr id="1127" name="图片 1"/>
                    <pic:cNvPicPr/>
                  </pic:nvPicPr>
                  <pic:blipFill>
                    <a:blip r:embed="rId60" cstate="print"/>
                    <a:srcRect/>
                    <a:stretch>
                      <a:fillRect/>
                    </a:stretch>
                  </pic:blipFill>
                  <pic:spPr>
                    <a:xfrm>
                      <a:off x="0" y="0"/>
                      <a:ext cx="7586345" cy="5078095"/>
                    </a:xfrm>
                    <a:prstGeom prst="rect">
                      <a:avLst/>
                    </a:prstGeom>
                    <a:ln>
                      <a:noFill/>
                    </a:ln>
                  </pic:spPr>
                </pic:pic>
              </a:graphicData>
            </a:graphic>
          </wp:inline>
        </w:drawing>
      </w:r>
    </w:p>
    <w:p w14:paraId="1AD67ACF">
      <w:pPr>
        <w:rPr>
          <w:rFonts w:hint="default" w:ascii="Times New Roman" w:hAnsi="Times New Roman" w:cs="Times New Roman"/>
          <w:color w:val="000000"/>
          <w:highlight w:val="none"/>
          <w:lang w:val="en-US"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2CF0964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2" w:name="_Toc10017"/>
      <w:bookmarkStart w:id="173" w:name="_Toc22602"/>
      <w:r>
        <w:rPr>
          <w:rFonts w:hint="default" w:ascii="Times New Roman" w:hAnsi="Times New Roman" w:eastAsia="宋体" w:cs="宋体"/>
          <w:b/>
          <w:bCs/>
          <w:color w:val="000000"/>
          <w:kern w:val="0"/>
          <w:sz w:val="24"/>
          <w:szCs w:val="24"/>
          <w:lang w:val="en-US" w:eastAsia="zh-CN" w:bidi="ar-SA"/>
        </w:rPr>
        <w:t>附件6</w:t>
      </w:r>
      <w:r>
        <w:rPr>
          <w:rFonts w:hint="default" w:ascii="Times New Roman" w:hAnsi="Times New Roman" w:cs="Times New Roman"/>
          <w:b/>
          <w:bCs/>
          <w:color w:val="000000"/>
          <w:sz w:val="24"/>
          <w:szCs w:val="24"/>
          <w:highlight w:val="none"/>
          <w:lang w:val="en-US" w:eastAsia="zh-CN"/>
        </w:rPr>
        <w:t>环境质量现状监测报告（摘录部分）</w:t>
      </w:r>
      <w:bookmarkEnd w:id="172"/>
      <w:bookmarkEnd w:id="173"/>
    </w:p>
    <w:tbl>
      <w:tblPr>
        <w:tblStyle w:val="4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47BA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vAlign w:val="center"/>
          </w:tcPr>
          <w:p w14:paraId="32CB6076">
            <w:pPr>
              <w:pStyle w:val="52"/>
              <w:ind w:left="0" w:leftChars="0" w:firstLine="0" w:firstLineChars="0"/>
              <w:jc w:val="center"/>
              <w:rPr>
                <w:rFonts w:hint="default" w:ascii="Times New Roman" w:hAnsi="Times New Roman" w:eastAsia="宋体" w:cs="Times New Roman"/>
                <w:b/>
                <w:bCs/>
                <w:color w:val="auto"/>
                <w:kern w:val="2"/>
                <w:sz w:val="21"/>
                <w:szCs w:val="21"/>
                <w:highlight w:val="none"/>
                <w:vertAlign w:val="baseline"/>
                <w:lang w:val="en-US" w:eastAsia="zh-CN" w:bidi="ar-SA"/>
              </w:rPr>
            </w:pPr>
            <w:r>
              <w:drawing>
                <wp:inline distT="0" distB="0" distL="0" distR="0">
                  <wp:extent cx="5038725" cy="7124700"/>
                  <wp:effectExtent l="0" t="0" r="9525" b="0"/>
                  <wp:docPr id="1128" name="图片 6"/>
                  <wp:cNvGraphicFramePr/>
                  <a:graphic xmlns:a="http://schemas.openxmlformats.org/drawingml/2006/main">
                    <a:graphicData uri="http://schemas.openxmlformats.org/drawingml/2006/picture">
                      <pic:pic xmlns:pic="http://schemas.openxmlformats.org/drawingml/2006/picture">
                        <pic:nvPicPr>
                          <pic:cNvPr id="1128" name="图片 6"/>
                          <pic:cNvPicPr/>
                        </pic:nvPicPr>
                        <pic:blipFill>
                          <a:blip r:embed="rId61" cstate="print"/>
                          <a:srcRect/>
                          <a:stretch>
                            <a:fillRect/>
                          </a:stretch>
                        </pic:blipFill>
                        <pic:spPr>
                          <a:xfrm>
                            <a:off x="0" y="0"/>
                            <a:ext cx="5038725" cy="7124700"/>
                          </a:xfrm>
                          <a:prstGeom prst="rect">
                            <a:avLst/>
                          </a:prstGeom>
                          <a:ln>
                            <a:noFill/>
                          </a:ln>
                        </pic:spPr>
                      </pic:pic>
                    </a:graphicData>
                  </a:graphic>
                </wp:inline>
              </w:drawing>
            </w:r>
          </w:p>
        </w:tc>
      </w:tr>
      <w:tr w14:paraId="3FF3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18C55331">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4933950" cy="7077075"/>
                  <wp:effectExtent l="0" t="0" r="0" b="9525"/>
                  <wp:docPr id="1129" name="图片 7"/>
                  <wp:cNvGraphicFramePr/>
                  <a:graphic xmlns:a="http://schemas.openxmlformats.org/drawingml/2006/main">
                    <a:graphicData uri="http://schemas.openxmlformats.org/drawingml/2006/picture">
                      <pic:pic xmlns:pic="http://schemas.openxmlformats.org/drawingml/2006/picture">
                        <pic:nvPicPr>
                          <pic:cNvPr id="1129" name="图片 7"/>
                          <pic:cNvPicPr/>
                        </pic:nvPicPr>
                        <pic:blipFill>
                          <a:blip r:embed="rId62" cstate="print"/>
                          <a:srcRect/>
                          <a:stretch>
                            <a:fillRect/>
                          </a:stretch>
                        </pic:blipFill>
                        <pic:spPr>
                          <a:xfrm>
                            <a:off x="0" y="0"/>
                            <a:ext cx="4933950" cy="7077075"/>
                          </a:xfrm>
                          <a:prstGeom prst="rect">
                            <a:avLst/>
                          </a:prstGeom>
                          <a:ln>
                            <a:noFill/>
                          </a:ln>
                        </pic:spPr>
                      </pic:pic>
                    </a:graphicData>
                  </a:graphic>
                </wp:inline>
              </w:drawing>
            </w:r>
          </w:p>
        </w:tc>
      </w:tr>
      <w:tr w14:paraId="6EF2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7DB471FE">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5257800" cy="7553325"/>
                  <wp:effectExtent l="0" t="0" r="0" b="9525"/>
                  <wp:docPr id="1130" name="图片 4"/>
                  <wp:cNvGraphicFramePr/>
                  <a:graphic xmlns:a="http://schemas.openxmlformats.org/drawingml/2006/main">
                    <a:graphicData uri="http://schemas.openxmlformats.org/drawingml/2006/picture">
                      <pic:pic xmlns:pic="http://schemas.openxmlformats.org/drawingml/2006/picture">
                        <pic:nvPicPr>
                          <pic:cNvPr id="1130" name="图片 4"/>
                          <pic:cNvPicPr/>
                        </pic:nvPicPr>
                        <pic:blipFill>
                          <a:blip r:embed="rId63" cstate="print"/>
                          <a:srcRect/>
                          <a:stretch>
                            <a:fillRect/>
                          </a:stretch>
                        </pic:blipFill>
                        <pic:spPr>
                          <a:xfrm>
                            <a:off x="0" y="0"/>
                            <a:ext cx="5257800" cy="7553325"/>
                          </a:xfrm>
                          <a:prstGeom prst="rect">
                            <a:avLst/>
                          </a:prstGeom>
                          <a:ln>
                            <a:noFill/>
                          </a:ln>
                        </pic:spPr>
                      </pic:pic>
                    </a:graphicData>
                  </a:graphic>
                </wp:inline>
              </w:drawing>
            </w:r>
          </w:p>
        </w:tc>
      </w:tr>
      <w:tr w14:paraId="3E27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0A172913">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4991100" cy="6962775"/>
                  <wp:effectExtent l="0" t="0" r="0" b="9525"/>
                  <wp:docPr id="1131" name="图片 2"/>
                  <wp:cNvGraphicFramePr/>
                  <a:graphic xmlns:a="http://schemas.openxmlformats.org/drawingml/2006/main">
                    <a:graphicData uri="http://schemas.openxmlformats.org/drawingml/2006/picture">
                      <pic:pic xmlns:pic="http://schemas.openxmlformats.org/drawingml/2006/picture">
                        <pic:nvPicPr>
                          <pic:cNvPr id="1131" name="图片 2"/>
                          <pic:cNvPicPr/>
                        </pic:nvPicPr>
                        <pic:blipFill>
                          <a:blip r:embed="rId64" cstate="print"/>
                          <a:srcRect/>
                          <a:stretch>
                            <a:fillRect/>
                          </a:stretch>
                        </pic:blipFill>
                        <pic:spPr>
                          <a:xfrm>
                            <a:off x="0" y="0"/>
                            <a:ext cx="4991100" cy="6962775"/>
                          </a:xfrm>
                          <a:prstGeom prst="rect">
                            <a:avLst/>
                          </a:prstGeom>
                          <a:ln>
                            <a:noFill/>
                          </a:ln>
                        </pic:spPr>
                      </pic:pic>
                    </a:graphicData>
                  </a:graphic>
                </wp:inline>
              </w:drawing>
            </w:r>
          </w:p>
        </w:tc>
      </w:tr>
      <w:tr w14:paraId="4DB8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shd w:val="clear" w:color="auto" w:fill="auto"/>
          </w:tcPr>
          <w:p w14:paraId="632FB9B0">
            <w:pPr>
              <w:pStyle w:val="52"/>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drawing>
                <wp:inline distT="0" distB="0" distL="0" distR="0">
                  <wp:extent cx="5572125" cy="7905115"/>
                  <wp:effectExtent l="0" t="0" r="9525" b="635"/>
                  <wp:docPr id="1132" name="图片 5"/>
                  <wp:cNvGraphicFramePr/>
                  <a:graphic xmlns:a="http://schemas.openxmlformats.org/drawingml/2006/main">
                    <a:graphicData uri="http://schemas.openxmlformats.org/drawingml/2006/picture">
                      <pic:pic xmlns:pic="http://schemas.openxmlformats.org/drawingml/2006/picture">
                        <pic:nvPicPr>
                          <pic:cNvPr id="1132" name="图片 5"/>
                          <pic:cNvPicPr/>
                        </pic:nvPicPr>
                        <pic:blipFill>
                          <a:blip r:embed="rId65" cstate="print"/>
                          <a:srcRect/>
                          <a:stretch>
                            <a:fillRect/>
                          </a:stretch>
                        </pic:blipFill>
                        <pic:spPr>
                          <a:xfrm>
                            <a:off x="0" y="0"/>
                            <a:ext cx="5572125" cy="7905115"/>
                          </a:xfrm>
                          <a:prstGeom prst="rect">
                            <a:avLst/>
                          </a:prstGeom>
                          <a:ln>
                            <a:noFill/>
                          </a:ln>
                        </pic:spPr>
                      </pic:pic>
                    </a:graphicData>
                  </a:graphic>
                </wp:inline>
              </w:drawing>
            </w:r>
          </w:p>
        </w:tc>
      </w:tr>
    </w:tbl>
    <w:p w14:paraId="6019B341">
      <w:pPr>
        <w:pStyle w:val="2"/>
        <w:rPr>
          <w:rFonts w:hint="default" w:ascii="Times New Roman" w:hAnsi="Times New Roman" w:cs="Times New Roman"/>
          <w:color w:val="000000"/>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502C0E01">
      <w:pPr>
        <w:pStyle w:val="45"/>
        <w:numPr>
          <w:ilvl w:val="0"/>
          <w:numId w:val="0"/>
        </w:numPr>
        <w:tabs>
          <w:tab w:val="left" w:pos="420"/>
        </w:tabs>
        <w:adjustRightInd/>
        <w:spacing w:after="0" w:line="360" w:lineRule="auto"/>
        <w:ind w:left="0" w:leftChars="0" w:firstLine="0" w:firstLineChars="0"/>
        <w:jc w:val="both"/>
        <w:textAlignment w:val="auto"/>
        <w:outlineLvl w:val="0"/>
        <w:rPr>
          <w:rFonts w:hint="default" w:ascii="Times New Roman" w:hAnsi="Times New Roman" w:cs="Times New Roman"/>
          <w:b/>
          <w:bCs/>
          <w:color w:val="000000"/>
          <w:sz w:val="24"/>
          <w:szCs w:val="24"/>
          <w:highlight w:val="none"/>
          <w:lang w:val="en-US" w:eastAsia="zh-CN"/>
        </w:rPr>
      </w:pPr>
      <w:bookmarkStart w:id="174" w:name="_Toc20557"/>
      <w:bookmarkStart w:id="175" w:name="_Toc28492"/>
      <w:r>
        <w:rPr>
          <w:rFonts w:hint="default" w:ascii="Times New Roman" w:hAnsi="Times New Roman" w:eastAsia="宋体" w:cs="宋体"/>
          <w:b/>
          <w:bCs/>
          <w:color w:val="000000"/>
          <w:kern w:val="0"/>
          <w:sz w:val="24"/>
          <w:szCs w:val="24"/>
          <w:lang w:val="en-US" w:eastAsia="zh-CN" w:bidi="ar-SA"/>
        </w:rPr>
        <w:t>附件7</w:t>
      </w:r>
      <w:r>
        <w:rPr>
          <w:rFonts w:hint="eastAsia" w:cs="Times New Roman"/>
          <w:b/>
          <w:bCs/>
          <w:color w:val="000000"/>
          <w:sz w:val="24"/>
          <w:szCs w:val="24"/>
          <w:highlight w:val="none"/>
          <w:lang w:val="en-US" w:eastAsia="zh-CN"/>
        </w:rPr>
        <w:t>原辅料MSDS</w:t>
      </w:r>
      <w:bookmarkEnd w:id="174"/>
      <w:r>
        <w:rPr>
          <w:rFonts w:hint="eastAsia" w:cs="Times New Roman"/>
          <w:b/>
          <w:bCs/>
          <w:color w:val="000000"/>
          <w:sz w:val="24"/>
          <w:szCs w:val="24"/>
          <w:highlight w:val="none"/>
          <w:lang w:val="en-US" w:eastAsia="zh-CN"/>
        </w:rPr>
        <w:t>、VOCs含量检测报告</w:t>
      </w:r>
      <w:bookmarkEnd w:id="175"/>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5254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01F7A919">
            <w:pPr>
              <w:pStyle w:val="52"/>
              <w:ind w:left="0" w:leftChars="0" w:firstLine="0" w:firstLineChars="0"/>
              <w:jc w:val="center"/>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cs="Times New Roman"/>
                <w:color w:val="000000"/>
                <w:sz w:val="21"/>
                <w:szCs w:val="21"/>
                <w:highlight w:val="none"/>
                <w:vertAlign w:val="baseline"/>
                <w:lang w:val="en-US" w:eastAsia="zh-CN"/>
              </w:rPr>
              <w:t>橡胶</w:t>
            </w:r>
          </w:p>
        </w:tc>
      </w:tr>
      <w:tr w14:paraId="2258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2EF7F7A4">
            <w:pPr>
              <w:pStyle w:val="52"/>
              <w:ind w:left="0" w:leftChars="0" w:firstLine="0" w:firstLineChars="0"/>
              <w:jc w:val="center"/>
              <w:rPr>
                <w:rFonts w:hint="eastAsia" w:ascii="Times New Roman" w:hAnsi="Times New Roman" w:eastAsia="宋体" w:cs="Times New Roman"/>
                <w:color w:val="000000"/>
                <w:sz w:val="21"/>
                <w:szCs w:val="21"/>
                <w:highlight w:val="none"/>
                <w:vertAlign w:val="baseline"/>
                <w:lang w:eastAsia="zh-CN"/>
              </w:rPr>
            </w:pPr>
            <w:r>
              <w:drawing>
                <wp:inline distT="0" distB="0" distL="0" distR="0">
                  <wp:extent cx="5334000" cy="7658100"/>
                  <wp:effectExtent l="0" t="0" r="0" b="0"/>
                  <wp:docPr id="1133" name="图片 7"/>
                  <wp:cNvGraphicFramePr/>
                  <a:graphic xmlns:a="http://schemas.openxmlformats.org/drawingml/2006/main">
                    <a:graphicData uri="http://schemas.openxmlformats.org/drawingml/2006/picture">
                      <pic:pic xmlns:pic="http://schemas.openxmlformats.org/drawingml/2006/picture">
                        <pic:nvPicPr>
                          <pic:cNvPr id="1133" name="图片 7"/>
                          <pic:cNvPicPr/>
                        </pic:nvPicPr>
                        <pic:blipFill>
                          <a:blip r:embed="rId66" cstate="print"/>
                          <a:srcRect/>
                          <a:stretch>
                            <a:fillRect/>
                          </a:stretch>
                        </pic:blipFill>
                        <pic:spPr>
                          <a:xfrm>
                            <a:off x="0" y="0"/>
                            <a:ext cx="5334000" cy="7658100"/>
                          </a:xfrm>
                          <a:prstGeom prst="rect">
                            <a:avLst/>
                          </a:prstGeom>
                          <a:ln>
                            <a:noFill/>
                          </a:ln>
                        </pic:spPr>
                      </pic:pic>
                    </a:graphicData>
                  </a:graphic>
                </wp:inline>
              </w:drawing>
            </w:r>
            <w:r>
              <w:drawing>
                <wp:inline distT="0" distB="0" distL="0" distR="0">
                  <wp:extent cx="5286375" cy="7658100"/>
                  <wp:effectExtent l="0" t="0" r="9525" b="0"/>
                  <wp:docPr id="1134" name="图片 8"/>
                  <wp:cNvGraphicFramePr/>
                  <a:graphic xmlns:a="http://schemas.openxmlformats.org/drawingml/2006/main">
                    <a:graphicData uri="http://schemas.openxmlformats.org/drawingml/2006/picture">
                      <pic:pic xmlns:pic="http://schemas.openxmlformats.org/drawingml/2006/picture">
                        <pic:nvPicPr>
                          <pic:cNvPr id="1134" name="图片 8"/>
                          <pic:cNvPicPr/>
                        </pic:nvPicPr>
                        <pic:blipFill>
                          <a:blip r:embed="rId67" cstate="print"/>
                          <a:srcRect/>
                          <a:stretch>
                            <a:fillRect/>
                          </a:stretch>
                        </pic:blipFill>
                        <pic:spPr>
                          <a:xfrm>
                            <a:off x="0" y="0"/>
                            <a:ext cx="5286375" cy="7658100"/>
                          </a:xfrm>
                          <a:prstGeom prst="rect">
                            <a:avLst/>
                          </a:prstGeom>
                          <a:ln>
                            <a:noFill/>
                          </a:ln>
                        </pic:spPr>
                      </pic:pic>
                    </a:graphicData>
                  </a:graphic>
                </wp:inline>
              </w:drawing>
            </w:r>
          </w:p>
        </w:tc>
      </w:tr>
      <w:tr w14:paraId="0E05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741E9FD9">
            <w:pPr>
              <w:pStyle w:val="52"/>
              <w:ind w:left="0" w:leftChars="0" w:firstLine="0" w:firstLineChars="0"/>
              <w:jc w:val="center"/>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cs="Times New Roman"/>
                <w:color w:val="000000"/>
                <w:sz w:val="21"/>
                <w:szCs w:val="21"/>
                <w:highlight w:val="none"/>
                <w:vertAlign w:val="baseline"/>
                <w:lang w:val="en-US" w:eastAsia="zh-CN"/>
              </w:rPr>
              <w:t>混炼胶</w:t>
            </w:r>
          </w:p>
        </w:tc>
      </w:tr>
      <w:tr w14:paraId="332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1" w:type="dxa"/>
            <w:vAlign w:val="center"/>
          </w:tcPr>
          <w:p w14:paraId="244FBED1">
            <w:pPr>
              <w:pStyle w:val="52"/>
              <w:ind w:left="0" w:leftChars="0" w:firstLine="0" w:firstLineChars="0"/>
              <w:jc w:val="center"/>
            </w:pPr>
            <w:r>
              <w:drawing>
                <wp:inline distT="0" distB="0" distL="0" distR="0">
                  <wp:extent cx="4876800" cy="7372350"/>
                  <wp:effectExtent l="0" t="0" r="0" b="0"/>
                  <wp:docPr id="1135" name="图片 9"/>
                  <wp:cNvGraphicFramePr/>
                  <a:graphic xmlns:a="http://schemas.openxmlformats.org/drawingml/2006/main">
                    <a:graphicData uri="http://schemas.openxmlformats.org/drawingml/2006/picture">
                      <pic:pic xmlns:pic="http://schemas.openxmlformats.org/drawingml/2006/picture">
                        <pic:nvPicPr>
                          <pic:cNvPr id="1135" name="图片 9"/>
                          <pic:cNvPicPr/>
                        </pic:nvPicPr>
                        <pic:blipFill>
                          <a:blip r:embed="rId68" cstate="print"/>
                          <a:srcRect/>
                          <a:stretch>
                            <a:fillRect/>
                          </a:stretch>
                        </pic:blipFill>
                        <pic:spPr>
                          <a:xfrm>
                            <a:off x="0" y="0"/>
                            <a:ext cx="4876800" cy="7372350"/>
                          </a:xfrm>
                          <a:prstGeom prst="rect">
                            <a:avLst/>
                          </a:prstGeom>
                          <a:ln>
                            <a:noFill/>
                          </a:ln>
                        </pic:spPr>
                      </pic:pic>
                    </a:graphicData>
                  </a:graphic>
                </wp:inline>
              </w:drawing>
            </w:r>
            <w:r>
              <w:drawing>
                <wp:inline distT="0" distB="0" distL="0" distR="0">
                  <wp:extent cx="5048250" cy="7372350"/>
                  <wp:effectExtent l="0" t="0" r="0" b="0"/>
                  <wp:docPr id="1136" name="图片 10"/>
                  <wp:cNvGraphicFramePr/>
                  <a:graphic xmlns:a="http://schemas.openxmlformats.org/drawingml/2006/main">
                    <a:graphicData uri="http://schemas.openxmlformats.org/drawingml/2006/picture">
                      <pic:pic xmlns:pic="http://schemas.openxmlformats.org/drawingml/2006/picture">
                        <pic:nvPicPr>
                          <pic:cNvPr id="1136" name="图片 10"/>
                          <pic:cNvPicPr/>
                        </pic:nvPicPr>
                        <pic:blipFill>
                          <a:blip r:embed="rId69" cstate="print"/>
                          <a:srcRect/>
                          <a:stretch>
                            <a:fillRect/>
                          </a:stretch>
                        </pic:blipFill>
                        <pic:spPr>
                          <a:xfrm>
                            <a:off x="0" y="0"/>
                            <a:ext cx="5048250" cy="7372350"/>
                          </a:xfrm>
                          <a:prstGeom prst="rect">
                            <a:avLst/>
                          </a:prstGeom>
                          <a:ln>
                            <a:noFill/>
                          </a:ln>
                        </pic:spPr>
                      </pic:pic>
                    </a:graphicData>
                  </a:graphic>
                </wp:inline>
              </w:drawing>
            </w:r>
            <w:r>
              <w:drawing>
                <wp:inline distT="0" distB="0" distL="0" distR="0">
                  <wp:extent cx="5029200" cy="7543800"/>
                  <wp:effectExtent l="0" t="0" r="0" b="0"/>
                  <wp:docPr id="1137" name="图片 11"/>
                  <wp:cNvGraphicFramePr/>
                  <a:graphic xmlns:a="http://schemas.openxmlformats.org/drawingml/2006/main">
                    <a:graphicData uri="http://schemas.openxmlformats.org/drawingml/2006/picture">
                      <pic:pic xmlns:pic="http://schemas.openxmlformats.org/drawingml/2006/picture">
                        <pic:nvPicPr>
                          <pic:cNvPr id="1137" name="图片 11"/>
                          <pic:cNvPicPr/>
                        </pic:nvPicPr>
                        <pic:blipFill>
                          <a:blip r:embed="rId70" cstate="print"/>
                          <a:srcRect/>
                          <a:stretch>
                            <a:fillRect/>
                          </a:stretch>
                        </pic:blipFill>
                        <pic:spPr>
                          <a:xfrm>
                            <a:off x="0" y="0"/>
                            <a:ext cx="5029200" cy="7543800"/>
                          </a:xfrm>
                          <a:prstGeom prst="rect">
                            <a:avLst/>
                          </a:prstGeom>
                          <a:ln>
                            <a:noFill/>
                          </a:ln>
                        </pic:spPr>
                      </pic:pic>
                    </a:graphicData>
                  </a:graphic>
                </wp:inline>
              </w:drawing>
            </w:r>
          </w:p>
          <w:p w14:paraId="03D27C02"/>
          <w:p w14:paraId="724450E9">
            <w:pPr>
              <w:pStyle w:val="2"/>
            </w:pPr>
          </w:p>
          <w:p w14:paraId="08E0E024">
            <w:pPr>
              <w:rPr>
                <w:rFonts w:hint="eastAsia"/>
                <w:lang w:eastAsia="zh-CN"/>
              </w:rPr>
            </w:pPr>
          </w:p>
        </w:tc>
      </w:tr>
      <w:tr w14:paraId="3051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0216C115">
            <w:pPr>
              <w:pStyle w:val="52"/>
              <w:ind w:left="0" w:leftChars="0" w:firstLine="0" w:firstLineChars="0"/>
              <w:jc w:val="both"/>
              <w:rPr>
                <w:rFonts w:hint="eastAsia"/>
                <w:color w:val="000000"/>
                <w:sz w:val="21"/>
                <w:szCs w:val="21"/>
                <w:highlight w:val="none"/>
                <w:lang w:val="en-US" w:eastAsia="zh-CN"/>
              </w:rPr>
            </w:pPr>
            <w:r>
              <w:rPr>
                <w:rFonts w:hint="eastAsia"/>
                <w:color w:val="000000"/>
                <w:sz w:val="21"/>
                <w:szCs w:val="21"/>
                <w:highlight w:val="none"/>
                <w:lang w:val="en-US" w:eastAsia="zh-CN"/>
              </w:rPr>
              <w:t>色母</w:t>
            </w:r>
          </w:p>
          <w:p w14:paraId="0059088D">
            <w:pPr>
              <w:rPr>
                <w:rFonts w:hint="default"/>
                <w:lang w:val="en-US" w:eastAsia="zh-CN"/>
              </w:rPr>
            </w:pPr>
            <w:r>
              <w:drawing>
                <wp:inline distT="0" distB="0" distL="0" distR="0">
                  <wp:extent cx="5124450" cy="7153910"/>
                  <wp:effectExtent l="0" t="0" r="0" b="8255"/>
                  <wp:docPr id="1138" name="图片 12"/>
                  <wp:cNvGraphicFramePr/>
                  <a:graphic xmlns:a="http://schemas.openxmlformats.org/drawingml/2006/main">
                    <a:graphicData uri="http://schemas.openxmlformats.org/drawingml/2006/picture">
                      <pic:pic xmlns:pic="http://schemas.openxmlformats.org/drawingml/2006/picture">
                        <pic:nvPicPr>
                          <pic:cNvPr id="1138" name="图片 12"/>
                          <pic:cNvPicPr/>
                        </pic:nvPicPr>
                        <pic:blipFill>
                          <a:blip r:embed="rId71" cstate="print"/>
                          <a:srcRect/>
                          <a:stretch>
                            <a:fillRect/>
                          </a:stretch>
                        </pic:blipFill>
                        <pic:spPr>
                          <a:xfrm>
                            <a:off x="0" y="0"/>
                            <a:ext cx="5124450" cy="7154544"/>
                          </a:xfrm>
                          <a:prstGeom prst="rect">
                            <a:avLst/>
                          </a:prstGeom>
                          <a:ln>
                            <a:noFill/>
                          </a:ln>
                        </pic:spPr>
                      </pic:pic>
                    </a:graphicData>
                  </a:graphic>
                </wp:inline>
              </w:drawing>
            </w:r>
          </w:p>
        </w:tc>
      </w:tr>
      <w:tr w14:paraId="7281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5" w:hRule="atLeast"/>
        </w:trPr>
        <w:tc>
          <w:tcPr>
            <w:tcW w:w="9571" w:type="dxa"/>
            <w:vAlign w:val="center"/>
          </w:tcPr>
          <w:p w14:paraId="3789C7FF">
            <w:pPr>
              <w:pStyle w:val="52"/>
              <w:spacing w:line="240" w:lineRule="auto"/>
              <w:ind w:left="0" w:leftChars="0" w:firstLine="0" w:firstLineChars="0"/>
              <w:jc w:val="center"/>
              <w:rPr>
                <w:rFonts w:hint="eastAsia" w:eastAsia="宋体"/>
                <w:color w:val="000000"/>
                <w:highlight w:val="none"/>
                <w:lang w:eastAsia="zh-CN"/>
              </w:rPr>
            </w:pPr>
            <w:r>
              <w:drawing>
                <wp:inline distT="0" distB="0" distL="0" distR="0">
                  <wp:extent cx="4895850" cy="7343775"/>
                  <wp:effectExtent l="0" t="0" r="0" b="9525"/>
                  <wp:docPr id="1139" name="图片 13"/>
                  <wp:cNvGraphicFramePr/>
                  <a:graphic xmlns:a="http://schemas.openxmlformats.org/drawingml/2006/main">
                    <a:graphicData uri="http://schemas.openxmlformats.org/drawingml/2006/picture">
                      <pic:pic xmlns:pic="http://schemas.openxmlformats.org/drawingml/2006/picture">
                        <pic:nvPicPr>
                          <pic:cNvPr id="1139" name="图片 13"/>
                          <pic:cNvPicPr/>
                        </pic:nvPicPr>
                        <pic:blipFill>
                          <a:blip r:embed="rId72" cstate="print"/>
                          <a:srcRect/>
                          <a:stretch>
                            <a:fillRect/>
                          </a:stretch>
                        </pic:blipFill>
                        <pic:spPr>
                          <a:xfrm>
                            <a:off x="0" y="0"/>
                            <a:ext cx="4895850" cy="7343775"/>
                          </a:xfrm>
                          <a:prstGeom prst="rect">
                            <a:avLst/>
                          </a:prstGeom>
                          <a:ln>
                            <a:noFill/>
                          </a:ln>
                        </pic:spPr>
                      </pic:pic>
                    </a:graphicData>
                  </a:graphic>
                </wp:inline>
              </w:drawing>
            </w:r>
          </w:p>
        </w:tc>
      </w:tr>
      <w:tr w14:paraId="0BCF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3D4DEE10">
            <w:pPr>
              <w:jc w:val="both"/>
            </w:pPr>
            <w:r>
              <w:rPr>
                <w:rFonts w:hint="eastAsia"/>
                <w:b/>
                <w:bCs/>
                <w:sz w:val="21"/>
                <w:szCs w:val="21"/>
                <w:lang w:val="en-US" w:eastAsia="zh-CN"/>
              </w:rPr>
              <w:t>油墨MSDS和VOCs含量检测报告</w:t>
            </w:r>
          </w:p>
          <w:p w14:paraId="30093059">
            <w:pPr>
              <w:jc w:val="both"/>
            </w:pPr>
            <w:r>
              <w:drawing>
                <wp:inline distT="0" distB="0" distL="0" distR="0">
                  <wp:extent cx="5938520" cy="7792085"/>
                  <wp:effectExtent l="0" t="0" r="5080" b="18415"/>
                  <wp:docPr id="1140" name="图片 14"/>
                  <wp:cNvGraphicFramePr/>
                  <a:graphic xmlns:a="http://schemas.openxmlformats.org/drawingml/2006/main">
                    <a:graphicData uri="http://schemas.openxmlformats.org/drawingml/2006/picture">
                      <pic:pic xmlns:pic="http://schemas.openxmlformats.org/drawingml/2006/picture">
                        <pic:nvPicPr>
                          <pic:cNvPr id="1140" name="图片 14"/>
                          <pic:cNvPicPr/>
                        </pic:nvPicPr>
                        <pic:blipFill>
                          <a:blip r:embed="rId73" cstate="print"/>
                          <a:srcRect/>
                          <a:stretch>
                            <a:fillRect/>
                          </a:stretch>
                        </pic:blipFill>
                        <pic:spPr>
                          <a:xfrm>
                            <a:off x="0" y="0"/>
                            <a:ext cx="5938520" cy="7792085"/>
                          </a:xfrm>
                          <a:prstGeom prst="rect">
                            <a:avLst/>
                          </a:prstGeom>
                          <a:ln>
                            <a:noFill/>
                          </a:ln>
                        </pic:spPr>
                      </pic:pic>
                    </a:graphicData>
                  </a:graphic>
                </wp:inline>
              </w:drawing>
            </w:r>
            <w:r>
              <w:drawing>
                <wp:inline distT="0" distB="0" distL="0" distR="0">
                  <wp:extent cx="5935345" cy="7662545"/>
                  <wp:effectExtent l="0" t="0" r="8255" b="14605"/>
                  <wp:docPr id="1141" name="图片 15"/>
                  <wp:cNvGraphicFramePr/>
                  <a:graphic xmlns:a="http://schemas.openxmlformats.org/drawingml/2006/main">
                    <a:graphicData uri="http://schemas.openxmlformats.org/drawingml/2006/picture">
                      <pic:pic xmlns:pic="http://schemas.openxmlformats.org/drawingml/2006/picture">
                        <pic:nvPicPr>
                          <pic:cNvPr id="1141" name="图片 15"/>
                          <pic:cNvPicPr/>
                        </pic:nvPicPr>
                        <pic:blipFill>
                          <a:blip r:embed="rId74" cstate="print"/>
                          <a:srcRect/>
                          <a:stretch>
                            <a:fillRect/>
                          </a:stretch>
                        </pic:blipFill>
                        <pic:spPr>
                          <a:xfrm>
                            <a:off x="0" y="0"/>
                            <a:ext cx="5935345" cy="7662545"/>
                          </a:xfrm>
                          <a:prstGeom prst="rect">
                            <a:avLst/>
                          </a:prstGeom>
                          <a:ln>
                            <a:noFill/>
                          </a:ln>
                        </pic:spPr>
                      </pic:pic>
                    </a:graphicData>
                  </a:graphic>
                </wp:inline>
              </w:drawing>
            </w:r>
            <w:r>
              <w:drawing>
                <wp:inline distT="0" distB="0" distL="0" distR="0">
                  <wp:extent cx="5940425" cy="7632065"/>
                  <wp:effectExtent l="0" t="0" r="3175" b="6985"/>
                  <wp:docPr id="1142" name="图片 16"/>
                  <wp:cNvGraphicFramePr/>
                  <a:graphic xmlns:a="http://schemas.openxmlformats.org/drawingml/2006/main">
                    <a:graphicData uri="http://schemas.openxmlformats.org/drawingml/2006/picture">
                      <pic:pic xmlns:pic="http://schemas.openxmlformats.org/drawingml/2006/picture">
                        <pic:nvPicPr>
                          <pic:cNvPr id="1142" name="图片 16"/>
                          <pic:cNvPicPr/>
                        </pic:nvPicPr>
                        <pic:blipFill>
                          <a:blip r:embed="rId75" cstate="print"/>
                          <a:srcRect/>
                          <a:stretch>
                            <a:fillRect/>
                          </a:stretch>
                        </pic:blipFill>
                        <pic:spPr>
                          <a:xfrm>
                            <a:off x="0" y="0"/>
                            <a:ext cx="5940425" cy="7632065"/>
                          </a:xfrm>
                          <a:prstGeom prst="rect">
                            <a:avLst/>
                          </a:prstGeom>
                          <a:ln>
                            <a:noFill/>
                          </a:ln>
                        </pic:spPr>
                      </pic:pic>
                    </a:graphicData>
                  </a:graphic>
                </wp:inline>
              </w:drawing>
            </w:r>
            <w:r>
              <w:drawing>
                <wp:inline distT="0" distB="0" distL="0" distR="0">
                  <wp:extent cx="5248275" cy="7476490"/>
                  <wp:effectExtent l="0" t="0" r="9525" b="9525"/>
                  <wp:docPr id="1143" name="图片 9"/>
                  <wp:cNvGraphicFramePr/>
                  <a:graphic xmlns:a="http://schemas.openxmlformats.org/drawingml/2006/main">
                    <a:graphicData uri="http://schemas.openxmlformats.org/drawingml/2006/picture">
                      <pic:pic xmlns:pic="http://schemas.openxmlformats.org/drawingml/2006/picture">
                        <pic:nvPicPr>
                          <pic:cNvPr id="1143" name="图片 9"/>
                          <pic:cNvPicPr/>
                        </pic:nvPicPr>
                        <pic:blipFill>
                          <a:blip r:embed="rId76" cstate="print"/>
                          <a:srcRect/>
                          <a:stretch>
                            <a:fillRect/>
                          </a:stretch>
                        </pic:blipFill>
                        <pic:spPr>
                          <a:xfrm>
                            <a:off x="0" y="0"/>
                            <a:ext cx="5248275" cy="7477124"/>
                          </a:xfrm>
                          <a:prstGeom prst="rect">
                            <a:avLst/>
                          </a:prstGeom>
                          <a:ln>
                            <a:noFill/>
                          </a:ln>
                        </pic:spPr>
                      </pic:pic>
                    </a:graphicData>
                  </a:graphic>
                </wp:inline>
              </w:drawing>
            </w:r>
            <w:r>
              <w:drawing>
                <wp:inline distT="0" distB="0" distL="0" distR="0">
                  <wp:extent cx="5181600" cy="7258050"/>
                  <wp:effectExtent l="0" t="0" r="0" b="0"/>
                  <wp:docPr id="1144" name="图片 10"/>
                  <wp:cNvGraphicFramePr/>
                  <a:graphic xmlns:a="http://schemas.openxmlformats.org/drawingml/2006/main">
                    <a:graphicData uri="http://schemas.openxmlformats.org/drawingml/2006/picture">
                      <pic:pic xmlns:pic="http://schemas.openxmlformats.org/drawingml/2006/picture">
                        <pic:nvPicPr>
                          <pic:cNvPr id="1144" name="图片 10"/>
                          <pic:cNvPicPr/>
                        </pic:nvPicPr>
                        <pic:blipFill>
                          <a:blip r:embed="rId77" cstate="print"/>
                          <a:srcRect/>
                          <a:stretch>
                            <a:fillRect/>
                          </a:stretch>
                        </pic:blipFill>
                        <pic:spPr>
                          <a:xfrm>
                            <a:off x="0" y="0"/>
                            <a:ext cx="5181600" cy="7258050"/>
                          </a:xfrm>
                          <a:prstGeom prst="rect">
                            <a:avLst/>
                          </a:prstGeom>
                          <a:ln>
                            <a:noFill/>
                          </a:ln>
                        </pic:spPr>
                      </pic:pic>
                    </a:graphicData>
                  </a:graphic>
                </wp:inline>
              </w:drawing>
            </w:r>
            <w:r>
              <w:drawing>
                <wp:inline distT="0" distB="0" distL="0" distR="0">
                  <wp:extent cx="5248275" cy="7515225"/>
                  <wp:effectExtent l="0" t="0" r="9525" b="9525"/>
                  <wp:docPr id="1145" name="图片 11"/>
                  <wp:cNvGraphicFramePr/>
                  <a:graphic xmlns:a="http://schemas.openxmlformats.org/drawingml/2006/main">
                    <a:graphicData uri="http://schemas.openxmlformats.org/drawingml/2006/picture">
                      <pic:pic xmlns:pic="http://schemas.openxmlformats.org/drawingml/2006/picture">
                        <pic:nvPicPr>
                          <pic:cNvPr id="1145" name="图片 11"/>
                          <pic:cNvPicPr/>
                        </pic:nvPicPr>
                        <pic:blipFill>
                          <a:blip r:embed="rId78" cstate="print"/>
                          <a:srcRect/>
                          <a:stretch>
                            <a:fillRect/>
                          </a:stretch>
                        </pic:blipFill>
                        <pic:spPr>
                          <a:xfrm>
                            <a:off x="0" y="0"/>
                            <a:ext cx="5248275" cy="7515225"/>
                          </a:xfrm>
                          <a:prstGeom prst="rect">
                            <a:avLst/>
                          </a:prstGeom>
                          <a:ln>
                            <a:noFill/>
                          </a:ln>
                        </pic:spPr>
                      </pic:pic>
                    </a:graphicData>
                  </a:graphic>
                </wp:inline>
              </w:drawing>
            </w:r>
          </w:p>
          <w:p w14:paraId="040AE6EB">
            <w:pPr>
              <w:pStyle w:val="2"/>
            </w:pPr>
          </w:p>
          <w:p w14:paraId="4A471BC1">
            <w:pPr>
              <w:pStyle w:val="52"/>
            </w:pPr>
          </w:p>
          <w:p w14:paraId="286BE492">
            <w:pPr>
              <w:rPr>
                <w:rFonts w:hint="eastAsia"/>
                <w:lang w:eastAsia="zh-CN"/>
              </w:rPr>
            </w:pPr>
          </w:p>
        </w:tc>
      </w:tr>
      <w:tr w14:paraId="74A7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7B5522FF">
            <w:pPr>
              <w:rPr>
                <w:rFonts w:hint="default"/>
                <w:b/>
                <w:bCs/>
                <w:lang w:val="en-US" w:eastAsia="zh-CN"/>
              </w:rPr>
            </w:pPr>
            <w:r>
              <w:rPr>
                <w:rFonts w:hint="eastAsia"/>
                <w:b/>
                <w:bCs/>
                <w:lang w:val="en-US" w:eastAsia="zh-CN"/>
              </w:rPr>
              <w:t>半水基清洗剂及VOCs含量检测报告</w:t>
            </w:r>
          </w:p>
          <w:p w14:paraId="282AC814">
            <w:pPr>
              <w:jc w:val="both"/>
            </w:pPr>
            <w:r>
              <w:drawing>
                <wp:inline distT="0" distB="0" distL="0" distR="0">
                  <wp:extent cx="4886325" cy="6648450"/>
                  <wp:effectExtent l="0" t="0" r="9525" b="0"/>
                  <wp:docPr id="1146" name="图片 7"/>
                  <wp:cNvGraphicFramePr/>
                  <a:graphic xmlns:a="http://schemas.openxmlformats.org/drawingml/2006/main">
                    <a:graphicData uri="http://schemas.openxmlformats.org/drawingml/2006/picture">
                      <pic:pic xmlns:pic="http://schemas.openxmlformats.org/drawingml/2006/picture">
                        <pic:nvPicPr>
                          <pic:cNvPr id="1146" name="图片 7"/>
                          <pic:cNvPicPr/>
                        </pic:nvPicPr>
                        <pic:blipFill>
                          <a:blip r:embed="rId79" cstate="print"/>
                          <a:srcRect/>
                          <a:stretch>
                            <a:fillRect/>
                          </a:stretch>
                        </pic:blipFill>
                        <pic:spPr>
                          <a:xfrm>
                            <a:off x="0" y="0"/>
                            <a:ext cx="4886325" cy="6648450"/>
                          </a:xfrm>
                          <a:prstGeom prst="rect">
                            <a:avLst/>
                          </a:prstGeom>
                          <a:ln>
                            <a:noFill/>
                          </a:ln>
                        </pic:spPr>
                      </pic:pic>
                    </a:graphicData>
                  </a:graphic>
                </wp:inline>
              </w:drawing>
            </w:r>
            <w:r>
              <w:drawing>
                <wp:inline distT="0" distB="0" distL="0" distR="0">
                  <wp:extent cx="5514975" cy="7629525"/>
                  <wp:effectExtent l="0" t="0" r="9525" b="9525"/>
                  <wp:docPr id="1147" name="图片 8"/>
                  <wp:cNvGraphicFramePr/>
                  <a:graphic xmlns:a="http://schemas.openxmlformats.org/drawingml/2006/main">
                    <a:graphicData uri="http://schemas.openxmlformats.org/drawingml/2006/picture">
                      <pic:pic xmlns:pic="http://schemas.openxmlformats.org/drawingml/2006/picture">
                        <pic:nvPicPr>
                          <pic:cNvPr id="1147" name="图片 8"/>
                          <pic:cNvPicPr/>
                        </pic:nvPicPr>
                        <pic:blipFill>
                          <a:blip r:embed="rId80" cstate="print"/>
                          <a:srcRect/>
                          <a:stretch>
                            <a:fillRect/>
                          </a:stretch>
                        </pic:blipFill>
                        <pic:spPr>
                          <a:xfrm>
                            <a:off x="0" y="0"/>
                            <a:ext cx="5514975" cy="7629525"/>
                          </a:xfrm>
                          <a:prstGeom prst="rect">
                            <a:avLst/>
                          </a:prstGeom>
                          <a:ln>
                            <a:noFill/>
                          </a:ln>
                        </pic:spPr>
                      </pic:pic>
                    </a:graphicData>
                  </a:graphic>
                </wp:inline>
              </w:drawing>
            </w:r>
            <w:r>
              <w:drawing>
                <wp:inline distT="0" distB="0" distL="0" distR="0">
                  <wp:extent cx="5238750" cy="7600950"/>
                  <wp:effectExtent l="0" t="0" r="0" b="0"/>
                  <wp:docPr id="1148" name="图片 9"/>
                  <wp:cNvGraphicFramePr/>
                  <a:graphic xmlns:a="http://schemas.openxmlformats.org/drawingml/2006/main">
                    <a:graphicData uri="http://schemas.openxmlformats.org/drawingml/2006/picture">
                      <pic:pic xmlns:pic="http://schemas.openxmlformats.org/drawingml/2006/picture">
                        <pic:nvPicPr>
                          <pic:cNvPr id="1148" name="图片 9"/>
                          <pic:cNvPicPr/>
                        </pic:nvPicPr>
                        <pic:blipFill>
                          <a:blip r:embed="rId81" cstate="print"/>
                          <a:srcRect/>
                          <a:stretch>
                            <a:fillRect/>
                          </a:stretch>
                        </pic:blipFill>
                        <pic:spPr>
                          <a:xfrm>
                            <a:off x="0" y="0"/>
                            <a:ext cx="5238750" cy="7600950"/>
                          </a:xfrm>
                          <a:prstGeom prst="rect">
                            <a:avLst/>
                          </a:prstGeom>
                          <a:ln>
                            <a:noFill/>
                          </a:ln>
                        </pic:spPr>
                      </pic:pic>
                    </a:graphicData>
                  </a:graphic>
                </wp:inline>
              </w:drawing>
            </w:r>
            <w:r>
              <w:drawing>
                <wp:inline distT="0" distB="0" distL="0" distR="0">
                  <wp:extent cx="5343525" cy="7790815"/>
                  <wp:effectExtent l="0" t="0" r="9525" b="635"/>
                  <wp:docPr id="1149" name="图片 10"/>
                  <wp:cNvGraphicFramePr/>
                  <a:graphic xmlns:a="http://schemas.openxmlformats.org/drawingml/2006/main">
                    <a:graphicData uri="http://schemas.openxmlformats.org/drawingml/2006/picture">
                      <pic:pic xmlns:pic="http://schemas.openxmlformats.org/drawingml/2006/picture">
                        <pic:nvPicPr>
                          <pic:cNvPr id="1149" name="图片 10"/>
                          <pic:cNvPicPr/>
                        </pic:nvPicPr>
                        <pic:blipFill>
                          <a:blip r:embed="rId82" cstate="print"/>
                          <a:srcRect/>
                          <a:stretch>
                            <a:fillRect/>
                          </a:stretch>
                        </pic:blipFill>
                        <pic:spPr>
                          <a:xfrm>
                            <a:off x="0" y="0"/>
                            <a:ext cx="5343525" cy="7790815"/>
                          </a:xfrm>
                          <a:prstGeom prst="rect">
                            <a:avLst/>
                          </a:prstGeom>
                          <a:ln>
                            <a:noFill/>
                          </a:ln>
                        </pic:spPr>
                      </pic:pic>
                    </a:graphicData>
                  </a:graphic>
                </wp:inline>
              </w:drawing>
            </w:r>
            <w:r>
              <w:drawing>
                <wp:inline distT="0" distB="0" distL="0" distR="0">
                  <wp:extent cx="5448300" cy="7829550"/>
                  <wp:effectExtent l="0" t="0" r="0" b="0"/>
                  <wp:docPr id="1150" name="图片 11"/>
                  <wp:cNvGraphicFramePr/>
                  <a:graphic xmlns:a="http://schemas.openxmlformats.org/drawingml/2006/main">
                    <a:graphicData uri="http://schemas.openxmlformats.org/drawingml/2006/picture">
                      <pic:pic xmlns:pic="http://schemas.openxmlformats.org/drawingml/2006/picture">
                        <pic:nvPicPr>
                          <pic:cNvPr id="1150" name="图片 11"/>
                          <pic:cNvPicPr/>
                        </pic:nvPicPr>
                        <pic:blipFill>
                          <a:blip r:embed="rId83" cstate="print"/>
                          <a:srcRect/>
                          <a:stretch>
                            <a:fillRect/>
                          </a:stretch>
                        </pic:blipFill>
                        <pic:spPr>
                          <a:xfrm>
                            <a:off x="0" y="0"/>
                            <a:ext cx="5448300" cy="7829550"/>
                          </a:xfrm>
                          <a:prstGeom prst="rect">
                            <a:avLst/>
                          </a:prstGeom>
                          <a:ln>
                            <a:noFill/>
                          </a:ln>
                        </pic:spPr>
                      </pic:pic>
                    </a:graphicData>
                  </a:graphic>
                </wp:inline>
              </w:drawing>
            </w:r>
            <w:r>
              <w:drawing>
                <wp:inline distT="0" distB="0" distL="0" distR="0">
                  <wp:extent cx="5410200" cy="7943850"/>
                  <wp:effectExtent l="0" t="0" r="0" b="0"/>
                  <wp:docPr id="1151" name="图片 12"/>
                  <wp:cNvGraphicFramePr/>
                  <a:graphic xmlns:a="http://schemas.openxmlformats.org/drawingml/2006/main">
                    <a:graphicData uri="http://schemas.openxmlformats.org/drawingml/2006/picture">
                      <pic:pic xmlns:pic="http://schemas.openxmlformats.org/drawingml/2006/picture">
                        <pic:nvPicPr>
                          <pic:cNvPr id="1151" name="图片 12"/>
                          <pic:cNvPicPr/>
                        </pic:nvPicPr>
                        <pic:blipFill>
                          <a:blip r:embed="rId84" cstate="print"/>
                          <a:srcRect/>
                          <a:stretch>
                            <a:fillRect/>
                          </a:stretch>
                        </pic:blipFill>
                        <pic:spPr>
                          <a:xfrm>
                            <a:off x="0" y="0"/>
                            <a:ext cx="5410200" cy="7943850"/>
                          </a:xfrm>
                          <a:prstGeom prst="rect">
                            <a:avLst/>
                          </a:prstGeom>
                          <a:ln>
                            <a:noFill/>
                          </a:ln>
                        </pic:spPr>
                      </pic:pic>
                    </a:graphicData>
                  </a:graphic>
                </wp:inline>
              </w:drawing>
            </w:r>
            <w:r>
              <w:drawing>
                <wp:inline distT="0" distB="0" distL="0" distR="0">
                  <wp:extent cx="5612130" cy="6654800"/>
                  <wp:effectExtent l="0" t="0" r="7620" b="12700"/>
                  <wp:docPr id="1152" name="图片 13"/>
                  <wp:cNvGraphicFramePr/>
                  <a:graphic xmlns:a="http://schemas.openxmlformats.org/drawingml/2006/main">
                    <a:graphicData uri="http://schemas.openxmlformats.org/drawingml/2006/picture">
                      <pic:pic xmlns:pic="http://schemas.openxmlformats.org/drawingml/2006/picture">
                        <pic:nvPicPr>
                          <pic:cNvPr id="1152" name="图片 13"/>
                          <pic:cNvPicPr/>
                        </pic:nvPicPr>
                        <pic:blipFill>
                          <a:blip r:embed="rId85" cstate="print"/>
                          <a:srcRect/>
                          <a:stretch>
                            <a:fillRect/>
                          </a:stretch>
                        </pic:blipFill>
                        <pic:spPr>
                          <a:xfrm>
                            <a:off x="0" y="0"/>
                            <a:ext cx="5612130" cy="6654800"/>
                          </a:xfrm>
                          <a:prstGeom prst="rect">
                            <a:avLst/>
                          </a:prstGeom>
                          <a:ln>
                            <a:noFill/>
                          </a:ln>
                        </pic:spPr>
                      </pic:pic>
                    </a:graphicData>
                  </a:graphic>
                </wp:inline>
              </w:drawing>
            </w:r>
            <w:r>
              <w:drawing>
                <wp:inline distT="0" distB="0" distL="0" distR="0">
                  <wp:extent cx="5615305" cy="7483475"/>
                  <wp:effectExtent l="0" t="0" r="4445" b="3175"/>
                  <wp:docPr id="1153" name="图片 14"/>
                  <wp:cNvGraphicFramePr/>
                  <a:graphic xmlns:a="http://schemas.openxmlformats.org/drawingml/2006/main">
                    <a:graphicData uri="http://schemas.openxmlformats.org/drawingml/2006/picture">
                      <pic:pic xmlns:pic="http://schemas.openxmlformats.org/drawingml/2006/picture">
                        <pic:nvPicPr>
                          <pic:cNvPr id="1153" name="图片 14"/>
                          <pic:cNvPicPr/>
                        </pic:nvPicPr>
                        <pic:blipFill>
                          <a:blip r:embed="rId86" cstate="print"/>
                          <a:srcRect/>
                          <a:stretch>
                            <a:fillRect/>
                          </a:stretch>
                        </pic:blipFill>
                        <pic:spPr>
                          <a:xfrm>
                            <a:off x="0" y="0"/>
                            <a:ext cx="5615305" cy="7483475"/>
                          </a:xfrm>
                          <a:prstGeom prst="rect">
                            <a:avLst/>
                          </a:prstGeom>
                          <a:ln>
                            <a:noFill/>
                          </a:ln>
                        </pic:spPr>
                      </pic:pic>
                    </a:graphicData>
                  </a:graphic>
                </wp:inline>
              </w:drawing>
            </w:r>
            <w:r>
              <w:drawing>
                <wp:inline distT="0" distB="0" distL="0" distR="0">
                  <wp:extent cx="5391150" cy="7819390"/>
                  <wp:effectExtent l="0" t="0" r="0" b="10160"/>
                  <wp:docPr id="1154" name="图片 15"/>
                  <wp:cNvGraphicFramePr/>
                  <a:graphic xmlns:a="http://schemas.openxmlformats.org/drawingml/2006/main">
                    <a:graphicData uri="http://schemas.openxmlformats.org/drawingml/2006/picture">
                      <pic:pic xmlns:pic="http://schemas.openxmlformats.org/drawingml/2006/picture">
                        <pic:nvPicPr>
                          <pic:cNvPr id="1154" name="图片 15"/>
                          <pic:cNvPicPr/>
                        </pic:nvPicPr>
                        <pic:blipFill>
                          <a:blip r:embed="rId87" cstate="print"/>
                          <a:srcRect/>
                          <a:stretch>
                            <a:fillRect/>
                          </a:stretch>
                        </pic:blipFill>
                        <pic:spPr>
                          <a:xfrm>
                            <a:off x="0" y="0"/>
                            <a:ext cx="5391150" cy="7819390"/>
                          </a:xfrm>
                          <a:prstGeom prst="rect">
                            <a:avLst/>
                          </a:prstGeom>
                          <a:ln>
                            <a:noFill/>
                          </a:ln>
                        </pic:spPr>
                      </pic:pic>
                    </a:graphicData>
                  </a:graphic>
                </wp:inline>
              </w:drawing>
            </w:r>
            <w:r>
              <w:drawing>
                <wp:inline distT="0" distB="0" distL="0" distR="0">
                  <wp:extent cx="5552440" cy="6733540"/>
                  <wp:effectExtent l="0" t="0" r="10160" b="10160"/>
                  <wp:docPr id="1155" name="图片 16"/>
                  <wp:cNvGraphicFramePr/>
                  <a:graphic xmlns:a="http://schemas.openxmlformats.org/drawingml/2006/main">
                    <a:graphicData uri="http://schemas.openxmlformats.org/drawingml/2006/picture">
                      <pic:pic xmlns:pic="http://schemas.openxmlformats.org/drawingml/2006/picture">
                        <pic:nvPicPr>
                          <pic:cNvPr id="1155" name="图片 16"/>
                          <pic:cNvPicPr/>
                        </pic:nvPicPr>
                        <pic:blipFill>
                          <a:blip r:embed="rId88" cstate="print"/>
                          <a:srcRect/>
                          <a:stretch>
                            <a:fillRect/>
                          </a:stretch>
                        </pic:blipFill>
                        <pic:spPr>
                          <a:xfrm>
                            <a:off x="0" y="0"/>
                            <a:ext cx="5552440" cy="6733540"/>
                          </a:xfrm>
                          <a:prstGeom prst="rect">
                            <a:avLst/>
                          </a:prstGeom>
                          <a:ln>
                            <a:noFill/>
                          </a:ln>
                        </pic:spPr>
                      </pic:pic>
                    </a:graphicData>
                  </a:graphic>
                </wp:inline>
              </w:drawing>
            </w:r>
            <w:r>
              <w:drawing>
                <wp:inline distT="0" distB="0" distL="0" distR="0">
                  <wp:extent cx="5262245" cy="7616190"/>
                  <wp:effectExtent l="0" t="0" r="14605" b="3810"/>
                  <wp:docPr id="1156" name="图片 17"/>
                  <wp:cNvGraphicFramePr/>
                  <a:graphic xmlns:a="http://schemas.openxmlformats.org/drawingml/2006/main">
                    <a:graphicData uri="http://schemas.openxmlformats.org/drawingml/2006/picture">
                      <pic:pic xmlns:pic="http://schemas.openxmlformats.org/drawingml/2006/picture">
                        <pic:nvPicPr>
                          <pic:cNvPr id="1156" name="图片 17"/>
                          <pic:cNvPicPr/>
                        </pic:nvPicPr>
                        <pic:blipFill>
                          <a:blip r:embed="rId89" cstate="print"/>
                          <a:srcRect/>
                          <a:stretch>
                            <a:fillRect/>
                          </a:stretch>
                        </pic:blipFill>
                        <pic:spPr>
                          <a:xfrm>
                            <a:off x="0" y="0"/>
                            <a:ext cx="5262245" cy="7616190"/>
                          </a:xfrm>
                          <a:prstGeom prst="rect">
                            <a:avLst/>
                          </a:prstGeom>
                          <a:ln>
                            <a:noFill/>
                          </a:ln>
                        </pic:spPr>
                      </pic:pic>
                    </a:graphicData>
                  </a:graphic>
                </wp:inline>
              </w:drawing>
            </w:r>
          </w:p>
          <w:p w14:paraId="3FD0D3AA">
            <w:pPr>
              <w:pStyle w:val="2"/>
            </w:pPr>
          </w:p>
          <w:p w14:paraId="237B4628"/>
          <w:p w14:paraId="5E762BB0">
            <w:pPr>
              <w:pStyle w:val="52"/>
              <w:rPr>
                <w:rFonts w:hint="default"/>
                <w:lang w:val="en-US" w:eastAsia="zh-CN"/>
              </w:rPr>
            </w:pPr>
          </w:p>
        </w:tc>
      </w:tr>
      <w:tr w14:paraId="0386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1" w:type="dxa"/>
            <w:vAlign w:val="center"/>
          </w:tcPr>
          <w:p w14:paraId="53D125DF">
            <w:pPr>
              <w:jc w:val="both"/>
              <w:rPr>
                <w:rFonts w:hint="eastAsia"/>
                <w:lang w:val="en-US" w:eastAsia="zh-CN"/>
              </w:rPr>
            </w:pPr>
            <w:r>
              <w:rPr>
                <w:rFonts w:hint="eastAsia"/>
                <w:lang w:val="en-US" w:eastAsia="zh-CN"/>
              </w:rPr>
              <w:t>硫化剂</w:t>
            </w:r>
          </w:p>
          <w:p w14:paraId="34AEF4C8">
            <w:pPr>
              <w:pStyle w:val="2"/>
              <w:rPr>
                <w:rFonts w:hint="default"/>
                <w:lang w:val="en-US" w:eastAsia="zh-CN"/>
              </w:rPr>
            </w:pPr>
            <w:r>
              <w:drawing>
                <wp:inline distT="0" distB="0" distL="114300" distR="114300">
                  <wp:extent cx="5162550" cy="7858125"/>
                  <wp:effectExtent l="0" t="0" r="0" b="952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90"/>
                          <a:stretch>
                            <a:fillRect/>
                          </a:stretch>
                        </pic:blipFill>
                        <pic:spPr>
                          <a:xfrm>
                            <a:off x="0" y="0"/>
                            <a:ext cx="5162550" cy="7858125"/>
                          </a:xfrm>
                          <a:prstGeom prst="rect">
                            <a:avLst/>
                          </a:prstGeom>
                          <a:noFill/>
                          <a:ln>
                            <a:noFill/>
                          </a:ln>
                        </pic:spPr>
                      </pic:pic>
                    </a:graphicData>
                  </a:graphic>
                </wp:inline>
              </w:drawing>
            </w:r>
            <w:r>
              <w:drawing>
                <wp:inline distT="0" distB="0" distL="114300" distR="114300">
                  <wp:extent cx="5010150" cy="7839075"/>
                  <wp:effectExtent l="0" t="0" r="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91"/>
                          <a:stretch>
                            <a:fillRect/>
                          </a:stretch>
                        </pic:blipFill>
                        <pic:spPr>
                          <a:xfrm>
                            <a:off x="0" y="0"/>
                            <a:ext cx="5010150" cy="7839075"/>
                          </a:xfrm>
                          <a:prstGeom prst="rect">
                            <a:avLst/>
                          </a:prstGeom>
                          <a:noFill/>
                          <a:ln>
                            <a:noFill/>
                          </a:ln>
                        </pic:spPr>
                      </pic:pic>
                    </a:graphicData>
                  </a:graphic>
                </wp:inline>
              </w:drawing>
            </w:r>
            <w:r>
              <w:drawing>
                <wp:inline distT="0" distB="0" distL="114300" distR="114300">
                  <wp:extent cx="5229225" cy="8039100"/>
                  <wp:effectExtent l="0" t="0" r="9525" b="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92"/>
                          <a:stretch>
                            <a:fillRect/>
                          </a:stretch>
                        </pic:blipFill>
                        <pic:spPr>
                          <a:xfrm>
                            <a:off x="0" y="0"/>
                            <a:ext cx="5229225" cy="8039100"/>
                          </a:xfrm>
                          <a:prstGeom prst="rect">
                            <a:avLst/>
                          </a:prstGeom>
                          <a:noFill/>
                          <a:ln>
                            <a:noFill/>
                          </a:ln>
                        </pic:spPr>
                      </pic:pic>
                    </a:graphicData>
                  </a:graphic>
                </wp:inline>
              </w:drawing>
            </w:r>
          </w:p>
        </w:tc>
      </w:tr>
    </w:tbl>
    <w:p w14:paraId="2E2D41D4">
      <w:pPr>
        <w:pStyle w:val="45"/>
        <w:numPr>
          <w:ilvl w:val="0"/>
          <w:numId w:val="0"/>
        </w:numPr>
        <w:tabs>
          <w:tab w:val="left" w:pos="420"/>
        </w:tabs>
        <w:adjustRightInd/>
        <w:spacing w:after="0" w:line="360" w:lineRule="auto"/>
        <w:ind w:leftChars="0"/>
        <w:jc w:val="both"/>
        <w:textAlignment w:val="auto"/>
        <w:outlineLvl w:val="9"/>
        <w:rPr>
          <w:rFonts w:hint="default"/>
          <w:color w:val="000000"/>
          <w:highlight w:val="none"/>
        </w:rPr>
        <w:sectPr>
          <w:headerReference r:id="rId8" w:type="default"/>
          <w:footerReference r:id="rId9" w:type="default"/>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35EE1E91">
      <w:pPr>
        <w:rPr>
          <w:rFonts w:hint="default"/>
          <w:lang w:val="en-US" w:eastAsia="zh-CN"/>
        </w:rPr>
      </w:pPr>
    </w:p>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4FC14BD-5EDF-46C7-9695-789A7D5AC61E}"/>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63EE2209-27CA-4A60-AEFB-1DAC30F0C80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2BAA1909-BA89-4020-B4BD-BFE834168523}"/>
  </w:font>
  <w:font w:name="MS Mincho">
    <w:panose1 w:val="02020609040205080304"/>
    <w:charset w:val="80"/>
    <w:family w:val="roman"/>
    <w:pitch w:val="default"/>
    <w:sig w:usb0="E00002FF" w:usb1="6AC7FDFB" w:usb2="00000012" w:usb3="00000000" w:csb0="4002009F" w:csb1="DFD70000"/>
  </w:font>
  <w:font w:name="楷体_GB2312">
    <w:panose1 w:val="02010609030101010101"/>
    <w:charset w:val="86"/>
    <w:family w:val="modern"/>
    <w:pitch w:val="default"/>
    <w:sig w:usb0="00000001" w:usb1="080E0000" w:usb2="00000000" w:usb3="00000000" w:csb0="00040000" w:csb1="00000000"/>
    <w:embedRegular r:id="rId4" w:fontKey="{3164DAD0-7286-417A-B8C5-9C3C0A910919}"/>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Arial Unicode MS">
    <w:altName w:val="宋体"/>
    <w:panose1 w:val="020B0604020202020204"/>
    <w:charset w:val="86"/>
    <w:family w:val="auto"/>
    <w:pitch w:val="default"/>
    <w:sig w:usb0="00000000" w:usb1="00000000" w:usb2="0000007F" w:usb3="00000000" w:csb0="203F01FF" w:csb1="DFFF0000"/>
  </w:font>
  <w:font w:name="妤蜂綋">
    <w:altName w:val="Segoe Print"/>
    <w:panose1 w:val="00000000000000000000"/>
    <w:charset w:val="00"/>
    <w:family w:val="auto"/>
    <w:pitch w:val="default"/>
    <w:sig w:usb0="00000000" w:usb1="00000000" w:usb2="00000000" w:usb3="00000000" w:csb0="00000000" w:csb1="00000000"/>
    <w:embedRegular r:id="rId5" w:fontKey="{3CDCE4E9-377D-48EB-9390-6B8B5E7A24EB}"/>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embedRegular r:id="rId6" w:fontKey="{91532AB8-DEA3-4F66-A7C9-555D59E2D14B}"/>
  </w:font>
  <w:font w:name="WPSEMBED10">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35E9">
    <w:pPr>
      <w:pStyle w:val="3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485A8">
    <w:pPr>
      <w:pStyle w:val="3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4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F00A95">
                          <w:pPr>
                            <w:pStyle w:val="36"/>
                          </w:pPr>
                          <w:r>
                            <w:fldChar w:fldCharType="begin"/>
                          </w:r>
                          <w:r>
                            <w:instrText xml:space="preserve"> PAGE  \* MERGEFORMAT </w:instrText>
                          </w:r>
                          <w:r>
                            <w:fldChar w:fldCharType="separate"/>
                          </w:r>
                          <w:r>
                            <w:t>I</w:t>
                          </w:r>
                          <w:r>
                            <w:fldChar w:fldCharType="end"/>
                          </w:r>
                        </w:p>
                      </w:txbxContent>
                    </wps:txbx>
                    <wps:bodyPr vert="horz" wrap="none" lIns="0" tIns="0" rIns="0" bIns="0" anchor="t" upright="0">
                      <a:spAutoFit/>
                    </wps:bodyPr>
                  </wps:wsp>
                </a:graphicData>
              </a:graphic>
            </wp:anchor>
          </w:drawing>
        </mc:Choice>
        <mc:Fallback>
          <w:pict>
            <v:rect id="文本框 14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0jo4mtUBAACgAwAADgAAAAAAAAABACAAAAAf&#10;AQAAZHJzL2Uyb0RvYy54bWxQSwUGAAAAAAYABgBZAQAAZgUAAAAA&#10;">
              <v:fill on="f" focussize="0,0"/>
              <v:stroke on="f"/>
              <v:imagedata o:title=""/>
              <o:lock v:ext="edit" aspectratio="f"/>
              <v:textbox inset="0mm,0mm,0mm,0mm" style="mso-fit-shape-to-text:t;">
                <w:txbxContent>
                  <w:p w14:paraId="71F00A95">
                    <w:pPr>
                      <w:pStyle w:val="36"/>
                    </w:pPr>
                    <w:r>
                      <w:fldChar w:fldCharType="begin"/>
                    </w:r>
                    <w:r>
                      <w:instrText xml:space="preserve"> PAGE  \* MERGEFORMAT </w:instrText>
                    </w:r>
                    <w:r>
                      <w:fldChar w:fldCharType="separate"/>
                    </w:r>
                    <w:r>
                      <w:t>I</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D36EA">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5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A2E90C2">
                          <w:pPr>
                            <w:pStyle w:val="36"/>
                          </w:pPr>
                          <w:r>
                            <w:t xml:space="preserve">— </w:t>
                          </w:r>
                          <w:r>
                            <w:fldChar w:fldCharType="begin"/>
                          </w:r>
                          <w:r>
                            <w:instrText xml:space="preserve"> PAGE  \* MERGEFORMAT </w:instrText>
                          </w:r>
                          <w:r>
                            <w:fldChar w:fldCharType="separate"/>
                          </w:r>
                          <w:r>
                            <w:t>III</w:t>
                          </w:r>
                          <w:r>
                            <w:fldChar w:fldCharType="end"/>
                          </w:r>
                          <w:r>
                            <w:t xml:space="preserve"> —</w:t>
                          </w:r>
                        </w:p>
                      </w:txbxContent>
                    </wps:txbx>
                    <wps:bodyPr vert="horz" wrap="none" lIns="0" tIns="0" rIns="0" bIns="0" anchor="t" upright="0">
                      <a:spAutoFit/>
                    </wps:bodyPr>
                  </wps:wsp>
                </a:graphicData>
              </a:graphic>
            </wp:anchor>
          </w:drawing>
        </mc:Choice>
        <mc:Fallback>
          <w:pict>
            <v:rect id="文本框 15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OVS/7TAQAAoAMAAA4AAABkcnMvZTJvRG9jLnhtbK1TS47TQBDdI3GH&#10;Vu+JnQhQsO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nL8g113glLPb/8+H75+fvy&#10;6xtbvlolj/qAFV29D3cwZUhhEjy0YNOXpLAh+3q++qqGyCRtLter9bokyyWdzQnhFA/PA2B8p7xl&#10;Kag5UOOyn+L0AeN4db6SqhmXVudvtTHjadopEs2RWIrisB8mtnvfnEknjT2Bdx6+ctZT02vuaMY5&#10;M+8deZrmYw5gDvZzIJykhzWPnB0D6EOXZynRwPD2GIlK5pkKj9UmPtS4rHQasjQZf+f51sOPtf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AOVS/7TAQAAoAMAAA4AAAAAAAAAAQAgAAAAHwEA&#10;AGRycy9lMm9Eb2MueG1sUEsFBgAAAAAGAAYAWQEAAGQFAAAAAA==&#10;">
              <v:fill on="f" focussize="0,0"/>
              <v:stroke on="f"/>
              <v:imagedata o:title=""/>
              <o:lock v:ext="edit" aspectratio="f"/>
              <v:textbox inset="0mm,0mm,0mm,0mm" style="mso-fit-shape-to-text:t;">
                <w:txbxContent>
                  <w:p w14:paraId="1A2E90C2">
                    <w:pPr>
                      <w:pStyle w:val="36"/>
                    </w:pPr>
                    <w:r>
                      <w:t xml:space="preserve">— </w:t>
                    </w:r>
                    <w:r>
                      <w:fldChar w:fldCharType="begin"/>
                    </w:r>
                    <w:r>
                      <w:instrText xml:space="preserve"> PAGE  \* MERGEFORMAT </w:instrText>
                    </w:r>
                    <w:r>
                      <w:fldChar w:fldCharType="separate"/>
                    </w:r>
                    <w:r>
                      <w:t>III</w:t>
                    </w:r>
                    <w:r>
                      <w:fldChar w:fldCharType="end"/>
                    </w:r>
                    <w: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0A0F3">
    <w:pPr>
      <w:pStyle w:val="26"/>
      <w:spacing w:line="14" w:lineRule="auto"/>
      <w:ind w:firstLine="40"/>
      <w:rPr>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5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BA0B83">
                          <w:pPr>
                            <w:pStyle w:val="36"/>
                          </w:pPr>
                          <w:r>
                            <w:fldChar w:fldCharType="begin"/>
                          </w:r>
                          <w:r>
                            <w:instrText xml:space="preserve"> PAGE  \* MERGEFORMAT </w:instrText>
                          </w:r>
                          <w:r>
                            <w:fldChar w:fldCharType="separate"/>
                          </w:r>
                          <w:r>
                            <w:t>XXVI</w:t>
                          </w:r>
                          <w:r>
                            <w:fldChar w:fldCharType="end"/>
                          </w:r>
                        </w:p>
                      </w:txbxContent>
                    </wps:txbx>
                    <wps:bodyPr vert="horz" wrap="none" lIns="0" tIns="0" rIns="0" bIns="0" anchor="t" upright="0">
                      <a:spAutoFit/>
                    </wps:bodyPr>
                  </wps:wsp>
                </a:graphicData>
              </a:graphic>
            </wp:anchor>
          </w:drawing>
        </mc:Choice>
        <mc:Fallback>
          <w:pict>
            <v:rect id="文本框 15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&#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SqVLk9UBAACgAwAADgAAAAAAAAABACAAAAAf&#10;AQAAZHJzL2Uyb0RvYy54bWxQSwUGAAAAAAYABgBZAQAAZgUAAAAA&#10;">
              <v:fill on="f" focussize="0,0"/>
              <v:stroke on="f"/>
              <v:imagedata o:title=""/>
              <o:lock v:ext="edit" aspectratio="f"/>
              <v:textbox inset="0mm,0mm,0mm,0mm" style="mso-fit-shape-to-text:t;">
                <w:txbxContent>
                  <w:p w14:paraId="3EBA0B83">
                    <w:pPr>
                      <w:pStyle w:val="36"/>
                    </w:pPr>
                    <w:r>
                      <w:fldChar w:fldCharType="begin"/>
                    </w:r>
                    <w:r>
                      <w:instrText xml:space="preserve"> PAGE  \* MERGEFORMAT </w:instrText>
                    </w:r>
                    <w:r>
                      <w:fldChar w:fldCharType="separate"/>
                    </w:r>
                    <w:r>
                      <w:t>XXVI</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47FF6">
    <w:pPr>
      <w:pStyle w:val="26"/>
      <w:spacing w:line="14" w:lineRule="auto"/>
      <w:ind w:firstLine="4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7A1A1"/>
    <w:multiLevelType w:val="singleLevel"/>
    <w:tmpl w:val="CD27A1A1"/>
    <w:lvl w:ilvl="0" w:tentative="0">
      <w:start w:val="2"/>
      <w:numFmt w:val="decimal"/>
      <w:suff w:val="nothing"/>
      <w:lvlText w:val="（%1）"/>
      <w:lvlJc w:val="left"/>
    </w:lvl>
  </w:abstractNum>
  <w:abstractNum w:abstractNumId="1">
    <w:nsid w:val="00000000"/>
    <w:multiLevelType w:val="singleLevel"/>
    <w:tmpl w:val="00000000"/>
    <w:lvl w:ilvl="0" w:tentative="0">
      <w:start w:val="1"/>
      <w:numFmt w:val="bullet"/>
      <w:pStyle w:val="29"/>
      <w:lvlText w:val=""/>
      <w:lvlJc w:val="left"/>
      <w:pPr>
        <w:tabs>
          <w:tab w:val="left" w:pos="780"/>
        </w:tabs>
        <w:ind w:left="840" w:hanging="360"/>
      </w:pPr>
      <w:rPr>
        <w:rFonts w:hint="default" w:ascii="Wingdings" w:hAnsi="Wingdings"/>
      </w:rPr>
    </w:lvl>
  </w:abstractNum>
  <w:abstractNum w:abstractNumId="2">
    <w:nsid w:val="00000001"/>
    <w:multiLevelType w:val="multilevel"/>
    <w:tmpl w:val="00000001"/>
    <w:lvl w:ilvl="0" w:tentative="0">
      <w:start w:val="1"/>
      <w:numFmt w:val="decimal"/>
      <w:suff w:val="nothing"/>
      <w:lvlText w:val="（%1）"/>
      <w:lvlJc w:val="left"/>
      <w:pPr>
        <w:tabs>
          <w:tab w:val="left" w:pos="0"/>
        </w:tabs>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000002"/>
    <w:multiLevelType w:val="singleLevel"/>
    <w:tmpl w:val="00000002"/>
    <w:lvl w:ilvl="0" w:tentative="0">
      <w:start w:val="1"/>
      <w:numFmt w:val="decimal"/>
      <w:suff w:val="space"/>
      <w:lvlText w:val="表2-%1"/>
      <w:lvlJc w:val="center"/>
      <w:pPr>
        <w:tabs>
          <w:tab w:val="left" w:pos="0"/>
        </w:tabs>
        <w:ind w:left="0" w:firstLine="40"/>
      </w:pPr>
      <w:rPr>
        <w:rFonts w:hint="default" w:ascii="Times New Roman" w:hAnsi="Times New Roman" w:cs="Arial Unicode MS"/>
        <w:b/>
        <w:color w:val="000000"/>
        <w:sz w:val="21"/>
        <w:szCs w:val="21"/>
      </w:rPr>
    </w:lvl>
  </w:abstractNum>
  <w:abstractNum w:abstractNumId="4">
    <w:nsid w:val="00000003"/>
    <w:multiLevelType w:val="singleLevel"/>
    <w:tmpl w:val="00000003"/>
    <w:lvl w:ilvl="0" w:tentative="0">
      <w:start w:val="1"/>
      <w:numFmt w:val="bullet"/>
      <w:pStyle w:val="27"/>
      <w:lvlText w:val=""/>
      <w:lvlJc w:val="left"/>
      <w:pPr>
        <w:tabs>
          <w:tab w:val="left" w:pos="2040"/>
        </w:tabs>
        <w:ind w:left="2040" w:hanging="360"/>
      </w:pPr>
      <w:rPr>
        <w:rFonts w:hint="default" w:ascii="Wingdings" w:hAnsi="Wingdings"/>
      </w:rPr>
    </w:lvl>
  </w:abstractNum>
  <w:abstractNum w:abstractNumId="5">
    <w:nsid w:val="00000004"/>
    <w:multiLevelType w:val="singleLevel"/>
    <w:tmpl w:val="00000004"/>
    <w:lvl w:ilvl="0" w:tentative="0">
      <w:start w:val="5"/>
      <w:numFmt w:val="decimal"/>
      <w:suff w:val="nothing"/>
      <w:lvlText w:val="%1、"/>
      <w:lvlJc w:val="left"/>
    </w:lvl>
  </w:abstractNum>
  <w:abstractNum w:abstractNumId="6">
    <w:nsid w:val="00000005"/>
    <w:multiLevelType w:val="singleLevel"/>
    <w:tmpl w:val="00000005"/>
    <w:lvl w:ilvl="0" w:tentative="0">
      <w:start w:val="1"/>
      <w:numFmt w:val="decimal"/>
      <w:suff w:val="nothing"/>
      <w:lvlText w:val="附图%1 "/>
      <w:lvlJc w:val="left"/>
      <w:pPr>
        <w:ind w:left="0" w:firstLine="397"/>
      </w:pPr>
      <w:rPr>
        <w:rFonts w:hint="default"/>
        <w:sz w:val="24"/>
        <w:szCs w:val="24"/>
      </w:rPr>
    </w:lvl>
  </w:abstractNum>
  <w:abstractNum w:abstractNumId="7">
    <w:nsid w:val="00000007"/>
    <w:multiLevelType w:val="singleLevel"/>
    <w:tmpl w:val="00000007"/>
    <w:lvl w:ilvl="0" w:tentative="0">
      <w:start w:val="1"/>
      <w:numFmt w:val="decimal"/>
      <w:suff w:val="space"/>
      <w:lvlText w:val="表3-%1"/>
      <w:lvlJc w:val="center"/>
      <w:pPr>
        <w:tabs>
          <w:tab w:val="left" w:pos="0"/>
        </w:tabs>
        <w:ind w:left="0" w:firstLine="40"/>
      </w:pPr>
      <w:rPr>
        <w:rFonts w:hint="default" w:ascii="Times New Roman" w:hAnsi="Times New Roman" w:cs="Times New Roman"/>
        <w:b/>
        <w:color w:val="000000"/>
        <w:sz w:val="21"/>
        <w:szCs w:val="21"/>
      </w:rPr>
    </w:lvl>
  </w:abstractNum>
  <w:abstractNum w:abstractNumId="8">
    <w:nsid w:val="00000008"/>
    <w:multiLevelType w:val="multilevel"/>
    <w:tmpl w:val="00000008"/>
    <w:lvl w:ilvl="0" w:tentative="0">
      <w:start w:val="1"/>
      <w:numFmt w:val="decimal"/>
      <w:lvlText w:val="%1"/>
      <w:lvlJc w:val="left"/>
      <w:pPr>
        <w:ind w:left="432" w:hanging="432"/>
      </w:pPr>
      <w:rPr>
        <w:rFonts w:hint="eastAsia"/>
      </w:rPr>
    </w:lvl>
    <w:lvl w:ilvl="1" w:tentative="0">
      <w:start w:val="1"/>
      <w:numFmt w:val="none"/>
      <w:pStyle w:val="19"/>
      <w:suff w:val="nothing"/>
      <w:lvlText w:val=""/>
      <w:lvlJc w:val="left"/>
      <w:pPr>
        <w:tabs>
          <w:tab w:val="left" w:pos="0"/>
        </w:tabs>
        <w:ind w:left="0" w:firstLine="0"/>
      </w:pPr>
      <w:rPr>
        <w:rFonts w:hint="eastAsia" w:ascii="宋体" w:hAnsi="宋体" w:eastAsia="宋体" w:cs="宋体"/>
      </w:rPr>
    </w:lvl>
    <w:lvl w:ilvl="2" w:tentative="0">
      <w:start w:val="1"/>
      <w:numFmt w:val="chineseCounting"/>
      <w:pStyle w:val="10"/>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pStyle w:val="20"/>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2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2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9">
    <w:nsid w:val="00000009"/>
    <w:multiLevelType w:val="multilevel"/>
    <w:tmpl w:val="00000009"/>
    <w:lvl w:ilvl="0" w:tentative="0">
      <w:start w:val="1"/>
      <w:numFmt w:val="decimal"/>
      <w:suff w:val="nothing"/>
      <w:lvlText w:val="（%1）"/>
      <w:lvlJc w:val="left"/>
      <w:pPr>
        <w:tabs>
          <w:tab w:val="left" w:pos="0"/>
        </w:tabs>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0000000A"/>
    <w:multiLevelType w:val="singleLevel"/>
    <w:tmpl w:val="0000000A"/>
    <w:lvl w:ilvl="0" w:tentative="0">
      <w:start w:val="1"/>
      <w:numFmt w:val="chineseCounting"/>
      <w:pStyle w:val="18"/>
      <w:suff w:val="nothing"/>
      <w:lvlText w:val="%1、"/>
      <w:lvlJc w:val="left"/>
      <w:pPr>
        <w:tabs>
          <w:tab w:val="left" w:pos="0"/>
        </w:tabs>
        <w:ind w:left="0" w:firstLine="0"/>
      </w:pPr>
      <w:rPr>
        <w:rFonts w:hint="eastAsia" w:ascii="黑体" w:hAnsi="黑体" w:eastAsia="黑体" w:cs="黑体"/>
        <w:sz w:val="30"/>
        <w:szCs w:val="30"/>
      </w:rPr>
    </w:lvl>
  </w:abstractNum>
  <w:abstractNum w:abstractNumId="11">
    <w:nsid w:val="0000000B"/>
    <w:multiLevelType w:val="singleLevel"/>
    <w:tmpl w:val="0000000B"/>
    <w:lvl w:ilvl="0" w:tentative="0">
      <w:start w:val="1"/>
      <w:numFmt w:val="chineseCounting"/>
      <w:pStyle w:val="103"/>
      <w:suff w:val="nothing"/>
      <w:lvlText w:val="（%1）"/>
      <w:lvlJc w:val="left"/>
      <w:pPr>
        <w:ind w:left="0" w:firstLine="420"/>
      </w:pPr>
      <w:rPr>
        <w:rFonts w:hint="eastAsia"/>
      </w:rPr>
    </w:lvl>
  </w:abstractNum>
  <w:abstractNum w:abstractNumId="12">
    <w:nsid w:val="0000000C"/>
    <w:multiLevelType w:val="singleLevel"/>
    <w:tmpl w:val="0000000C"/>
    <w:lvl w:ilvl="0" w:tentative="0">
      <w:start w:val="1"/>
      <w:numFmt w:val="decimal"/>
      <w:suff w:val="space"/>
      <w:lvlText w:val="表4-%1"/>
      <w:lvlJc w:val="center"/>
      <w:pPr>
        <w:tabs>
          <w:tab w:val="left" w:pos="0"/>
        </w:tabs>
        <w:ind w:left="0" w:hanging="1"/>
      </w:pPr>
      <w:rPr>
        <w:rFonts w:hint="default" w:ascii="Times New Roman" w:hAnsi="Times New Roman" w:cs="Times New Roman"/>
        <w:b/>
        <w:color w:val="000000"/>
        <w:sz w:val="21"/>
        <w:szCs w:val="21"/>
      </w:rPr>
    </w:lvl>
  </w:abstractNum>
  <w:abstractNum w:abstractNumId="13">
    <w:nsid w:val="0000000D"/>
    <w:multiLevelType w:val="singleLevel"/>
    <w:tmpl w:val="0000000D"/>
    <w:lvl w:ilvl="0" w:tentative="0">
      <w:start w:val="1"/>
      <w:numFmt w:val="decimal"/>
      <w:pStyle w:val="129"/>
      <w:suff w:val="space"/>
      <w:lvlText w:val="表1-%1"/>
      <w:lvlJc w:val="center"/>
      <w:pPr>
        <w:tabs>
          <w:tab w:val="left" w:pos="0"/>
        </w:tabs>
        <w:ind w:left="0" w:firstLine="0"/>
      </w:pPr>
      <w:rPr>
        <w:rFonts w:hint="default" w:ascii="Times New Roman" w:hAnsi="Times New Roman"/>
        <w:b/>
        <w:bCs/>
        <w:sz w:val="21"/>
        <w:szCs w:val="21"/>
      </w:rPr>
    </w:lvl>
  </w:abstractNum>
  <w:num w:numId="1">
    <w:abstractNumId w:val="10"/>
  </w:num>
  <w:num w:numId="2">
    <w:abstractNumId w:val="8"/>
  </w:num>
  <w:num w:numId="3">
    <w:abstractNumId w:val="4"/>
  </w:num>
  <w:num w:numId="4">
    <w:abstractNumId w:val="1"/>
  </w:num>
  <w:num w:numId="5">
    <w:abstractNumId w:val="11"/>
  </w:num>
  <w:num w:numId="6">
    <w:abstractNumId w:val="13"/>
  </w:num>
  <w:num w:numId="7">
    <w:abstractNumId w:val="5"/>
  </w:num>
  <w:num w:numId="8">
    <w:abstractNumId w:val="3"/>
  </w:num>
  <w:num w:numId="9">
    <w:abstractNumId w:val="7"/>
  </w:num>
  <w:num w:numId="10">
    <w:abstractNumId w:val="12"/>
  </w:num>
  <w:num w:numId="11">
    <w:abstractNumId w:val="0"/>
  </w:num>
  <w:num w:numId="12">
    <w:abstractNumId w:val="2"/>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63C43"/>
    <w:rsid w:val="01D53591"/>
    <w:rsid w:val="01F3605B"/>
    <w:rsid w:val="02255605"/>
    <w:rsid w:val="02B82105"/>
    <w:rsid w:val="036B7D08"/>
    <w:rsid w:val="039B5B6E"/>
    <w:rsid w:val="047116A8"/>
    <w:rsid w:val="04D16E90"/>
    <w:rsid w:val="05017D5D"/>
    <w:rsid w:val="05F96B7B"/>
    <w:rsid w:val="06197D90"/>
    <w:rsid w:val="06EA6710"/>
    <w:rsid w:val="07335A42"/>
    <w:rsid w:val="082A70E9"/>
    <w:rsid w:val="08762F11"/>
    <w:rsid w:val="0AF507E4"/>
    <w:rsid w:val="0B711186"/>
    <w:rsid w:val="0CB721F7"/>
    <w:rsid w:val="0DB55BD8"/>
    <w:rsid w:val="0E1D4BAE"/>
    <w:rsid w:val="0E215936"/>
    <w:rsid w:val="0E342E47"/>
    <w:rsid w:val="0F1D30A7"/>
    <w:rsid w:val="0F272B8A"/>
    <w:rsid w:val="0F3A573B"/>
    <w:rsid w:val="0F776EBF"/>
    <w:rsid w:val="0F9B0D8A"/>
    <w:rsid w:val="0FD23203"/>
    <w:rsid w:val="100018C7"/>
    <w:rsid w:val="10364376"/>
    <w:rsid w:val="10B247FF"/>
    <w:rsid w:val="11655F60"/>
    <w:rsid w:val="14483817"/>
    <w:rsid w:val="14535FF1"/>
    <w:rsid w:val="16304329"/>
    <w:rsid w:val="16654B58"/>
    <w:rsid w:val="17277E42"/>
    <w:rsid w:val="176D13A8"/>
    <w:rsid w:val="18C3566A"/>
    <w:rsid w:val="18DA0A8E"/>
    <w:rsid w:val="19691F1F"/>
    <w:rsid w:val="1A4E703E"/>
    <w:rsid w:val="1B3B5CC8"/>
    <w:rsid w:val="1E4B6024"/>
    <w:rsid w:val="1F03207D"/>
    <w:rsid w:val="1FA826F5"/>
    <w:rsid w:val="1FF85F04"/>
    <w:rsid w:val="20011311"/>
    <w:rsid w:val="202221E7"/>
    <w:rsid w:val="207B2B71"/>
    <w:rsid w:val="20CC3F1B"/>
    <w:rsid w:val="22280ABD"/>
    <w:rsid w:val="25323320"/>
    <w:rsid w:val="25B61E28"/>
    <w:rsid w:val="25D54AB7"/>
    <w:rsid w:val="2619106A"/>
    <w:rsid w:val="2736727F"/>
    <w:rsid w:val="27800E01"/>
    <w:rsid w:val="282B09BF"/>
    <w:rsid w:val="28D70737"/>
    <w:rsid w:val="28F96F7A"/>
    <w:rsid w:val="2A1831C5"/>
    <w:rsid w:val="2A780668"/>
    <w:rsid w:val="2B9F12A3"/>
    <w:rsid w:val="2CE14B23"/>
    <w:rsid w:val="2D0C351B"/>
    <w:rsid w:val="2D5E2E5D"/>
    <w:rsid w:val="2DF950BB"/>
    <w:rsid w:val="2E02653D"/>
    <w:rsid w:val="2ED56E2E"/>
    <w:rsid w:val="30944B87"/>
    <w:rsid w:val="30AB644C"/>
    <w:rsid w:val="30D51DCD"/>
    <w:rsid w:val="30FC4CA2"/>
    <w:rsid w:val="31EE2CA3"/>
    <w:rsid w:val="329E3C35"/>
    <w:rsid w:val="330462B5"/>
    <w:rsid w:val="335F1C08"/>
    <w:rsid w:val="33D93F7F"/>
    <w:rsid w:val="35350598"/>
    <w:rsid w:val="365C4F3C"/>
    <w:rsid w:val="370D5DE1"/>
    <w:rsid w:val="38135E33"/>
    <w:rsid w:val="386E10D4"/>
    <w:rsid w:val="38FA68B7"/>
    <w:rsid w:val="3998146A"/>
    <w:rsid w:val="39DF58F2"/>
    <w:rsid w:val="3B0C7B87"/>
    <w:rsid w:val="3E18536E"/>
    <w:rsid w:val="3E1F40E2"/>
    <w:rsid w:val="3E2B4585"/>
    <w:rsid w:val="3EFA7976"/>
    <w:rsid w:val="3F071049"/>
    <w:rsid w:val="42521E67"/>
    <w:rsid w:val="43402594"/>
    <w:rsid w:val="43E507F2"/>
    <w:rsid w:val="43FC1B0E"/>
    <w:rsid w:val="44676B06"/>
    <w:rsid w:val="447D017A"/>
    <w:rsid w:val="450C2FAF"/>
    <w:rsid w:val="4616728A"/>
    <w:rsid w:val="461D1102"/>
    <w:rsid w:val="46B1028D"/>
    <w:rsid w:val="46FF597E"/>
    <w:rsid w:val="47F94B69"/>
    <w:rsid w:val="4B0B37CB"/>
    <w:rsid w:val="4B230BA3"/>
    <w:rsid w:val="4BF300AA"/>
    <w:rsid w:val="4CB27BC9"/>
    <w:rsid w:val="4CC92202"/>
    <w:rsid w:val="4DCE7B01"/>
    <w:rsid w:val="4DF654FD"/>
    <w:rsid w:val="4E8B0864"/>
    <w:rsid w:val="4F10078B"/>
    <w:rsid w:val="4F6E1EE0"/>
    <w:rsid w:val="4FCD3B72"/>
    <w:rsid w:val="51372483"/>
    <w:rsid w:val="528F0EF8"/>
    <w:rsid w:val="53466CBF"/>
    <w:rsid w:val="53B4529B"/>
    <w:rsid w:val="53DC6DB4"/>
    <w:rsid w:val="54DD578D"/>
    <w:rsid w:val="54F46459"/>
    <w:rsid w:val="565F060E"/>
    <w:rsid w:val="572C48A8"/>
    <w:rsid w:val="57411C97"/>
    <w:rsid w:val="57853398"/>
    <w:rsid w:val="599E4BE5"/>
    <w:rsid w:val="59F45199"/>
    <w:rsid w:val="5A4D3149"/>
    <w:rsid w:val="5AA768B8"/>
    <w:rsid w:val="5BD26A10"/>
    <w:rsid w:val="5C1D01D8"/>
    <w:rsid w:val="5D777C27"/>
    <w:rsid w:val="5E820E74"/>
    <w:rsid w:val="5F100C1A"/>
    <w:rsid w:val="5FA326E0"/>
    <w:rsid w:val="61696E67"/>
    <w:rsid w:val="61BF6D6A"/>
    <w:rsid w:val="62400D76"/>
    <w:rsid w:val="63967A9B"/>
    <w:rsid w:val="642F0DD5"/>
    <w:rsid w:val="649D4417"/>
    <w:rsid w:val="65615F75"/>
    <w:rsid w:val="66797733"/>
    <w:rsid w:val="6690560F"/>
    <w:rsid w:val="66A722E3"/>
    <w:rsid w:val="67264120"/>
    <w:rsid w:val="68813EE5"/>
    <w:rsid w:val="690D2406"/>
    <w:rsid w:val="693C1648"/>
    <w:rsid w:val="69431E27"/>
    <w:rsid w:val="699B20FD"/>
    <w:rsid w:val="69E22247"/>
    <w:rsid w:val="69E731EF"/>
    <w:rsid w:val="6A8005FC"/>
    <w:rsid w:val="6B5646EA"/>
    <w:rsid w:val="6BC70218"/>
    <w:rsid w:val="6F2B7EAB"/>
    <w:rsid w:val="6F6C37F0"/>
    <w:rsid w:val="712C2111"/>
    <w:rsid w:val="72390A24"/>
    <w:rsid w:val="72DF0EF4"/>
    <w:rsid w:val="731E00DF"/>
    <w:rsid w:val="740B551A"/>
    <w:rsid w:val="74575C64"/>
    <w:rsid w:val="74BD1D28"/>
    <w:rsid w:val="75F452ED"/>
    <w:rsid w:val="77422D76"/>
    <w:rsid w:val="78224EBB"/>
    <w:rsid w:val="7BBD6CF5"/>
    <w:rsid w:val="7E0368E4"/>
    <w:rsid w:val="7E0D2A5C"/>
    <w:rsid w:val="7E9E178A"/>
    <w:rsid w:val="7F357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18">
    <w:name w:val="heading 1"/>
    <w:basedOn w:val="1"/>
    <w:next w:val="1"/>
    <w:qFormat/>
    <w:uiPriority w:val="0"/>
    <w:pPr>
      <w:keepNext/>
      <w:keepLines/>
      <w:numPr>
        <w:ilvl w:val="0"/>
        <w:numId w:val="1"/>
      </w:numPr>
      <w:jc w:val="center"/>
      <w:outlineLvl w:val="0"/>
    </w:pPr>
    <w:rPr>
      <w:rFonts w:eastAsia="黑体" w:cs="宋体"/>
      <w:color w:val="000000"/>
      <w:kern w:val="44"/>
      <w:sz w:val="30"/>
      <w:szCs w:val="30"/>
    </w:rPr>
  </w:style>
  <w:style w:type="paragraph" w:styleId="19">
    <w:name w:val="heading 2"/>
    <w:basedOn w:val="1"/>
    <w:next w:val="1"/>
    <w:qFormat/>
    <w:uiPriority w:val="0"/>
    <w:pPr>
      <w:keepNext/>
      <w:numPr>
        <w:ilvl w:val="1"/>
        <w:numId w:val="2"/>
      </w:numPr>
      <w:tabs>
        <w:tab w:val="clear" w:pos="0"/>
      </w:tabs>
      <w:jc w:val="center"/>
      <w:outlineLvl w:val="1"/>
    </w:pPr>
    <w:rPr>
      <w:rFonts w:ascii="Times New Roman" w:hAnsi="Times New Roman" w:eastAsia="宋体" w:cs="Times New Roman"/>
      <w:color w:val="000000"/>
      <w:sz w:val="24"/>
      <w:szCs w:val="24"/>
      <w:lang w:val="en-US" w:eastAsia="zh-CN" w:bidi="ar-SA"/>
    </w:rPr>
  </w:style>
  <w:style w:type="paragraph" w:styleId="10">
    <w:name w:val="heading 3"/>
    <w:basedOn w:val="1"/>
    <w:next w:val="1"/>
    <w:qFormat/>
    <w:uiPriority w:val="0"/>
    <w:pPr>
      <w:keepNext/>
      <w:keepLines/>
      <w:numPr>
        <w:ilvl w:val="2"/>
        <w:numId w:val="2"/>
      </w:numPr>
      <w:tabs>
        <w:tab w:val="clear" w:pos="0"/>
      </w:tabs>
      <w:ind w:firstLine="1440" w:firstLineChars="200"/>
      <w:outlineLvl w:val="2"/>
    </w:pPr>
    <w:rPr>
      <w:b/>
      <w:bCs/>
      <w:color w:val="000000"/>
    </w:rPr>
  </w:style>
  <w:style w:type="paragraph" w:styleId="20">
    <w:name w:val="heading 4"/>
    <w:basedOn w:val="1"/>
    <w:next w:val="1"/>
    <w:qFormat/>
    <w:uiPriority w:val="0"/>
    <w:pPr>
      <w:keepNext/>
      <w:keepLines/>
      <w:numPr>
        <w:ilvl w:val="3"/>
        <w:numId w:val="2"/>
      </w:numPr>
      <w:tabs>
        <w:tab w:val="clear" w:pos="0"/>
      </w:tabs>
      <w:ind w:left="0" w:firstLine="1440" w:firstLineChars="200"/>
      <w:outlineLvl w:val="3"/>
    </w:pPr>
    <w:rPr>
      <w:b/>
      <w:bCs/>
      <w:color w:val="000000"/>
      <w:szCs w:val="28"/>
    </w:rPr>
  </w:style>
  <w:style w:type="paragraph" w:styleId="21">
    <w:name w:val="heading 5"/>
    <w:next w:val="1"/>
    <w:qFormat/>
    <w:uiPriority w:val="0"/>
    <w:pPr>
      <w:keepNext/>
      <w:keepLines/>
      <w:numPr>
        <w:ilvl w:val="4"/>
        <w:numId w:val="2"/>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22">
    <w:name w:val="heading 6"/>
    <w:basedOn w:val="1"/>
    <w:next w:val="1"/>
    <w:qFormat/>
    <w:uiPriority w:val="0"/>
    <w:pPr>
      <w:keepNext/>
      <w:keepLines/>
      <w:numPr>
        <w:ilvl w:val="5"/>
        <w:numId w:val="2"/>
      </w:numPr>
      <w:ind w:firstLine="1440" w:firstLineChars="200"/>
      <w:outlineLvl w:val="5"/>
    </w:pPr>
    <w:rPr>
      <w:szCs w:val="21"/>
    </w:rPr>
  </w:style>
  <w:style w:type="character" w:default="1" w:styleId="48">
    <w:name w:val="Default Paragraph Font"/>
    <w:qFormat/>
    <w:uiPriority w:val="1"/>
  </w:style>
  <w:style w:type="table" w:default="1" w:styleId="46">
    <w:name w:val="Normal Table"/>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Times New Roman" w:cs="宋体"/>
      <w:color w:val="000000"/>
    </w:rPr>
  </w:style>
  <w:style w:type="paragraph" w:customStyle="1" w:styleId="3">
    <w:name w:val="纯文本1"/>
    <w:basedOn w:val="1"/>
    <w:next w:val="1"/>
    <w:qFormat/>
    <w:uiPriority w:val="0"/>
    <w:pPr>
      <w:adjustRightInd w:val="0"/>
    </w:pPr>
    <w:rPr>
      <w:rFonts w:ascii="宋体" w:hAnsi="Courier New"/>
    </w:rPr>
  </w:style>
  <w:style w:type="paragraph" w:customStyle="1" w:styleId="4">
    <w:name w:val="样式35"/>
    <w:basedOn w:val="5"/>
    <w:next w:val="11"/>
    <w:qFormat/>
    <w:uiPriority w:val="0"/>
    <w:pPr>
      <w:tabs>
        <w:tab w:val="left" w:pos="0"/>
        <w:tab w:val="left" w:pos="360"/>
        <w:tab w:val="left" w:pos="540"/>
        <w:tab w:val="left" w:pos="567"/>
      </w:tabs>
      <w:spacing w:line="312" w:lineRule="auto"/>
      <w:ind w:firstLine="567"/>
    </w:pPr>
  </w:style>
  <w:style w:type="paragraph" w:customStyle="1" w:styleId="5">
    <w:name w:val="样式26"/>
    <w:basedOn w:val="6"/>
    <w:qFormat/>
    <w:uiPriority w:val="0"/>
    <w:pPr>
      <w:tabs>
        <w:tab w:val="left" w:pos="0"/>
        <w:tab w:val="left" w:pos="360"/>
        <w:tab w:val="left" w:pos="540"/>
        <w:tab w:val="left" w:pos="567"/>
      </w:tabs>
    </w:pPr>
  </w:style>
  <w:style w:type="paragraph" w:customStyle="1" w:styleId="6">
    <w:name w:val="样式21"/>
    <w:basedOn w:val="7"/>
    <w:qFormat/>
    <w:uiPriority w:val="0"/>
    <w:pPr>
      <w:tabs>
        <w:tab w:val="left" w:pos="360"/>
        <w:tab w:val="left" w:pos="567"/>
      </w:tabs>
      <w:ind w:hanging="992"/>
    </w:pPr>
  </w:style>
  <w:style w:type="paragraph" w:customStyle="1" w:styleId="7">
    <w:name w:val="样式5"/>
    <w:basedOn w:val="8"/>
    <w:qFormat/>
    <w:uiPriority w:val="0"/>
    <w:pPr>
      <w:tabs>
        <w:tab w:val="left" w:pos="360"/>
      </w:tabs>
      <w:ind w:right="-105" w:rightChars="-50"/>
      <w:jc w:val="center"/>
    </w:pPr>
    <w:rPr>
      <w:rFonts w:ascii="宋体"/>
      <w:sz w:val="21"/>
    </w:rPr>
  </w:style>
  <w:style w:type="paragraph" w:customStyle="1" w:styleId="8">
    <w:name w:val="样式12"/>
    <w:basedOn w:val="9"/>
    <w:qFormat/>
    <w:uiPriority w:val="0"/>
    <w:pPr>
      <w:keepNext/>
      <w:keepLines/>
      <w:tabs>
        <w:tab w:val="left" w:pos="360"/>
      </w:tabs>
      <w:spacing w:beforeLines="50" w:afterLines="50"/>
      <w:ind w:left="567" w:hanging="567"/>
      <w:outlineLvl w:val="1"/>
    </w:pPr>
    <w:rPr>
      <w:rFonts w:eastAsia="MS Mincho"/>
      <w:kern w:val="0"/>
      <w:sz w:val="28"/>
      <w:szCs w:val="28"/>
    </w:rPr>
  </w:style>
  <w:style w:type="paragraph" w:customStyle="1" w:styleId="9">
    <w:name w:val="样式 标题 3标题 3 Char标题3H3h33rd level第二层条三级标题ReHead 3 WSA头..."/>
    <w:basedOn w:val="10"/>
    <w:qFormat/>
    <w:uiPriority w:val="0"/>
    <w:pPr>
      <w:ind w:left="4140" w:hanging="720"/>
    </w:pPr>
    <w:rPr>
      <w:rFonts w:eastAsia="黑体"/>
      <w:color w:val="FF0000"/>
    </w:rPr>
  </w:style>
  <w:style w:type="paragraph" w:customStyle="1" w:styleId="11">
    <w:name w:val="font6"/>
    <w:basedOn w:val="1"/>
    <w:next w:val="12"/>
    <w:qFormat/>
    <w:uiPriority w:val="0"/>
    <w:pPr>
      <w:widowControl/>
      <w:spacing w:before="280" w:after="280"/>
    </w:pPr>
    <w:rPr>
      <w:sz w:val="21"/>
    </w:rPr>
  </w:style>
  <w:style w:type="paragraph" w:styleId="12">
    <w:name w:val="toc 2"/>
    <w:basedOn w:val="1"/>
    <w:next w:val="13"/>
    <w:qFormat/>
    <w:uiPriority w:val="0"/>
    <w:pPr>
      <w:ind w:left="420" w:leftChars="200"/>
    </w:pPr>
  </w:style>
  <w:style w:type="paragraph" w:styleId="13">
    <w:name w:val="E-mail Signature"/>
    <w:basedOn w:val="1"/>
    <w:next w:val="14"/>
    <w:qFormat/>
    <w:uiPriority w:val="0"/>
    <w:pPr>
      <w:spacing w:line="460" w:lineRule="exact"/>
      <w:ind w:firstLine="200"/>
    </w:pPr>
  </w:style>
  <w:style w:type="paragraph" w:customStyle="1" w:styleId="14">
    <w:name w:val="文章"/>
    <w:basedOn w:val="15"/>
    <w:next w:val="17"/>
    <w:qFormat/>
    <w:uiPriority w:val="0"/>
    <w:pPr>
      <w:widowControl/>
      <w:ind w:firstLine="480"/>
      <w:jc w:val="center"/>
    </w:pPr>
    <w:rPr>
      <w:sz w:val="26"/>
    </w:rPr>
  </w:style>
  <w:style w:type="paragraph" w:styleId="15">
    <w:name w:val="Body Text Indent"/>
    <w:basedOn w:val="1"/>
    <w:next w:val="16"/>
    <w:qFormat/>
    <w:uiPriority w:val="0"/>
    <w:pPr>
      <w:adjustRightInd w:val="0"/>
      <w:spacing w:after="120"/>
      <w:ind w:left="420" w:leftChars="200"/>
      <w:textAlignment w:val="baseline"/>
    </w:pPr>
    <w:rPr>
      <w:sz w:val="21"/>
      <w:szCs w:val="21"/>
    </w:rPr>
  </w:style>
  <w:style w:type="paragraph" w:styleId="16">
    <w:name w:val="caption"/>
    <w:basedOn w:val="1"/>
    <w:next w:val="1"/>
    <w:link w:val="59"/>
    <w:qFormat/>
    <w:uiPriority w:val="0"/>
    <w:pPr>
      <w:jc w:val="center"/>
    </w:pPr>
    <w:rPr>
      <w:b/>
      <w:bCs/>
      <w:color w:val="000000"/>
      <w:sz w:val="21"/>
      <w:szCs w:val="21"/>
    </w:rPr>
  </w:style>
  <w:style w:type="paragraph" w:styleId="17">
    <w:name w:val="List"/>
    <w:basedOn w:val="1"/>
    <w:next w:val="1"/>
    <w:qFormat/>
    <w:uiPriority w:val="0"/>
    <w:pPr>
      <w:ind w:left="200" w:hanging="200" w:hangingChars="200"/>
      <w:contextualSpacing/>
    </w:pPr>
  </w:style>
  <w:style w:type="paragraph" w:styleId="23">
    <w:name w:val="List 3"/>
    <w:basedOn w:val="1"/>
    <w:next w:val="1"/>
    <w:qFormat/>
    <w:uiPriority w:val="0"/>
    <w:pPr>
      <w:autoSpaceDE w:val="0"/>
      <w:autoSpaceDN w:val="0"/>
      <w:adjustRightInd w:val="0"/>
      <w:spacing w:line="288" w:lineRule="auto"/>
      <w:ind w:left="1260" w:hanging="420"/>
      <w:jc w:val="left"/>
      <w:textAlignment w:val="baseline"/>
    </w:pPr>
    <w:rPr>
      <w:kern w:val="0"/>
      <w:szCs w:val="20"/>
    </w:rPr>
  </w:style>
  <w:style w:type="paragraph" w:styleId="24">
    <w:name w:val="Normal Indent"/>
    <w:basedOn w:val="1"/>
    <w:qFormat/>
    <w:uiPriority w:val="0"/>
    <w:pPr>
      <w:ind w:firstLine="200" w:firstLineChars="200"/>
    </w:pPr>
    <w:rPr>
      <w:sz w:val="21"/>
    </w:rPr>
  </w:style>
  <w:style w:type="paragraph" w:styleId="25">
    <w:name w:val="annotation text"/>
    <w:basedOn w:val="1"/>
    <w:link w:val="85"/>
    <w:qFormat/>
    <w:uiPriority w:val="0"/>
    <w:pPr>
      <w:jc w:val="left"/>
    </w:pPr>
    <w:rPr>
      <w:kern w:val="0"/>
      <w:szCs w:val="20"/>
    </w:rPr>
  </w:style>
  <w:style w:type="paragraph" w:styleId="26">
    <w:name w:val="Body Text"/>
    <w:basedOn w:val="1"/>
    <w:next w:val="27"/>
    <w:qFormat/>
    <w:uiPriority w:val="0"/>
    <w:pPr>
      <w:wordWrap w:val="0"/>
      <w:ind w:firstLine="1440" w:firstLineChars="200"/>
    </w:pPr>
    <w:rPr>
      <w:color w:val="000000"/>
    </w:rPr>
  </w:style>
  <w:style w:type="paragraph" w:styleId="27">
    <w:name w:val="List Bullet 5"/>
    <w:basedOn w:val="1"/>
    <w:qFormat/>
    <w:uiPriority w:val="0"/>
    <w:pPr>
      <w:numPr>
        <w:ilvl w:val="0"/>
        <w:numId w:val="3"/>
      </w:numPr>
    </w:pPr>
  </w:style>
  <w:style w:type="paragraph" w:styleId="28">
    <w:name w:val="List 2"/>
    <w:basedOn w:val="1"/>
    <w:qFormat/>
    <w:uiPriority w:val="0"/>
    <w:rPr>
      <w:rFonts w:ascii="楷体_GB2312" w:hAnsi="宋体" w:eastAsia="楷体_GB2312"/>
      <w:color w:val="000000"/>
      <w:szCs w:val="28"/>
    </w:rPr>
  </w:style>
  <w:style w:type="paragraph" w:styleId="29">
    <w:name w:val="List Bullet 2"/>
    <w:basedOn w:val="1"/>
    <w:next w:val="30"/>
    <w:qFormat/>
    <w:uiPriority w:val="0"/>
    <w:pPr>
      <w:numPr>
        <w:ilvl w:val="0"/>
        <w:numId w:val="4"/>
      </w:numPr>
    </w:pPr>
  </w:style>
  <w:style w:type="paragraph" w:customStyle="1" w:styleId="30">
    <w:name w:val="xl70"/>
    <w:basedOn w:val="1"/>
    <w:next w:val="31"/>
    <w:qFormat/>
    <w:uiPriority w:val="0"/>
    <w:pPr>
      <w:widowControl/>
      <w:spacing w:before="280" w:after="280" w:line="240" w:lineRule="auto"/>
    </w:pPr>
    <w:rPr>
      <w:rFonts w:ascii="宋体"/>
    </w:rPr>
  </w:style>
  <w:style w:type="paragraph" w:customStyle="1" w:styleId="31">
    <w:name w:val="正文缩进1"/>
    <w:basedOn w:val="1"/>
    <w:next w:val="32"/>
    <w:qFormat/>
    <w:uiPriority w:val="0"/>
    <w:pPr>
      <w:spacing w:line="312" w:lineRule="atLeast"/>
      <w:textAlignment w:val="baseline"/>
    </w:pPr>
    <w:rPr>
      <w:kern w:val="0"/>
      <w:sz w:val="28"/>
      <w:szCs w:val="20"/>
    </w:rPr>
  </w:style>
  <w:style w:type="paragraph" w:customStyle="1" w:styleId="32">
    <w:name w:val="td1"/>
    <w:basedOn w:val="1"/>
    <w:next w:val="1"/>
    <w:qFormat/>
    <w:uiPriority w:val="0"/>
    <w:pPr>
      <w:widowControl/>
      <w:spacing w:before="280" w:after="280" w:line="300" w:lineRule="atLeast"/>
      <w:ind w:firstLine="200"/>
    </w:pPr>
    <w:rPr>
      <w:color w:val="000000"/>
      <w:sz w:val="18"/>
    </w:rPr>
  </w:style>
  <w:style w:type="paragraph" w:styleId="33">
    <w:name w:val="Plain Text"/>
    <w:basedOn w:val="1"/>
    <w:qFormat/>
    <w:uiPriority w:val="0"/>
    <w:rPr>
      <w:rFonts w:ascii="宋体" w:hAnsi="Courier New"/>
      <w:sz w:val="20"/>
      <w:szCs w:val="20"/>
    </w:rPr>
  </w:style>
  <w:style w:type="paragraph" w:styleId="34">
    <w:name w:val="Body Text Indent 2"/>
    <w:basedOn w:val="1"/>
    <w:next w:val="1"/>
    <w:qFormat/>
    <w:uiPriority w:val="0"/>
    <w:pPr>
      <w:spacing w:after="120" w:line="480" w:lineRule="auto"/>
      <w:ind w:left="420" w:leftChars="200"/>
    </w:pPr>
  </w:style>
  <w:style w:type="paragraph" w:styleId="35">
    <w:name w:val="Balloon Text"/>
    <w:basedOn w:val="1"/>
    <w:qFormat/>
    <w:uiPriority w:val="0"/>
    <w:rPr>
      <w:kern w:val="0"/>
      <w:sz w:val="18"/>
      <w:szCs w:val="20"/>
    </w:rPr>
  </w:style>
  <w:style w:type="paragraph" w:styleId="36">
    <w:name w:val="footer"/>
    <w:basedOn w:val="1"/>
    <w:qFormat/>
    <w:uiPriority w:val="0"/>
    <w:pPr>
      <w:tabs>
        <w:tab w:val="center" w:pos="4153"/>
        <w:tab w:val="right" w:pos="8306"/>
      </w:tabs>
      <w:snapToGrid w:val="0"/>
      <w:jc w:val="left"/>
    </w:pPr>
    <w:rPr>
      <w:sz w:val="18"/>
    </w:rPr>
  </w:style>
  <w:style w:type="paragraph" w:styleId="3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38">
    <w:name w:val="toc 1"/>
    <w:basedOn w:val="1"/>
    <w:next w:val="1"/>
    <w:qFormat/>
    <w:uiPriority w:val="0"/>
  </w:style>
  <w:style w:type="paragraph" w:styleId="39">
    <w:name w:val="Subtitle"/>
    <w:basedOn w:val="1"/>
    <w:next w:val="1"/>
    <w:qFormat/>
    <w:uiPriority w:val="0"/>
    <w:pPr>
      <w:ind w:firstLine="200" w:firstLineChars="200"/>
      <w:outlineLvl w:val="1"/>
    </w:pPr>
    <w:rPr>
      <w:bCs/>
      <w:kern w:val="28"/>
      <w:szCs w:val="32"/>
    </w:rPr>
  </w:style>
  <w:style w:type="paragraph" w:styleId="40">
    <w:name w:val="Body Text Indent 3"/>
    <w:basedOn w:val="1"/>
    <w:qFormat/>
    <w:uiPriority w:val="99"/>
    <w:pPr>
      <w:snapToGrid w:val="0"/>
      <w:spacing w:line="480" w:lineRule="exact"/>
      <w:ind w:firstLine="535" w:firstLineChars="191"/>
    </w:pPr>
    <w:rPr>
      <w:sz w:val="28"/>
    </w:rPr>
  </w:style>
  <w:style w:type="paragraph" w:styleId="41">
    <w:name w:val="table of figures"/>
    <w:basedOn w:val="1"/>
    <w:next w:val="1"/>
    <w:qFormat/>
    <w:uiPriority w:val="0"/>
    <w:pPr>
      <w:ind w:left="200" w:leftChars="200" w:hanging="200" w:hangingChars="200"/>
    </w:pPr>
  </w:style>
  <w:style w:type="paragraph" w:styleId="42">
    <w:name w:val="Normal (Web)"/>
    <w:basedOn w:val="1"/>
    <w:qFormat/>
    <w:uiPriority w:val="0"/>
    <w:pPr>
      <w:spacing w:before="100" w:beforeAutospacing="1" w:after="100" w:afterAutospacing="1"/>
      <w:jc w:val="left"/>
    </w:pPr>
    <w:rPr>
      <w:kern w:val="0"/>
    </w:rPr>
  </w:style>
  <w:style w:type="paragraph" w:styleId="43">
    <w:name w:val="annotation subject"/>
    <w:basedOn w:val="25"/>
    <w:next w:val="25"/>
    <w:link w:val="86"/>
    <w:qFormat/>
    <w:uiPriority w:val="0"/>
    <w:rPr>
      <w:b/>
      <w:bCs/>
      <w:kern w:val="2"/>
      <w:szCs w:val="24"/>
    </w:rPr>
  </w:style>
  <w:style w:type="paragraph" w:styleId="44">
    <w:name w:val="Body Text First Indent"/>
    <w:basedOn w:val="26"/>
    <w:next w:val="1"/>
    <w:qFormat/>
    <w:uiPriority w:val="0"/>
    <w:pPr>
      <w:spacing w:after="120" w:line="240" w:lineRule="auto"/>
      <w:ind w:firstLine="420" w:firstLineChars="100"/>
    </w:pPr>
    <w:rPr>
      <w:sz w:val="21"/>
    </w:rPr>
  </w:style>
  <w:style w:type="paragraph" w:styleId="45">
    <w:name w:val="Body Text First Indent 2"/>
    <w:basedOn w:val="1"/>
    <w:next w:val="44"/>
    <w:qFormat/>
    <w:uiPriority w:val="0"/>
    <w:pPr>
      <w:widowControl/>
      <w:adjustRightInd/>
      <w:ind w:firstLine="420"/>
      <w:jc w:val="left"/>
      <w:textAlignment w:val="auto"/>
    </w:pPr>
    <w:rPr>
      <w:kern w:val="0"/>
      <w:sz w:val="28"/>
      <w:szCs w:val="20"/>
    </w:rPr>
  </w:style>
  <w:style w:type="table" w:styleId="47">
    <w:name w:val="Table Grid"/>
    <w:basedOn w:val="4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basedOn w:val="48"/>
    <w:qFormat/>
    <w:uiPriority w:val="0"/>
    <w:rPr>
      <w:b/>
    </w:rPr>
  </w:style>
  <w:style w:type="character" w:styleId="50">
    <w:name w:val="Emphasis"/>
    <w:qFormat/>
    <w:uiPriority w:val="20"/>
    <w:rPr>
      <w:i/>
    </w:rPr>
  </w:style>
  <w:style w:type="character" w:styleId="51">
    <w:name w:val="annotation reference"/>
    <w:basedOn w:val="48"/>
    <w:qFormat/>
    <w:uiPriority w:val="0"/>
    <w:rPr>
      <w:sz w:val="21"/>
      <w:szCs w:val="21"/>
    </w:rPr>
  </w:style>
  <w:style w:type="paragraph" w:customStyle="1" w:styleId="52">
    <w:name w:val="正文文字 6"/>
    <w:basedOn w:val="53"/>
    <w:next w:val="1"/>
    <w:qFormat/>
    <w:uiPriority w:val="0"/>
    <w:pPr>
      <w:widowControl w:val="0"/>
      <w:ind w:left="240"/>
      <w:jc w:val="both"/>
    </w:pPr>
    <w:rPr>
      <w:rFonts w:ascii="宋体"/>
      <w:b/>
      <w:bCs/>
      <w:sz w:val="32"/>
      <w:szCs w:val="32"/>
    </w:rPr>
  </w:style>
  <w:style w:type="paragraph" w:customStyle="1" w:styleId="53">
    <w:name w:val="图位置"/>
    <w:next w:val="54"/>
    <w:qFormat/>
    <w:uiPriority w:val="0"/>
    <w:pPr>
      <w:jc w:val="center"/>
    </w:pPr>
    <w:rPr>
      <w:rFonts w:ascii="Times New Roman" w:hAnsi="Times New Roman" w:eastAsia="宋体" w:cs="Times New Roman"/>
      <w:kern w:val="2"/>
      <w:sz w:val="24"/>
      <w:szCs w:val="21"/>
      <w:lang w:val="en-US" w:eastAsia="zh-CN" w:bidi="ar-SA"/>
    </w:rPr>
  </w:style>
  <w:style w:type="paragraph" w:customStyle="1" w:styleId="54">
    <w:name w:val="图题"/>
    <w:basedOn w:val="1"/>
    <w:next w:val="1"/>
    <w:qFormat/>
    <w:uiPriority w:val="0"/>
    <w:pPr>
      <w:jc w:val="center"/>
    </w:pPr>
    <w:rPr>
      <w:rFonts w:ascii="宋体" w:hAnsi="宋体" w:eastAsia="黑体"/>
      <w:b/>
    </w:rPr>
  </w:style>
  <w:style w:type="paragraph" w:customStyle="1" w:styleId="55">
    <w:name w:val="6-正文"/>
    <w:basedOn w:val="1"/>
    <w:link w:val="89"/>
    <w:qFormat/>
    <w:uiPriority w:val="0"/>
    <w:rPr>
      <w:szCs w:val="28"/>
    </w:rPr>
  </w:style>
  <w:style w:type="paragraph" w:customStyle="1" w:styleId="56">
    <w:name w:val="表 内容"/>
    <w:basedOn w:val="1"/>
    <w:qFormat/>
    <w:uiPriority w:val="0"/>
    <w:pPr>
      <w:adjustRightInd w:val="0"/>
      <w:snapToGrid w:val="0"/>
      <w:spacing w:beforeLines="15"/>
      <w:jc w:val="center"/>
    </w:pPr>
    <w:rPr>
      <w:kern w:val="0"/>
      <w:sz w:val="20"/>
      <w:szCs w:val="21"/>
    </w:rPr>
  </w:style>
  <w:style w:type="paragraph" w:customStyle="1" w:styleId="57">
    <w:name w:val="flName"/>
    <w:basedOn w:val="1"/>
    <w:qFormat/>
    <w:uiPriority w:val="0"/>
    <w:pPr>
      <w:autoSpaceDE w:val="0"/>
      <w:autoSpaceDN w:val="0"/>
      <w:spacing w:before="320" w:after="160"/>
      <w:jc w:val="center"/>
    </w:pPr>
    <w:rPr>
      <w:rFonts w:ascii="Arial" w:hAnsi="Arial" w:eastAsia="黑体" w:cs="宋体"/>
      <w:sz w:val="32"/>
      <w:szCs w:val="22"/>
      <w:lang w:val="zh-CN" w:bidi="zh-CN"/>
    </w:rPr>
  </w:style>
  <w:style w:type="paragraph" w:customStyle="1" w:styleId="58">
    <w:name w:val="表格文字"/>
    <w:basedOn w:val="33"/>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character" w:customStyle="1" w:styleId="59">
    <w:name w:val="题注 字符"/>
    <w:link w:val="16"/>
    <w:qFormat/>
    <w:uiPriority w:val="0"/>
    <w:rPr>
      <w:rFonts w:ascii="Times New Roman" w:hAnsi="Times New Roman"/>
      <w:b/>
      <w:bCs/>
      <w:color w:val="000000"/>
      <w:sz w:val="21"/>
      <w:szCs w:val="21"/>
    </w:rPr>
  </w:style>
  <w:style w:type="paragraph" w:customStyle="1" w:styleId="60">
    <w:name w:val="括号标题"/>
    <w:basedOn w:val="3"/>
    <w:next w:val="52"/>
    <w:qFormat/>
    <w:uiPriority w:val="0"/>
    <w:pPr>
      <w:autoSpaceDE w:val="0"/>
      <w:autoSpaceDN w:val="0"/>
    </w:pPr>
    <w:rPr>
      <w:rFonts w:hAnsi="宋体"/>
      <w:color w:val="000000"/>
    </w:rPr>
  </w:style>
  <w:style w:type="paragraph" w:customStyle="1" w:styleId="61">
    <w:name w:val="J-表格内容（5号+居中）"/>
    <w:basedOn w:val="1"/>
    <w:qFormat/>
    <w:uiPriority w:val="0"/>
    <w:pPr>
      <w:spacing w:line="240" w:lineRule="auto"/>
      <w:jc w:val="center"/>
    </w:pPr>
    <w:rPr>
      <w:sz w:val="21"/>
      <w:szCs w:val="21"/>
    </w:rPr>
  </w:style>
  <w:style w:type="paragraph" w:customStyle="1" w:styleId="62">
    <w:name w:val="表内字"/>
    <w:basedOn w:val="63"/>
    <w:qFormat/>
    <w:uiPriority w:val="0"/>
    <w:pPr>
      <w:autoSpaceDE w:val="0"/>
      <w:autoSpaceDN w:val="0"/>
      <w:spacing w:line="320" w:lineRule="exact"/>
    </w:pPr>
    <w:rPr>
      <w:rFonts w:hAnsi="宋体"/>
      <w:kern w:val="2"/>
      <w:sz w:val="21"/>
      <w:szCs w:val="21"/>
    </w:rPr>
  </w:style>
  <w:style w:type="paragraph" w:customStyle="1" w:styleId="63">
    <w:name w:val="表格"/>
    <w:basedOn w:val="24"/>
    <w:qFormat/>
    <w:uiPriority w:val="0"/>
    <w:pPr>
      <w:adjustRightInd w:val="0"/>
      <w:snapToGrid w:val="0"/>
      <w:spacing w:before="31" w:beforeLines="10" w:after="31" w:afterLines="10" w:line="259" w:lineRule="auto"/>
      <w:jc w:val="center"/>
    </w:pPr>
    <w:rPr>
      <w:rFonts w:ascii="宋体"/>
      <w:kern w:val="0"/>
      <w:szCs w:val="20"/>
    </w:rPr>
  </w:style>
  <w:style w:type="paragraph" w:customStyle="1" w:styleId="64">
    <w:name w:val="表内字1"/>
    <w:basedOn w:val="1"/>
    <w:qFormat/>
    <w:uiPriority w:val="0"/>
    <w:pPr>
      <w:adjustRightInd w:val="0"/>
      <w:snapToGrid w:val="0"/>
      <w:spacing w:line="300" w:lineRule="exact"/>
      <w:jc w:val="center"/>
    </w:pPr>
    <w:rPr>
      <w:rFonts w:ascii="Calibri" w:hAnsi="Calibri"/>
      <w:color w:val="000000"/>
      <w:sz w:val="22"/>
      <w:szCs w:val="21"/>
    </w:rPr>
  </w:style>
  <w:style w:type="paragraph" w:customStyle="1" w:styleId="65">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66">
    <w:name w:val="无间隔1"/>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67">
    <w:name w:val="font61"/>
    <w:basedOn w:val="48"/>
    <w:qFormat/>
    <w:uiPriority w:val="0"/>
    <w:rPr>
      <w:rFonts w:hint="default" w:ascii="Times New Roman" w:hAnsi="Times New Roman" w:cs="Times New Roman"/>
      <w:b/>
      <w:color w:val="000000"/>
      <w:sz w:val="18"/>
      <w:szCs w:val="18"/>
      <w:u w:val="none"/>
    </w:rPr>
  </w:style>
  <w:style w:type="character" w:customStyle="1" w:styleId="68">
    <w:name w:val="font81"/>
    <w:basedOn w:val="48"/>
    <w:qFormat/>
    <w:uiPriority w:val="0"/>
    <w:rPr>
      <w:rFonts w:hint="default" w:ascii="Times New Roman" w:hAnsi="Times New Roman" w:cs="Times New Roman"/>
      <w:b/>
      <w:color w:val="000000"/>
      <w:sz w:val="18"/>
      <w:szCs w:val="18"/>
      <w:u w:val="none"/>
    </w:rPr>
  </w:style>
  <w:style w:type="character" w:customStyle="1" w:styleId="69">
    <w:name w:val="font51"/>
    <w:basedOn w:val="48"/>
    <w:qFormat/>
    <w:uiPriority w:val="0"/>
    <w:rPr>
      <w:rFonts w:hint="eastAsia" w:ascii="宋体" w:hAnsi="宋体" w:eastAsia="宋体" w:cs="宋体"/>
      <w:b/>
      <w:color w:val="000000"/>
      <w:sz w:val="18"/>
      <w:szCs w:val="18"/>
      <w:u w:val="none"/>
    </w:rPr>
  </w:style>
  <w:style w:type="character" w:customStyle="1" w:styleId="70">
    <w:name w:val="font91"/>
    <w:basedOn w:val="48"/>
    <w:qFormat/>
    <w:uiPriority w:val="0"/>
    <w:rPr>
      <w:rFonts w:ascii="Calibri" w:hAnsi="Calibri" w:cs="Calibri"/>
      <w:color w:val="auto"/>
      <w:sz w:val="21"/>
      <w:szCs w:val="21"/>
      <w:u w:val="none"/>
    </w:rPr>
  </w:style>
  <w:style w:type="character" w:customStyle="1" w:styleId="71">
    <w:name w:val="font111"/>
    <w:basedOn w:val="48"/>
    <w:qFormat/>
    <w:uiPriority w:val="0"/>
    <w:rPr>
      <w:rFonts w:hint="default" w:ascii="Times New Roman" w:hAnsi="Times New Roman" w:cs="Times New Roman"/>
      <w:b/>
      <w:color w:val="000000"/>
      <w:sz w:val="18"/>
      <w:szCs w:val="18"/>
      <w:u w:val="none"/>
    </w:rPr>
  </w:style>
  <w:style w:type="character" w:customStyle="1" w:styleId="72">
    <w:name w:val="font101"/>
    <w:basedOn w:val="48"/>
    <w:qFormat/>
    <w:uiPriority w:val="0"/>
    <w:rPr>
      <w:rFonts w:hint="eastAsia" w:ascii="宋体" w:hAnsi="宋体" w:eastAsia="宋体" w:cs="宋体"/>
      <w:b/>
      <w:color w:val="000000"/>
      <w:sz w:val="18"/>
      <w:szCs w:val="18"/>
      <w:u w:val="none"/>
    </w:rPr>
  </w:style>
  <w:style w:type="paragraph" w:customStyle="1" w:styleId="73">
    <w:name w:val="附图附件"/>
    <w:basedOn w:val="1"/>
    <w:qFormat/>
    <w:uiPriority w:val="0"/>
    <w:pPr>
      <w:spacing w:line="240" w:lineRule="auto"/>
      <w:jc w:val="center"/>
      <w:outlineLvl w:val="0"/>
    </w:pPr>
  </w:style>
  <w:style w:type="paragraph" w:customStyle="1" w:styleId="74">
    <w:name w:val="J-表格标题+图片标题（5号+居中）"/>
    <w:basedOn w:val="1"/>
    <w:qFormat/>
    <w:uiPriority w:val="0"/>
    <w:pPr>
      <w:spacing w:line="240" w:lineRule="auto"/>
      <w:jc w:val="center"/>
    </w:pPr>
    <w:rPr>
      <w:b/>
      <w:sz w:val="21"/>
      <w:szCs w:val="21"/>
    </w:rPr>
  </w:style>
  <w:style w:type="paragraph" w:customStyle="1" w:styleId="75">
    <w:name w:val="报告表小标题"/>
    <w:basedOn w:val="1"/>
    <w:qFormat/>
    <w:uiPriority w:val="0"/>
    <w:pPr>
      <w:spacing w:before="100" w:beforeAutospacing="1"/>
    </w:pPr>
    <w:rPr>
      <w:b/>
    </w:rPr>
  </w:style>
  <w:style w:type="character" w:customStyle="1" w:styleId="76">
    <w:name w:val="font21"/>
    <w:basedOn w:val="48"/>
    <w:qFormat/>
    <w:uiPriority w:val="0"/>
    <w:rPr>
      <w:rFonts w:hint="eastAsia" w:ascii="宋体" w:hAnsi="宋体" w:eastAsia="宋体" w:cs="宋体"/>
      <w:b/>
      <w:bCs/>
      <w:color w:val="000000"/>
      <w:sz w:val="21"/>
      <w:szCs w:val="21"/>
      <w:u w:val="none"/>
    </w:rPr>
  </w:style>
  <w:style w:type="character" w:customStyle="1" w:styleId="77">
    <w:name w:val="font11"/>
    <w:basedOn w:val="48"/>
    <w:qFormat/>
    <w:uiPriority w:val="0"/>
    <w:rPr>
      <w:rFonts w:hint="eastAsia" w:ascii="宋体" w:hAnsi="宋体" w:eastAsia="宋体" w:cs="宋体"/>
      <w:color w:val="000000"/>
      <w:sz w:val="21"/>
      <w:szCs w:val="21"/>
      <w:u w:val="none"/>
    </w:rPr>
  </w:style>
  <w:style w:type="character" w:customStyle="1" w:styleId="78">
    <w:name w:val="font41"/>
    <w:basedOn w:val="48"/>
    <w:qFormat/>
    <w:uiPriority w:val="0"/>
    <w:rPr>
      <w:rFonts w:hint="eastAsia" w:ascii="宋体" w:hAnsi="宋体" w:eastAsia="宋体" w:cs="宋体"/>
      <w:color w:val="000000"/>
      <w:sz w:val="21"/>
      <w:szCs w:val="21"/>
      <w:u w:val="none"/>
    </w:rPr>
  </w:style>
  <w:style w:type="paragraph" w:customStyle="1" w:styleId="79">
    <w:name w:val="样式 方正仿宋_GBK 三号 行距: 固定值 28 磅"/>
    <w:basedOn w:val="1"/>
    <w:qFormat/>
    <w:uiPriority w:val="0"/>
    <w:pPr>
      <w:ind w:firstLine="200" w:firstLineChars="200"/>
      <w:jc w:val="left"/>
    </w:pPr>
    <w:rPr>
      <w:rFonts w:ascii="方正仿宋_GBK" w:hAnsi="方正仿宋_GBK" w:cs="宋体"/>
      <w:sz w:val="28"/>
      <w:szCs w:val="20"/>
    </w:rPr>
  </w:style>
  <w:style w:type="paragraph" w:styleId="80">
    <w:name w:val="List Paragraph"/>
    <w:basedOn w:val="1"/>
    <w:qFormat/>
    <w:uiPriority w:val="99"/>
    <w:pPr>
      <w:ind w:firstLine="420" w:firstLineChars="200"/>
    </w:pPr>
  </w:style>
  <w:style w:type="character" w:customStyle="1" w:styleId="81">
    <w:name w:val="fontstyle01"/>
    <w:basedOn w:val="48"/>
    <w:qFormat/>
    <w:uiPriority w:val="0"/>
    <w:rPr>
      <w:rFonts w:hint="eastAsia" w:ascii="宋体" w:hAnsi="宋体" w:eastAsia="宋体"/>
      <w:color w:val="000000"/>
      <w:sz w:val="24"/>
      <w:szCs w:val="24"/>
    </w:rPr>
  </w:style>
  <w:style w:type="paragraph" w:customStyle="1" w:styleId="82">
    <w:name w:val="HJ-正文"/>
    <w:basedOn w:val="1"/>
    <w:qFormat/>
    <w:uiPriority w:val="0"/>
    <w:pPr>
      <w:ind w:firstLine="480" w:firstLineChars="200"/>
    </w:p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5">
    <w:name w:val="批注文字 字符"/>
    <w:basedOn w:val="48"/>
    <w:link w:val="25"/>
    <w:qFormat/>
    <w:uiPriority w:val="0"/>
    <w:rPr>
      <w:sz w:val="24"/>
    </w:rPr>
  </w:style>
  <w:style w:type="character" w:customStyle="1" w:styleId="86">
    <w:name w:val="批注主题 字符"/>
    <w:basedOn w:val="85"/>
    <w:link w:val="43"/>
    <w:qFormat/>
    <w:uiPriority w:val="0"/>
    <w:rPr>
      <w:b/>
      <w:bCs/>
      <w:kern w:val="2"/>
      <w:sz w:val="24"/>
      <w:szCs w:val="24"/>
    </w:rPr>
  </w:style>
  <w:style w:type="character" w:customStyle="1" w:styleId="87">
    <w:name w:val="NormalCharacter"/>
    <w:qFormat/>
    <w:uiPriority w:val="0"/>
    <w:rPr>
      <w:rFonts w:ascii="Times New Roman" w:hAnsi="Times New Roman" w:eastAsia="宋体" w:cs="Times New Roman"/>
      <w:kern w:val="2"/>
      <w:sz w:val="24"/>
      <w:szCs w:val="24"/>
      <w:lang w:val="en-US" w:eastAsia="zh-CN" w:bidi="ar-SA"/>
    </w:rPr>
  </w:style>
  <w:style w:type="character" w:customStyle="1" w:styleId="88">
    <w:name w:val="font31"/>
    <w:basedOn w:val="48"/>
    <w:qFormat/>
    <w:uiPriority w:val="0"/>
    <w:rPr>
      <w:rFonts w:hint="default" w:ascii="Times New Roman" w:hAnsi="Times New Roman" w:cs="Times New Roman"/>
      <w:color w:val="000000"/>
      <w:sz w:val="21"/>
      <w:szCs w:val="21"/>
      <w:u w:val="none"/>
    </w:rPr>
  </w:style>
  <w:style w:type="character" w:customStyle="1" w:styleId="89">
    <w:name w:val="6-正文 Char"/>
    <w:link w:val="55"/>
    <w:qFormat/>
    <w:uiPriority w:val="0"/>
    <w:rPr>
      <w:szCs w:val="28"/>
    </w:rPr>
  </w:style>
  <w:style w:type="table" w:customStyle="1" w:styleId="90">
    <w:name w:val="报告书标准表格"/>
    <w:basedOn w:val="46"/>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1">
    <w:name w:val="报告正文"/>
    <w:basedOn w:val="1"/>
    <w:qFormat/>
    <w:uiPriority w:val="0"/>
    <w:pPr>
      <w:ind w:firstLine="480" w:firstLineChars="200"/>
    </w:pPr>
  </w:style>
  <w:style w:type="paragraph" w:customStyle="1" w:styleId="92">
    <w:name w:val="表格内容"/>
    <w:basedOn w:val="93"/>
    <w:qFormat/>
    <w:uiPriority w:val="0"/>
    <w:rPr>
      <w:sz w:val="21"/>
      <w:szCs w:val="21"/>
    </w:rPr>
  </w:style>
  <w:style w:type="paragraph" w:customStyle="1" w:styleId="93">
    <w:name w:val="表格标题"/>
    <w:basedOn w:val="33"/>
    <w:qFormat/>
    <w:uiPriority w:val="0"/>
    <w:pPr>
      <w:jc w:val="center"/>
    </w:pPr>
    <w:rPr>
      <w:rFonts w:ascii="Times New Roman" w:hAnsi="Times New Roman"/>
      <w:b/>
    </w:rPr>
  </w:style>
  <w:style w:type="character" w:customStyle="1" w:styleId="94">
    <w:name w:val="16"/>
    <w:basedOn w:val="48"/>
    <w:qFormat/>
    <w:uiPriority w:val="0"/>
    <w:rPr>
      <w:rFonts w:hint="default" w:ascii="Times New Roman" w:hAnsi="Times New Roman" w:cs="Times New Roman"/>
      <w:color w:val="000000"/>
      <w:sz w:val="21"/>
      <w:szCs w:val="21"/>
    </w:rPr>
  </w:style>
  <w:style w:type="character" w:customStyle="1" w:styleId="95">
    <w:name w:val="17"/>
    <w:basedOn w:val="48"/>
    <w:qFormat/>
    <w:uiPriority w:val="0"/>
    <w:rPr>
      <w:rFonts w:hint="default" w:ascii="Times New Roman" w:hAnsi="Times New Roman" w:cs="Times New Roman"/>
      <w:color w:val="000000"/>
      <w:sz w:val="21"/>
      <w:szCs w:val="21"/>
      <w:vertAlign w:val="superscript"/>
    </w:rPr>
  </w:style>
  <w:style w:type="character" w:customStyle="1" w:styleId="96">
    <w:name w:val="15"/>
    <w:basedOn w:val="48"/>
    <w:qFormat/>
    <w:uiPriority w:val="0"/>
    <w:rPr>
      <w:rFonts w:hint="eastAsia" w:ascii="宋体" w:hAnsi="宋体" w:eastAsia="宋体"/>
      <w:color w:val="000000"/>
      <w:sz w:val="21"/>
      <w:szCs w:val="21"/>
    </w:rPr>
  </w:style>
  <w:style w:type="paragraph" w:customStyle="1" w:styleId="97">
    <w:name w:val="List Paragraph1"/>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98">
    <w:name w:val="图表标题"/>
    <w:basedOn w:val="1"/>
    <w:next w:val="1"/>
    <w:qFormat/>
    <w:uiPriority w:val="0"/>
    <w:pPr>
      <w:jc w:val="center"/>
    </w:pPr>
    <w:rPr>
      <w:b/>
      <w:sz w:val="21"/>
    </w:rPr>
  </w:style>
  <w:style w:type="paragraph" w:customStyle="1" w:styleId="99">
    <w:name w:val="表头"/>
    <w:basedOn w:val="100"/>
    <w:next w:val="1"/>
    <w:qFormat/>
    <w:uiPriority w:val="99"/>
    <w:pPr>
      <w:adjustRightInd w:val="0"/>
      <w:spacing w:beforeLines="50"/>
      <w:ind w:firstLine="200"/>
    </w:pPr>
    <w:rPr>
      <w:szCs w:val="28"/>
    </w:rPr>
  </w:style>
  <w:style w:type="paragraph" w:customStyle="1" w:styleId="100">
    <w:name w:val="表标题"/>
    <w:basedOn w:val="26"/>
    <w:next w:val="26"/>
    <w:qFormat/>
    <w:uiPriority w:val="0"/>
    <w:pPr>
      <w:spacing w:line="500" w:lineRule="exact"/>
      <w:ind w:firstLine="482" w:firstLineChars="200"/>
      <w:jc w:val="center"/>
    </w:pPr>
    <w:rPr>
      <w:rFonts w:ascii="仿宋_GB2312" w:eastAsia="仿宋_GB2312"/>
      <w:b/>
      <w:sz w:val="24"/>
    </w:rPr>
  </w:style>
  <w:style w:type="paragraph" w:customStyle="1" w:styleId="101">
    <w:name w:val="列表段落1"/>
    <w:basedOn w:val="1"/>
    <w:qFormat/>
    <w:uiPriority w:val="99"/>
    <w:pPr>
      <w:spacing w:line="360" w:lineRule="auto"/>
      <w:ind w:firstLine="420" w:firstLineChars="200"/>
    </w:pPr>
    <w:rPr>
      <w:sz w:val="24"/>
      <w:szCs w:val="22"/>
    </w:rPr>
  </w:style>
  <w:style w:type="paragraph" w:customStyle="1" w:styleId="102">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03">
    <w:name w:val="（一）"/>
    <w:basedOn w:val="1"/>
    <w:qFormat/>
    <w:uiPriority w:val="0"/>
    <w:pPr>
      <w:numPr>
        <w:ilvl w:val="0"/>
        <w:numId w:val="5"/>
      </w:numPr>
      <w:spacing w:line="400" w:lineRule="exact"/>
    </w:pPr>
    <w:rPr>
      <w:b/>
      <w:sz w:val="24"/>
    </w:rPr>
  </w:style>
  <w:style w:type="paragraph" w:customStyle="1" w:styleId="104">
    <w:name w:val="正文1"/>
    <w:basedOn w:val="1"/>
    <w:qFormat/>
    <w:uiPriority w:val="0"/>
    <w:rPr>
      <w:sz w:val="24"/>
    </w:rPr>
  </w:style>
  <w:style w:type="paragraph" w:customStyle="1" w:styleId="105">
    <w:name w:val="表格 32"/>
    <w:basedOn w:val="1"/>
    <w:qFormat/>
    <w:uiPriority w:val="0"/>
    <w:pPr>
      <w:autoSpaceDE w:val="0"/>
      <w:autoSpaceDN w:val="0"/>
      <w:adjustRightInd w:val="0"/>
      <w:spacing w:line="240" w:lineRule="atLeast"/>
      <w:jc w:val="center"/>
      <w:textAlignment w:val="baseline"/>
    </w:pPr>
    <w:rPr>
      <w:spacing w:val="0"/>
      <w:sz w:val="24"/>
      <w:szCs w:val="24"/>
    </w:rPr>
  </w:style>
  <w:style w:type="paragraph" w:customStyle="1" w:styleId="106">
    <w:name w:val="表格文字！！！！"/>
    <w:basedOn w:val="1"/>
    <w:qFormat/>
    <w:uiPriority w:val="0"/>
    <w:pPr>
      <w:jc w:val="center"/>
    </w:pPr>
    <w:rPr>
      <w:spacing w:val="0"/>
      <w:kern w:val="2"/>
      <w:sz w:val="21"/>
      <w:szCs w:val="24"/>
    </w:rPr>
  </w:style>
  <w:style w:type="paragraph" w:customStyle="1" w:styleId="107">
    <w:name w:val="陆晶 表格式"/>
    <w:basedOn w:val="1"/>
    <w:qFormat/>
    <w:uiPriority w:val="0"/>
    <w:pPr>
      <w:jc w:val="center"/>
    </w:pPr>
    <w:rPr>
      <w:spacing w:val="0"/>
      <w:kern w:val="2"/>
      <w:sz w:val="21"/>
    </w:rPr>
  </w:style>
  <w:style w:type="paragraph" w:customStyle="1" w:styleId="108">
    <w:name w:val="表格2"/>
    <w:basedOn w:val="1"/>
    <w:next w:val="1"/>
    <w:qFormat/>
    <w:uiPriority w:val="0"/>
    <w:pPr>
      <w:topLinePunct/>
      <w:autoSpaceDE w:val="0"/>
      <w:autoSpaceDN w:val="0"/>
      <w:adjustRightInd w:val="0"/>
      <w:spacing w:line="288" w:lineRule="auto"/>
      <w:jc w:val="center"/>
    </w:pPr>
    <w:rPr>
      <w:rFonts w:ascii="宋体"/>
      <w:kern w:val="0"/>
      <w:position w:val="-28"/>
      <w:sz w:val="18"/>
      <w:szCs w:val="20"/>
    </w:rPr>
  </w:style>
  <w:style w:type="paragraph" w:customStyle="1" w:styleId="109">
    <w:name w:val="AP外表文字居中（图）"/>
    <w:basedOn w:val="110"/>
    <w:qFormat/>
    <w:uiPriority w:val="0"/>
    <w:pPr>
      <w:spacing w:line="240" w:lineRule="auto"/>
      <w:ind w:firstLine="0" w:firstLineChars="0"/>
      <w:jc w:val="center"/>
    </w:pPr>
    <w:rPr>
      <w:kern w:val="2"/>
    </w:rPr>
  </w:style>
  <w:style w:type="paragraph" w:customStyle="1" w:styleId="110">
    <w:name w:val="AP外表文字段落"/>
    <w:basedOn w:val="111"/>
    <w:qFormat/>
    <w:uiPriority w:val="0"/>
    <w:pPr>
      <w:widowControl w:val="0"/>
      <w:spacing w:line="360" w:lineRule="auto"/>
    </w:pPr>
    <w:rPr>
      <w:rFonts w:hint="eastAsia"/>
      <w:kern w:val="44"/>
      <w:sz w:val="24"/>
    </w:rPr>
  </w:style>
  <w:style w:type="paragraph" w:customStyle="1" w:styleId="111">
    <w:name w:val="BP内表文字段落"/>
    <w:next w:val="1"/>
    <w:qFormat/>
    <w:uiPriority w:val="0"/>
    <w:pPr>
      <w:kinsoku w:val="0"/>
      <w:wordWrap w:val="0"/>
      <w:topLinePun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12">
    <w:name w:val="Table Paragraph"/>
    <w:basedOn w:val="1"/>
    <w:qFormat/>
    <w:uiPriority w:val="1"/>
    <w:rPr>
      <w:rFonts w:ascii="宋体" w:hAnsi="宋体" w:cs="宋体"/>
      <w:lang w:val="zh-CN" w:bidi="zh-CN"/>
    </w:rPr>
  </w:style>
  <w:style w:type="paragraph" w:customStyle="1" w:styleId="113">
    <w:name w:val="0-正文"/>
    <w:basedOn w:val="1"/>
    <w:qFormat/>
    <w:uiPriority w:val="0"/>
    <w:pPr>
      <w:ind w:firstLine="200" w:firstLineChars="200"/>
    </w:pPr>
    <w:rPr>
      <w:spacing w:val="4"/>
      <w:szCs w:val="28"/>
      <w:lang w:val="zh-CN"/>
    </w:rPr>
  </w:style>
  <w:style w:type="paragraph" w:customStyle="1" w:styleId="114">
    <w:name w:val="0表格文字 五号 常规"/>
    <w:basedOn w:val="1"/>
    <w:qFormat/>
    <w:uiPriority w:val="0"/>
    <w:pPr>
      <w:autoSpaceDE w:val="0"/>
      <w:autoSpaceDN w:val="0"/>
      <w:jc w:val="center"/>
    </w:pPr>
    <w:rPr>
      <w:sz w:val="21"/>
      <w:szCs w:val="20"/>
    </w:rPr>
  </w:style>
  <w:style w:type="paragraph" w:customStyle="1" w:styleId="115">
    <w:name w:val="【正文】"/>
    <w:basedOn w:val="1"/>
    <w:qFormat/>
    <w:uiPriority w:val="0"/>
    <w:pPr>
      <w:ind w:firstLine="200" w:firstLineChars="200"/>
    </w:pPr>
    <w:rPr>
      <w:rFonts w:cs="宋体"/>
      <w:szCs w:val="20"/>
    </w:rPr>
  </w:style>
  <w:style w:type="paragraph" w:customStyle="1" w:styleId="116">
    <w:name w:val="表格 标题"/>
    <w:qFormat/>
    <w:uiPriority w:val="0"/>
    <w:pPr>
      <w:spacing w:before="60"/>
      <w:jc w:val="center"/>
    </w:pPr>
    <w:rPr>
      <w:rFonts w:ascii="Times New Roman" w:hAnsi="Times New Roman" w:eastAsia="宋体" w:cs="Times New Roman"/>
      <w:b/>
      <w:snapToGrid w:val="0"/>
      <w:color w:val="000000"/>
      <w:sz w:val="21"/>
      <w:szCs w:val="22"/>
      <w:lang w:val="zh-CN" w:eastAsia="zh-CN" w:bidi="ar-SA"/>
    </w:rPr>
  </w:style>
  <w:style w:type="paragraph" w:customStyle="1" w:styleId="117">
    <w:name w:val="LL表格内容"/>
    <w:basedOn w:val="1"/>
    <w:qFormat/>
    <w:uiPriority w:val="0"/>
    <w:pPr>
      <w:wordWrap w:val="0"/>
      <w:overflowPunct w:val="0"/>
      <w:topLinePunct/>
      <w:autoSpaceDE w:val="0"/>
      <w:autoSpaceDN w:val="0"/>
      <w:spacing w:line="240" w:lineRule="auto"/>
      <w:jc w:val="center"/>
    </w:pPr>
    <w:rPr>
      <w:rFonts w:cs="宋体"/>
      <w:color w:val="auto"/>
      <w:kern w:val="0"/>
      <w:sz w:val="21"/>
      <w:szCs w:val="22"/>
      <w:lang w:val="zh-CN" w:bidi="zh-CN"/>
    </w:rPr>
  </w:style>
  <w:style w:type="paragraph" w:customStyle="1" w:styleId="118">
    <w:name w:val="国寰正文"/>
    <w:basedOn w:val="1"/>
    <w:qFormat/>
    <w:uiPriority w:val="0"/>
    <w:pPr>
      <w:adjustRightInd w:val="0"/>
      <w:snapToGrid w:val="0"/>
      <w:spacing w:line="360" w:lineRule="auto"/>
      <w:ind w:firstLine="200" w:firstLineChars="200"/>
    </w:pPr>
    <w:rPr>
      <w:spacing w:val="0"/>
      <w:kern w:val="2"/>
      <w:sz w:val="24"/>
      <w:szCs w:val="24"/>
    </w:rPr>
  </w:style>
  <w:style w:type="paragraph" w:customStyle="1" w:styleId="119">
    <w:name w:val="报告表"/>
    <w:basedOn w:val="1"/>
    <w:qFormat/>
    <w:uiPriority w:val="2"/>
    <w:pPr>
      <w:jc w:val="center"/>
      <w:outlineLvl w:val="0"/>
    </w:pPr>
    <w:rPr>
      <w:rFonts w:ascii="方正小标宋_GBK" w:eastAsia="方正小标宋_GBK"/>
      <w:bCs/>
      <w:sz w:val="72"/>
      <w:szCs w:val="72"/>
    </w:rPr>
  </w:style>
  <w:style w:type="paragraph" w:customStyle="1" w:styleId="120">
    <w:name w:val="Table Text"/>
    <w:basedOn w:val="1"/>
    <w:qFormat/>
    <w:uiPriority w:val="0"/>
    <w:rPr>
      <w:rFonts w:ascii="宋体" w:hAnsi="宋体" w:cs="宋体"/>
      <w:sz w:val="16"/>
      <w:szCs w:val="16"/>
      <w:lang w:eastAsia="en-US"/>
    </w:rPr>
  </w:style>
  <w:style w:type="paragraph" w:customStyle="1" w:styleId="121">
    <w:name w:val="[正文格式]"/>
    <w:qFormat/>
    <w:uiPriority w:val="0"/>
    <w:pPr>
      <w:spacing w:line="440" w:lineRule="exact"/>
      <w:ind w:firstLine="500" w:firstLineChars="200"/>
    </w:pPr>
    <w:rPr>
      <w:rFonts w:ascii="宋体" w:hAnsi="宋体" w:eastAsia="宋体" w:cs="宋体"/>
      <w:sz w:val="21"/>
      <w:lang w:val="en-US" w:eastAsia="zh-CN" w:bidi="ar-SA"/>
    </w:rPr>
  </w:style>
  <w:style w:type="paragraph" w:customStyle="1" w:styleId="122">
    <w:name w:val="报告表表格内容"/>
    <w:basedOn w:val="1"/>
    <w:qFormat/>
    <w:uiPriority w:val="0"/>
    <w:pPr>
      <w:widowControl/>
      <w:spacing w:line="240" w:lineRule="auto"/>
      <w:jc w:val="left"/>
    </w:pPr>
    <w:rPr>
      <w:rFonts w:hint="eastAsia" w:ascii="Times New Roman" w:hAnsi="Times New Roman" w:eastAsia="宋体" w:cs="宋体"/>
      <w:color w:val="000000"/>
      <w:kern w:val="0"/>
      <w:szCs w:val="21"/>
    </w:rPr>
  </w:style>
  <w:style w:type="character" w:customStyle="1" w:styleId="123">
    <w:name w:val="font01"/>
    <w:basedOn w:val="48"/>
    <w:qFormat/>
    <w:uiPriority w:val="0"/>
    <w:rPr>
      <w:rFonts w:hint="eastAsia" w:ascii="宋体" w:hAnsi="宋体" w:eastAsia="宋体" w:cs="宋体"/>
      <w:color w:val="000000"/>
      <w:sz w:val="22"/>
      <w:szCs w:val="22"/>
      <w:u w:val="none"/>
    </w:rPr>
  </w:style>
  <w:style w:type="paragraph" w:customStyle="1" w:styleId="124">
    <w:name w:val="报告表正文"/>
    <w:basedOn w:val="1"/>
    <w:qFormat/>
    <w:uiPriority w:val="0"/>
    <w:pPr>
      <w:spacing w:line="360" w:lineRule="auto"/>
      <w:ind w:firstLine="720" w:firstLineChars="200"/>
    </w:pPr>
    <w:rPr>
      <w:rFonts w:hint="eastAsia" w:ascii="Times New Roman" w:hAnsi="Times New Roman" w:eastAsia="宋体" w:cs="宋体"/>
      <w:bCs/>
      <w:szCs w:val="21"/>
    </w:rPr>
  </w:style>
  <w:style w:type="paragraph" w:customStyle="1" w:styleId="12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126">
    <w:name w:val="报告表表格标题"/>
    <w:basedOn w:val="1"/>
    <w:qFormat/>
    <w:uiPriority w:val="0"/>
    <w:pPr>
      <w:spacing w:before="50" w:beforeLines="50" w:after="50" w:afterLines="50" w:line="240" w:lineRule="auto"/>
      <w:jc w:val="center"/>
    </w:pPr>
    <w:rPr>
      <w:rFonts w:ascii="Times New Roman" w:hAnsi="Times New Roman" w:eastAsia="宋体" w:cs="宋体"/>
      <w:b/>
      <w:sz w:val="21"/>
      <w:szCs w:val="20"/>
      <w:lang w:eastAsia="en-US"/>
    </w:rPr>
  </w:style>
  <w:style w:type="table" w:customStyle="1" w:styleId="127">
    <w:name w:val="Table Normal"/>
    <w:qFormat/>
    <w:uiPriority w:val="0"/>
    <w:tblPr>
      <w:tblCellMar>
        <w:top w:w="0" w:type="dxa"/>
        <w:left w:w="0" w:type="dxa"/>
        <w:bottom w:w="0" w:type="dxa"/>
        <w:right w:w="0" w:type="dxa"/>
      </w:tblCellMar>
    </w:tblPr>
  </w:style>
  <w:style w:type="paragraph" w:customStyle="1" w:styleId="128">
    <w:name w:val="正文~"/>
    <w:basedOn w:val="1"/>
    <w:qFormat/>
    <w:uiPriority w:val="0"/>
    <w:pPr>
      <w:spacing w:line="360" w:lineRule="auto"/>
      <w:ind w:firstLine="177" w:firstLineChars="177"/>
    </w:pPr>
  </w:style>
  <w:style w:type="paragraph" w:customStyle="1" w:styleId="129">
    <w:name w:val="表1"/>
    <w:basedOn w:val="1"/>
    <w:next w:val="63"/>
    <w:qFormat/>
    <w:uiPriority w:val="0"/>
    <w:pPr>
      <w:numPr>
        <w:ilvl w:val="0"/>
        <w:numId w:val="6"/>
      </w:numPr>
      <w:spacing w:line="360" w:lineRule="auto"/>
      <w:ind w:firstLine="0" w:firstLineChars="0"/>
      <w:jc w:val="center"/>
    </w:pPr>
    <w:rPr>
      <w:b/>
      <w:sz w:val="24"/>
    </w:rPr>
  </w:style>
  <w:style w:type="character" w:customStyle="1" w:styleId="130">
    <w:name w:val="fontstyle21"/>
    <w:qFormat/>
    <w:uiPriority w:val="0"/>
    <w:rPr>
      <w:rFonts w:hint="default" w:ascii="Times New Roman" w:hAnsi="Times New Roman" w:cs="Times New Roman"/>
      <w:color w:val="000000"/>
      <w:sz w:val="24"/>
      <w:szCs w:val="24"/>
    </w:rPr>
  </w:style>
  <w:style w:type="character" w:customStyle="1" w:styleId="131">
    <w:name w:val="font71"/>
    <w:basedOn w:val="48"/>
    <w:qFormat/>
    <w:uiPriority w:val="0"/>
    <w:rPr>
      <w:rFonts w:hint="default" w:ascii="Times New Roman" w:hAnsi="Times New Roman" w:cs="Times New Roman"/>
      <w:b/>
      <w:bCs/>
      <w:color w:val="000000"/>
      <w:sz w:val="21"/>
      <w:szCs w:val="21"/>
      <w:u w:val="none"/>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2.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77.png"/><Relationship Id="rId91" Type="http://schemas.openxmlformats.org/officeDocument/2006/relationships/image" Target="media/image76.png"/><Relationship Id="rId90" Type="http://schemas.openxmlformats.org/officeDocument/2006/relationships/image" Target="media/image75.png"/><Relationship Id="rId9" Type="http://schemas.openxmlformats.org/officeDocument/2006/relationships/footer" Target="footer4.xml"/><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png"/><Relationship Id="rId81" Type="http://schemas.openxmlformats.org/officeDocument/2006/relationships/image" Target="media/image66.png"/><Relationship Id="rId80" Type="http://schemas.openxmlformats.org/officeDocument/2006/relationships/image" Target="media/image65.png"/><Relationship Id="rId8" Type="http://schemas.openxmlformats.org/officeDocument/2006/relationships/header" Target="header1.xml"/><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footer" Target="footer3.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jpe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1.xml"/><Relationship Id="rId49" Type="http://schemas.openxmlformats.org/officeDocument/2006/relationships/image" Target="media/image34.png"/><Relationship Id="rId48" Type="http://schemas.openxmlformats.org/officeDocument/2006/relationships/image" Target="media/image33.jpeg"/><Relationship Id="rId47" Type="http://schemas.openxmlformats.org/officeDocument/2006/relationships/image" Target="media/image32.jpeg"/><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jpe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png"/><Relationship Id="rId36" Type="http://schemas.openxmlformats.org/officeDocument/2006/relationships/customXml" Target="ink/ink4.xml"/><Relationship Id="rId35" Type="http://schemas.openxmlformats.org/officeDocument/2006/relationships/customXml" Target="ink/ink3.xml"/><Relationship Id="rId34" Type="http://schemas.openxmlformats.org/officeDocument/2006/relationships/customXml" Target="ink/ink2.xml"/><Relationship Id="rId33" Type="http://schemas.openxmlformats.org/officeDocument/2006/relationships/image" Target="media/image21.png"/><Relationship Id="rId32" Type="http://schemas.openxmlformats.org/officeDocument/2006/relationships/customXml" Target="ink/ink1.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jpeg"/><Relationship Id="rId25" Type="http://schemas.openxmlformats.org/officeDocument/2006/relationships/image" Target="media/image14.pn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emf"/><Relationship Id="rId13" Type="http://schemas.openxmlformats.org/officeDocument/2006/relationships/oleObject" Target="embeddings/oleObject1.bin"/><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10905.000 953700.000,'0.000'0.000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10380.000 953700.000,'0.000'0.000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10860.000 953850.000,'0.000'0.000</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10875.000 953685.000,'0.000'0.000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525fb6-5622-416f-a9d8-38891ba46331}">
  <ds:schemaRefs/>
</ds:datastoreItem>
</file>

<file path=docProps/app.xml><?xml version="1.0" encoding="utf-8"?>
<Properties xmlns="http://schemas.openxmlformats.org/officeDocument/2006/extended-properties" xmlns:vt="http://schemas.openxmlformats.org/officeDocument/2006/docPropsVTypes">
  <Template>Normal.dotm</Template>
  <Pages>151</Pages>
  <Words>14405</Words>
  <Characters>15354</Characters>
  <Paragraphs>4880</Paragraphs>
  <TotalTime>3</TotalTime>
  <ScaleCrop>false</ScaleCrop>
  <LinksUpToDate>false</LinksUpToDate>
  <CharactersWithSpaces>15450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2022-04-28T02:26:00Z</dcterms:created>
  <dc:creator>O</dc:creator>
  <cp:lastModifiedBy>＇夜归郎＇</cp:lastModifiedBy>
  <cp:lastPrinted>2026-09-02T03:34:00Z</cp:lastPrinted>
  <dcterms:modified xsi:type="dcterms:W3CDTF">2026-10-16T08:06:31Z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B3C13F8B24C04C409651D936BC1B573C_13</vt:lpwstr>
  </property>
  <property fmtid="{D5CDD505-2E9C-101B-9397-08002B2CF9AE}" pid="4" name="KSOTemplateDocerSaveRecord">
    <vt:lpwstr>eyJoZGlkIjoiZjdjMmQwNzZhNTFhMjFkZmQ0OThlNzhhYjlmZjg3YmIiLCJ1c2VySWQiOiIzNTExNzk0NTAifQ==</vt:lpwstr>
  </property>
</Properties>
</file>